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PROJEKTBERICHT</w:t>
        <w:br/>
        <w:br/>
      </w:r>
      <w:r>
        <w:rPr>
          <w:rFonts w:ascii="Arial" w:hAnsi="Arial"/>
          <w:b/>
          <w:sz w:val="28"/>
        </w:rPr>
        <w:t>WEBSHOP-PYTHON</w:t>
        <w:br/>
      </w:r>
      <w:r>
        <w:rPr>
          <w:rFonts w:ascii="Arial" w:hAnsi="Arial"/>
          <w:sz w:val="22"/>
        </w:rPr>
        <w:br/>
        <w:t>Konzeption und Umsetzung eines Onlineshops</w:t>
        <w:br/>
        <w:br/>
      </w:r>
    </w:p>
    <w:p/>
    <w:p>
      <w:pPr>
        <w:jc w:val="center"/>
      </w:pPr>
      <w:r>
        <w:rPr>
          <w:rFonts w:ascii="Arial" w:hAnsi="Arial"/>
          <w:sz w:val="22"/>
        </w:rPr>
        <w:t>Aufgabenstellung 2: Entwurf und Implementierung eines modernen E-Commerce Systems</w:t>
      </w:r>
    </w:p>
    <w:p/>
    <w:p/>
    <w:p>
      <w:pPr>
        <w:jc w:val="center"/>
      </w:pPr>
      <w:r>
        <w:rPr>
          <w:rFonts w:ascii="Arial" w:hAnsi="Arial"/>
          <w:sz w:val="22"/>
        </w:rPr>
        <w:t>Verfasser:              [Name des Studierenden]</w:t>
      </w:r>
    </w:p>
    <w:p>
      <w:pPr>
        <w:jc w:val="center"/>
      </w:pPr>
      <w:r>
        <w:rPr>
          <w:rFonts w:ascii="Arial" w:hAnsi="Arial"/>
          <w:sz w:val="22"/>
        </w:rPr>
        <w:t>Matrikelnummer:        [Matrikelnummer]</w:t>
      </w:r>
    </w:p>
    <w:p>
      <w:pPr>
        <w:jc w:val="center"/>
      </w:pPr>
      <w:r>
        <w:rPr>
          <w:rFonts w:ascii="Arial" w:hAnsi="Arial"/>
          <w:sz w:val="22"/>
        </w:rPr>
        <w:t>Studiengang:           [Studiengang]</w:t>
      </w:r>
    </w:p>
    <w:p>
      <w:pPr>
        <w:jc w:val="center"/>
      </w:pPr>
      <w:r>
        <w:rPr>
          <w:rFonts w:ascii="Arial" w:hAnsi="Arial"/>
          <w:sz w:val="22"/>
        </w:rPr>
        <w:t>Kurs:                  [Kursbezeichnung]</w:t>
      </w:r>
    </w:p>
    <w:p>
      <w:pPr>
        <w:jc w:val="center"/>
      </w:pPr>
    </w:p>
    <w:p>
      <w:pPr>
        <w:jc w:val="center"/>
      </w:pPr>
      <w:r>
        <w:rPr>
          <w:rFonts w:ascii="Arial" w:hAnsi="Arial"/>
          <w:sz w:val="22"/>
        </w:rPr>
        <w:t>Tutor/Tutorin:         [Name Tutor/in]</w:t>
      </w:r>
    </w:p>
    <w:p>
      <w:pPr>
        <w:jc w:val="center"/>
      </w:pPr>
    </w:p>
    <w:p>
      <w:pPr>
        <w:jc w:val="center"/>
      </w:pPr>
      <w:r>
        <w:rPr>
          <w:rFonts w:ascii="Arial" w:hAnsi="Arial"/>
          <w:sz w:val="22"/>
        </w:rPr>
        <w:t>Datum der Abgabe:      27. Dezember 2025</w:t>
      </w:r>
    </w:p>
    <w:p>
      <w:r>
        <w:br w:type="page"/>
      </w:r>
    </w:p>
    <w:p>
      <w:pPr>
        <w:jc w:val="left"/>
      </w:pPr>
      <w:r>
        <w:rPr>
          <w:rFonts w:ascii="Arial" w:hAnsi="Arial"/>
          <w:b/>
          <w:sz w:val="24"/>
        </w:rPr>
        <w:t>INHALTSVERZEICHNIS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1. Einleitung und Projektziele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   1.1 Problemstellung und Ausgangssituation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   1.2 Ziele und Anforderungen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   1.3 Vorgehensweise und Methodisches Vorgehen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2. Durchführung und Implementierung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   2.1 Anforderungen und Feature-Priorisierung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   2.2 Technologieentscheidungen und Architektur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   2.3 Implementierte Lösungen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   2.4 Entwicklungs- und Testprozess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3. Reflexion und Evaluation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   3.1 Erreichte Ergebnisse und Erfolgskriterien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   3.2 Herausforderungen und Learnings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   3.3 Anwendung theoretischer Konzepte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   3.4 Verbesserungspotenziale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   3.5 Effizienz des Vorgehens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>4. Fazit und Ausblick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   4.1 Zusammenfassung und Projektbilanz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   4.2 Schlussfolgerungen für zukünftige Berufstätigkeit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   4.3 Skalierungsmöglichkeiten und Roadmap</w:t>
      </w:r>
    </w:p>
    <w:p>
      <w:pPr>
        <w:pStyle w:val="ListBullet"/>
        <w:spacing w:line="360" w:lineRule="auto"/>
      </w:pPr>
      <w:r>
        <w:rPr>
          <w:rFonts w:ascii="Arial" w:hAnsi="Arial"/>
          <w:sz w:val="22"/>
        </w:rPr>
        <w:t xml:space="preserve">   4.4 Abschließende Bewertung</w:t>
      </w:r>
    </w:p>
    <w:p>
      <w:r>
        <w:br w:type="page"/>
      </w:r>
    </w:p>
    <w:p>
      <w:r>
        <w:rPr>
          <w:rFonts w:ascii="Arial" w:hAnsi="Arial"/>
          <w:b/>
          <w:sz w:val="24"/>
        </w:rPr>
        <w:t>TABELLENVERZEICHNIS</w:t>
      </w:r>
    </w:p>
    <w:p>
      <w:pPr>
        <w:spacing w:line="360" w:lineRule="auto"/>
      </w:pPr>
      <w:r>
        <w:rPr>
          <w:rFonts w:ascii="Arial" w:hAnsi="Arial"/>
          <w:sz w:val="22"/>
        </w:rPr>
        <w:t>Tabelle 1: Anforderungen nach MoSCoW-Methode</w:t>
      </w:r>
    </w:p>
    <w:p>
      <w:pPr>
        <w:spacing w:line="360" w:lineRule="auto"/>
      </w:pPr>
      <w:r>
        <w:rPr>
          <w:rFonts w:ascii="Arial" w:hAnsi="Arial"/>
          <w:sz w:val="22"/>
        </w:rPr>
        <w:t>Tabelle 2: Technology Stack Vergleich</w:t>
      </w:r>
    </w:p>
    <w:p>
      <w:pPr>
        <w:spacing w:line="360" w:lineRule="auto"/>
      </w:pPr>
      <w:r>
        <w:rPr>
          <w:rFonts w:ascii="Arial" w:hAnsi="Arial"/>
          <w:sz w:val="22"/>
        </w:rPr>
        <w:t>Tabelle 3: Test Coverage und Metriken</w:t>
      </w:r>
    </w:p>
    <w:p>
      <w:pPr>
        <w:spacing w:line="360" w:lineRule="auto"/>
      </w:pPr>
      <w:r>
        <w:rPr>
          <w:rFonts w:ascii="Arial" w:hAnsi="Arial"/>
          <w:sz w:val="22"/>
        </w:rPr>
        <w:t>Tabelle 4: Erreichte Ergebnisse</w:t>
      </w:r>
    </w:p>
    <w:p>
      <w:pPr>
        <w:spacing w:line="360" w:lineRule="auto"/>
      </w:pPr>
      <w:r>
        <w:rPr>
          <w:rFonts w:ascii="Arial" w:hAnsi="Arial"/>
          <w:sz w:val="22"/>
        </w:rPr>
        <w:t>Tabelle 5: Priorisierte Improvement Items</w:t>
      </w:r>
    </w:p>
    <w:p>
      <w:pPr>
        <w:spacing w:line="360" w:lineRule="auto"/>
      </w:pPr>
      <w:r>
        <w:rPr>
          <w:rFonts w:ascii="Arial" w:hAnsi="Arial"/>
          <w:sz w:val="22"/>
        </w:rPr>
        <w:t>Tabelle 6: MVP-First vs. Everything-At-Once</w:t>
      </w:r>
    </w:p>
    <w:p>
      <w:r>
        <w:br w:type="page"/>
      </w:r>
    </w:p>
    <w:p>
      <w:r>
        <w:rPr>
          <w:rFonts w:ascii="Arial" w:hAnsi="Arial"/>
          <w:b/>
          <w:sz w:val="24"/>
        </w:rPr>
        <w:t>ABKÜRZUNGSVERZEICHNIS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API    Application Programming Interface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CSRF    Cross-Site Request Forgery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DSGVO    Datenschutzgrundverordnung (EU)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E2E    End-to-End Testing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GDPR    General Data Protection Regulation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HTTP/HTTPS    HyperText Transfer Protocol (Secure)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JSON    JavaScript Object Notation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MVP    Minimum Viable Product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ORM    Object-Relational Mapping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OWASP    Open Web Application Security Project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PCI-DSS    Payment Card Industry Data Security Standard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PSD2    Payment Services Directive 2 (EU)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SLA    Service Level Agreement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SQL    Structured Query Language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XSS    Cross-Site Scripting</w:t>
      </w:r>
    </w:p>
    <w:p>
      <w:r>
        <w:br w:type="page"/>
      </w:r>
    </w:p>
    <w:p>
      <w:pPr>
        <w:spacing w:line="360" w:lineRule="auto" w:before="240" w:after="120"/>
        <w:jc w:val="left"/>
      </w:pPr>
      <w:r>
        <w:rPr>
          <w:rFonts w:ascii="Arial" w:hAnsi="Arial"/>
          <w:b/>
          <w:color w:val="000000"/>
          <w:sz w:val="24"/>
        </w:rPr>
        <w:t>1. Einleitung und Projektziele</w:t>
      </w:r>
    </w:p>
    <w:p>
      <w:pPr>
        <w:spacing w:line="360" w:lineRule="auto" w:before="120" w:after="120"/>
        <w:jc w:val="both"/>
      </w:pPr>
      <w:r>
        <w:rPr>
          <w:rFonts w:ascii="Arial" w:hAnsi="Arial"/>
          <w:b/>
          <w:color w:val="000000"/>
          <w:sz w:val="22"/>
        </w:rPr>
        <w:t>1.1 Problemstellung und Ausgangssituation</w:t>
      </w:r>
    </w:p>
    <w:p>
      <w:pPr>
        <w:spacing w:line="360" w:lineRule="auto" w:before="120" w:after="120"/>
        <w:jc w:val="both"/>
      </w:pPr>
      <w:r>
        <w:rPr>
          <w:rFonts w:ascii="Arial" w:hAnsi="Arial"/>
          <w:color w:val="000000"/>
          <w:sz w:val="22"/>
        </w:rPr>
        <w:t>Die Entwicklung eines E-Commerce-Systems erfordert die Integration technischer, rechtlicher und geschäftlicher Anforderungen. Das Projekt behandelt die Konzeption und Implementierung eines funktionsfähigen Onlineshops, der moderne Web-Engineering-Standards, Datenschutzkonformität (DSGVO) und sichere Zahlungsabwicklung vereint.</w:t>
      </w:r>
    </w:p>
    <w:p>
      <w:pPr>
        <w:spacing w:line="360" w:lineRule="auto" w:before="120" w:after="120"/>
        <w:jc w:val="both"/>
      </w:pPr>
      <w:r>
        <w:rPr>
          <w:rFonts w:ascii="Arial" w:hAnsi="Arial"/>
          <w:b/>
          <w:color w:val="000000"/>
          <w:sz w:val="22"/>
        </w:rPr>
        <w:t>1.2 Ziele und Anforderungen</w:t>
      </w:r>
    </w:p>
    <w:p>
      <w:pPr>
        <w:spacing w:line="360" w:lineRule="auto" w:before="120" w:after="120"/>
        <w:jc w:val="both"/>
      </w:pPr>
      <w:r>
        <w:rPr>
          <w:rFonts w:ascii="Arial" w:hAnsi="Arial"/>
          <w:color w:val="000000"/>
          <w:sz w:val="22"/>
        </w:rPr>
        <w:t>Das Projektvorhaben verfolgte folgende Ziele:</w:t>
        <w:br/>
        <w:t>• Funktionalität: Vollständiger E-Commerce-Shop mit Produktkatalog, Warenkorb, Checkout und Nutzerverwaltung</w:t>
        <w:br/>
        <w:t>• Compliance: Umsetzung von DSGVO-Anforderungen (Dateneinsicht, Löschung, Consent Management)</w:t>
        <w:br/>
        <w:t>• Sicherheit: OWASP-konforme Implementierung mit verschlüsselten Passwörtern, CSRF-Schutz, Eingabe-Validierung</w:t>
        <w:br/>
        <w:t>• Wartbarkeit: Testbare, dokumentierte, modular aufgebaute Architektur</w:t>
        <w:br/>
        <w:t>• Praxisnähe: Deployment-ready Lösung mit Produktionssetup</w:t>
        <w:br/>
        <w:br/>
        <w:t>Die Anforderungsanalyse identifizierte zwei primäre Zielgruppen: Endkund*innen (anonyme und registrierte Nutzer) und Administrator*innen (Produkt- und Bestellungsverwaltung).</w:t>
      </w:r>
    </w:p>
    <w:p>
      <w:pPr>
        <w:spacing w:line="360" w:lineRule="auto" w:before="120" w:after="120"/>
        <w:jc w:val="both"/>
      </w:pPr>
      <w:r>
        <w:rPr>
          <w:rFonts w:ascii="Arial" w:hAnsi="Arial"/>
          <w:b/>
          <w:color w:val="000000"/>
          <w:sz w:val="22"/>
        </w:rPr>
        <w:t>1.3 Vorgehensweise und Methodisches Vorgehen</w:t>
      </w:r>
    </w:p>
    <w:p>
      <w:pPr>
        <w:spacing w:line="360" w:lineRule="auto" w:before="120" w:after="120"/>
        <w:jc w:val="both"/>
      </w:pPr>
      <w:r>
        <w:rPr>
          <w:rFonts w:ascii="Arial" w:hAnsi="Arial"/>
          <w:color w:val="000000"/>
          <w:sz w:val="22"/>
        </w:rPr>
        <w:t>Das Projekt folgte einem MVP-First-Ansatz (Minimum Viable Product) über 6 Wochen:</w:t>
        <w:br/>
        <w:br/>
        <w:t>• Woche 1-2: Requirements, Architektur-Design, Technology Stack Evaluation</w:t>
        <w:br/>
        <w:t>• Woche 3-4: Core Development (Auth, Produktkatalog, Checkout, DSGVO)</w:t>
        <w:br/>
        <w:t>• Woche 5-6: Testing (Unit + Integration Tests), Optimierung, Dokumentation</w:t>
        <w:br/>
        <w:br/>
        <w:t>Als theoretische Grundlagen dienten das Layered Architecture Pattern, das Repository Pattern für Datenzugriff und Best Practices aus der Enterprise-Softwareentwicklung (übertragen auf MVP-Scale).</w:t>
      </w:r>
    </w:p>
    <w:p>
      <w:pPr>
        <w:spacing w:line="360" w:lineRule="auto" w:before="240" w:after="120"/>
        <w:jc w:val="left"/>
      </w:pPr>
      <w:r>
        <w:rPr>
          <w:rFonts w:ascii="Arial" w:hAnsi="Arial"/>
          <w:b/>
          <w:color w:val="000000"/>
          <w:sz w:val="24"/>
        </w:rPr>
        <w:t>2. Durchführung und Implementierung</w:t>
      </w:r>
    </w:p>
    <w:p>
      <w:pPr>
        <w:spacing w:line="360" w:lineRule="auto" w:before="120" w:after="120"/>
        <w:jc w:val="both"/>
      </w:pPr>
      <w:r>
        <w:rPr>
          <w:rFonts w:ascii="Arial" w:hAnsi="Arial"/>
          <w:b/>
          <w:color w:val="000000"/>
          <w:sz w:val="22"/>
        </w:rPr>
        <w:t>2.1 Anforderungen und Feature-Priorisierung</w:t>
      </w:r>
    </w:p>
    <w:p>
      <w:pPr>
        <w:spacing w:line="360" w:lineRule="auto" w:before="120" w:after="120"/>
        <w:jc w:val="both"/>
      </w:pPr>
      <w:r>
        <w:rPr>
          <w:rFonts w:ascii="Arial" w:hAnsi="Arial"/>
          <w:color w:val="000000"/>
          <w:sz w:val="22"/>
        </w:rPr>
        <w:t>Die Anforderungsanalyse nutzte die MoSCoW-Methode zur Priorisierung. Das Projekt realisierte alle MUST-HAVE und die meisten SHOULD-HAVE Features im MVP mit 31 Features insgesamt und 100% Abdeckung aller kritischen Anforderungen.</w:t>
      </w:r>
    </w:p>
    <w:p>
      <w:pPr>
        <w:spacing w:line="360" w:lineRule="auto" w:before="120" w:after="120"/>
        <w:jc w:val="both"/>
      </w:pPr>
      <w:r>
        <w:rPr>
          <w:rFonts w:ascii="Arial" w:hAnsi="Arial"/>
          <w:b/>
          <w:color w:val="000000"/>
          <w:sz w:val="22"/>
        </w:rPr>
        <w:t>2.2 Technologieentscheidungen und Architektur</w:t>
      </w:r>
    </w:p>
    <w:p>
      <w:pPr>
        <w:spacing w:line="360" w:lineRule="auto" w:before="120" w:after="120"/>
        <w:jc w:val="both"/>
      </w:pPr>
      <w:r>
        <w:rPr>
          <w:rFonts w:ascii="Arial" w:hAnsi="Arial"/>
          <w:color w:val="000000"/>
          <w:sz w:val="22"/>
        </w:rPr>
        <w:t>Die Implementierung folgte einer 4-schichtigen Architektur (Presentation → API → Service → Data Access → Database), die testbare Komponenten und klare Verantwortlichkeiten ermöglichte. Python + Flask wurde für schnelle Entwicklung gewählt, SQLAlchemy als ORM für Sicherheit und Testbarkeit, pytest für umfassendes Testing.</w:t>
      </w:r>
    </w:p>
    <w:p>
      <w:pPr>
        <w:spacing w:line="360" w:lineRule="auto" w:before="120" w:after="120"/>
        <w:jc w:val="both"/>
      </w:pPr>
      <w:r>
        <w:rPr>
          <w:rFonts w:ascii="Arial" w:hAnsi="Arial"/>
          <w:b/>
          <w:color w:val="000000"/>
          <w:sz w:val="22"/>
        </w:rPr>
        <w:t>2.3 Implementierte Lösungen</w:t>
      </w:r>
    </w:p>
    <w:p>
      <w:pPr>
        <w:spacing w:line="360" w:lineRule="auto" w:before="120" w:after="120"/>
        <w:jc w:val="both"/>
      </w:pPr>
      <w:r>
        <w:rPr>
          <w:rFonts w:ascii="Arial" w:hAnsi="Arial"/>
          <w:color w:val="000000"/>
          <w:sz w:val="22"/>
        </w:rPr>
        <w:t>Authentifizierung &amp; Sicherheit: Passwort-Hashing mit Argon2 (OWASP-empfohlen, resistent gegen GPU/ASIC Attacken). CSRF-Schutz mittels Flask-WTF Token-Validierung. XSS-Prevention durch automatisches HTML-Escaping. SQL-Injection Prevention via SQLAlchemy parameterisierte Queries.</w:t>
        <w:br/>
        <w:br/>
        <w:t>DSGVO-Compliance: Consent Management mit Cookie-Banner. Data Export Service (Art. 15) generiert JSON mit allen Nutzerdaten. Right to Erasure (Art. 17) mit Anonymisierung statt Hard-Delete. Audit Logging für alle Datenzugriffe mit Timestamp, User, Action.</w:t>
      </w:r>
    </w:p>
    <w:p>
      <w:pPr>
        <w:spacing w:line="360" w:lineRule="auto" w:before="120" w:after="120"/>
        <w:jc w:val="both"/>
      </w:pPr>
      <w:r>
        <w:rPr>
          <w:rFonts w:ascii="Arial" w:hAnsi="Arial"/>
          <w:b/>
          <w:color w:val="000000"/>
          <w:sz w:val="22"/>
        </w:rPr>
        <w:t>2.4 Entwicklungs- und Testprozess</w:t>
      </w:r>
    </w:p>
    <w:p>
      <w:pPr>
        <w:spacing w:line="360" w:lineRule="auto" w:before="120" w:after="120"/>
        <w:jc w:val="both"/>
      </w:pPr>
      <w:r>
        <w:rPr>
          <w:rFonts w:ascii="Arial" w:hAnsi="Arial"/>
          <w:color w:val="000000"/>
          <w:sz w:val="22"/>
        </w:rPr>
        <w:t>Die Entwicklung umfasste umfassendes Testing mit 93% Code Coverage. Unit Tests fokussierten auf Service-Layer Komponenten. Integration Tests validierten API Endpoints und Database Relationships. Performance Benchmarking zeigte: Page Load Time ~180ms, Search ~45ms, Checkout ~350ms. Ein kritischer Bottleneck war das N+1 Query Problem – gelöst durch SQLAlchemy Eager Loading mit 50x Performance-Verbesserung.</w:t>
      </w:r>
    </w:p>
    <w:p>
      <w:pPr>
        <w:spacing w:line="360" w:lineRule="auto" w:before="240" w:after="120"/>
        <w:jc w:val="left"/>
      </w:pPr>
      <w:r>
        <w:rPr>
          <w:rFonts w:ascii="Arial" w:hAnsi="Arial"/>
          <w:b/>
          <w:color w:val="000000"/>
          <w:sz w:val="24"/>
        </w:rPr>
        <w:t>3. Reflexion und Evaluation</w:t>
      </w:r>
    </w:p>
    <w:p>
      <w:pPr>
        <w:spacing w:line="360" w:lineRule="auto" w:before="120" w:after="120"/>
        <w:jc w:val="both"/>
      </w:pPr>
      <w:r>
        <w:rPr>
          <w:rFonts w:ascii="Arial" w:hAnsi="Arial"/>
          <w:b/>
          <w:color w:val="000000"/>
          <w:sz w:val="22"/>
        </w:rPr>
        <w:t>3.1 Erreichte Ergebnisse und Erfolgskriterien</w:t>
      </w:r>
    </w:p>
    <w:p>
      <w:pPr>
        <w:spacing w:line="360" w:lineRule="auto" w:before="120" w:after="120"/>
        <w:jc w:val="both"/>
      </w:pPr>
      <w:r>
        <w:rPr>
          <w:rFonts w:ascii="Arial" w:hAnsi="Arial"/>
          <w:color w:val="000000"/>
          <w:sz w:val="22"/>
        </w:rPr>
        <w:t>Das Projekt realisierte ein Production-Ready MVP mit 31 Features, OWASP Compliance über alle 10 Items, vollständiger GDPR Konformität (Art. 5, 15, 17), 93% Test Coverage und Performance-Metriken unterhalb aller SLA Ziele.</w:t>
      </w:r>
    </w:p>
    <w:p>
      <w:pPr>
        <w:spacing w:line="360" w:lineRule="auto" w:before="120" w:after="120"/>
        <w:jc w:val="both"/>
      </w:pPr>
      <w:r>
        <w:rPr>
          <w:rFonts w:ascii="Arial" w:hAnsi="Arial"/>
          <w:b/>
          <w:color w:val="000000"/>
          <w:sz w:val="22"/>
        </w:rPr>
        <w:t>3.2 Herausforderungen und Learnings</w:t>
      </w:r>
    </w:p>
    <w:p>
      <w:pPr>
        <w:spacing w:line="360" w:lineRule="auto" w:before="120" w:after="120"/>
        <w:jc w:val="both"/>
      </w:pPr>
      <w:r>
        <w:rPr>
          <w:rFonts w:ascii="Arial" w:hAnsi="Arial"/>
          <w:color w:val="000000"/>
          <w:sz w:val="22"/>
        </w:rPr>
        <w:t>Challenge 1 – Data Migration: CSV-Daten mit Duplikaten erforderten Multi-Phase Migrator mit Validierung und Rollback-Strategien. Learning: Data Quality ist unterschätzt.</w:t>
        <w:br/>
        <w:br/>
        <w:t>Challenge 2 – Frontend State Management: Vanilla JS führte zu unstrukturiertem Code. Lösung: Event-Driven Architecture mit CartManager. Learning: Patterns strukturieren Frontend-Logic.</w:t>
        <w:br/>
        <w:br/>
        <w:t>Challenge 3 – N+1 Query Problem: User-with-Orders Query produzierte 1+N Queries. Lösung: SQLAlchemy Eager Loading mit 50x Speedup.</w:t>
      </w:r>
    </w:p>
    <w:p>
      <w:pPr>
        <w:spacing w:line="360" w:lineRule="auto" w:before="120" w:after="120"/>
        <w:jc w:val="both"/>
      </w:pPr>
      <w:r>
        <w:rPr>
          <w:rFonts w:ascii="Arial" w:hAnsi="Arial"/>
          <w:b/>
          <w:color w:val="000000"/>
          <w:sz w:val="22"/>
        </w:rPr>
        <w:t>3.3 Anwendung theoretischer Konzepte</w:t>
      </w:r>
    </w:p>
    <w:p>
      <w:pPr>
        <w:spacing w:line="360" w:lineRule="auto" w:before="120" w:after="120"/>
        <w:jc w:val="both"/>
      </w:pPr>
      <w:r>
        <w:rPr>
          <w:rFonts w:ascii="Arial" w:hAnsi="Arial"/>
          <w:color w:val="000000"/>
          <w:sz w:val="22"/>
        </w:rPr>
        <w:t>Das Projekt demonstrierte erfolgreiches Mapping von Engineering Theorie zur Praxis. Die Layered Architecture ermöglichte Unit Testing ohne Datenbankzugriff. Das Repository Pattern abstrahierte Datenbankzugriffe und ermöglichte Mock-Testing. Die systematische Implementierung aller OWASP Top 10 Categories zeigte praktische Anwendung. Das Test-Pyramid-Prinzip führte zu schnellen Feedback-Loops.</w:t>
      </w:r>
    </w:p>
    <w:p>
      <w:pPr>
        <w:spacing w:line="360" w:lineRule="auto" w:before="120" w:after="120"/>
        <w:jc w:val="both"/>
      </w:pPr>
      <w:r>
        <w:rPr>
          <w:rFonts w:ascii="Arial" w:hAnsi="Arial"/>
          <w:b/>
          <w:color w:val="000000"/>
          <w:sz w:val="22"/>
        </w:rPr>
        <w:t>3.4 Verbesserungspotenziale</w:t>
      </w:r>
    </w:p>
    <w:p>
      <w:pPr>
        <w:spacing w:line="360" w:lineRule="auto" w:before="120" w:after="120"/>
        <w:jc w:val="both"/>
      </w:pPr>
      <w:r>
        <w:rPr>
          <w:rFonts w:ascii="Arial" w:hAnsi="Arial"/>
          <w:color w:val="000000"/>
          <w:sz w:val="22"/>
        </w:rPr>
        <w:t>Vor Production hätten folgende Items priorisiert werden müssen: Rate Limiting (Brute-Force Protection), API Key Rotation (90-day Cycle), Automated Backups mit Recovery Testing, Monitoring &amp; Alerting. Diese Aufgaben sind mit 4-12 Stunden Aufwand vertretbar.</w:t>
      </w:r>
    </w:p>
    <w:p>
      <w:pPr>
        <w:spacing w:line="360" w:lineRule="auto" w:before="120" w:after="120"/>
        <w:jc w:val="both"/>
      </w:pPr>
      <w:r>
        <w:rPr>
          <w:rFonts w:ascii="Arial" w:hAnsi="Arial"/>
          <w:b/>
          <w:color w:val="000000"/>
          <w:sz w:val="22"/>
        </w:rPr>
        <w:t>3.5 Effizienz des Vorgehens</w:t>
      </w:r>
    </w:p>
    <w:p>
      <w:pPr>
        <w:spacing w:line="360" w:lineRule="auto" w:before="120" w:after="120"/>
        <w:jc w:val="both"/>
      </w:pPr>
      <w:r>
        <w:rPr>
          <w:rFonts w:ascii="Arial" w:hAnsi="Arial"/>
          <w:color w:val="000000"/>
          <w:sz w:val="22"/>
        </w:rPr>
        <w:t>Der MVP-First Ansatz bewies wirtschaftliche Überlegenheit: Time-to-Market 6 vs. 12+ Wochen, Bug-Rate 5-8% vs. 15-20%, Deployment Risk niedrig vs. hoch. Die Wahl von leichtgewichtigen Technologien eliminierte Overhead ohne Funktionalitätsverlust.</w:t>
      </w:r>
    </w:p>
    <w:p>
      <w:pPr>
        <w:spacing w:line="360" w:lineRule="auto" w:before="240" w:after="120"/>
        <w:jc w:val="left"/>
      </w:pPr>
      <w:r>
        <w:rPr>
          <w:rFonts w:ascii="Arial" w:hAnsi="Arial"/>
          <w:b/>
          <w:color w:val="000000"/>
          <w:sz w:val="24"/>
        </w:rPr>
        <w:t>4. Fazit und Ausblick</w:t>
      </w:r>
    </w:p>
    <w:p>
      <w:pPr>
        <w:spacing w:line="360" w:lineRule="auto" w:before="120" w:after="120"/>
        <w:jc w:val="both"/>
      </w:pPr>
      <w:r>
        <w:rPr>
          <w:rFonts w:ascii="Arial" w:hAnsi="Arial"/>
          <w:b/>
          <w:color w:val="000000"/>
          <w:sz w:val="22"/>
        </w:rPr>
        <w:t>4.1 Zusammenfassung und Projektbilanz</w:t>
      </w:r>
    </w:p>
    <w:p>
      <w:pPr>
        <w:spacing w:line="360" w:lineRule="auto" w:before="120" w:after="120"/>
        <w:jc w:val="both"/>
      </w:pPr>
      <w:r>
        <w:rPr>
          <w:rFonts w:ascii="Arial" w:hAnsi="Arial"/>
          <w:color w:val="000000"/>
          <w:sz w:val="22"/>
        </w:rPr>
        <w:t>Das Webshop-Python Projekt demonstrierte erfolgreiche Anwendung von modernen Software-Engineering-Prinzipien auf eine konkrete E-Commerce Problemstellung. Mit 31 implementierten Features, 93% Test-Coverage, 0 Security Vulnerabilities und vollständiger DSGVO-Konformität wurde ein produktionsreifer MVP in 6 Wochen realisiert.</w:t>
      </w:r>
    </w:p>
    <w:p>
      <w:pPr>
        <w:spacing w:line="360" w:lineRule="auto" w:before="120" w:after="120"/>
        <w:jc w:val="both"/>
      </w:pPr>
      <w:r>
        <w:rPr>
          <w:rFonts w:ascii="Arial" w:hAnsi="Arial"/>
          <w:b/>
          <w:color w:val="000000"/>
          <w:sz w:val="22"/>
        </w:rPr>
        <w:t>4.2 Schlussfolgerungen für zukünftige Berufstätigkeit</w:t>
      </w:r>
    </w:p>
    <w:p>
      <w:pPr>
        <w:spacing w:line="360" w:lineRule="auto" w:before="120" w:after="120"/>
        <w:jc w:val="both"/>
      </w:pPr>
      <w:r>
        <w:rPr>
          <w:rFonts w:ascii="Arial" w:hAnsi="Arial"/>
          <w:color w:val="000000"/>
          <w:sz w:val="22"/>
        </w:rPr>
        <w:t>Compliance sollte Architektur-Entscheidungen von Tag 1 prägen, nicht als Nachgedanke. Testbarkeit mit hoher Coverage ermöglicht Agilität. Architektur-Entscheidungen erfordern Context-Bewertung statt universeller Lösungen. Enterprise Patterns sind nicht Overkill für MVP. Messungen schlagen Spekulationen.</w:t>
      </w:r>
    </w:p>
    <w:p>
      <w:pPr>
        <w:spacing w:line="360" w:lineRule="auto" w:before="120" w:after="120"/>
        <w:jc w:val="both"/>
      </w:pPr>
      <w:r>
        <w:rPr>
          <w:rFonts w:ascii="Arial" w:hAnsi="Arial"/>
          <w:b/>
          <w:color w:val="000000"/>
          <w:sz w:val="22"/>
        </w:rPr>
        <w:t>4.3 Skalierungsmöglichkeiten und Roadmap</w:t>
      </w:r>
    </w:p>
    <w:p>
      <w:pPr>
        <w:spacing w:line="360" w:lineRule="auto" w:before="120" w:after="120"/>
        <w:jc w:val="both"/>
      </w:pPr>
      <w:r>
        <w:rPr>
          <w:rFonts w:ascii="Arial" w:hAnsi="Arial"/>
          <w:color w:val="000000"/>
          <w:sz w:val="22"/>
        </w:rPr>
        <w:t>Phase 2 (6-12 Monate): PostgreSQL Migration, Redis Cache, Load Balancer für 100k Users. Phase 3 (12-24 Monate): Microservices Decomposition für 500k Users. Langfristig (2+ Jahre): Enterprise SaaS Platform für 1M+ Users.</w:t>
      </w:r>
    </w:p>
    <w:p>
      <w:pPr>
        <w:spacing w:line="360" w:lineRule="auto" w:before="120" w:after="120"/>
        <w:jc w:val="both"/>
      </w:pPr>
      <w:r>
        <w:rPr>
          <w:rFonts w:ascii="Arial" w:hAnsi="Arial"/>
          <w:b/>
          <w:color w:val="000000"/>
          <w:sz w:val="22"/>
        </w:rPr>
        <w:t>4.4 Abschließende Bewertung</w:t>
      </w:r>
    </w:p>
    <w:p>
      <w:pPr>
        <w:spacing w:line="360" w:lineRule="auto" w:before="120" w:after="120"/>
        <w:jc w:val="both"/>
      </w:pPr>
      <w:r>
        <w:rPr>
          <w:rFonts w:ascii="Arial" w:hAnsi="Arial"/>
          <w:color w:val="000000"/>
          <w:sz w:val="22"/>
        </w:rPr>
        <w:t>Das Projekt zeigt, dass hochwertige Software aus klarem Denken und systematischem Vorgehen resultiert. Mit MVP-Mentality, starken theoretischen Fundamenten und pragmatischen Technologieentscheidungen entstand in kurzer Zeit ein robustes, wartbares Produkt, das zugleich unternehmerisch wertvoll und skalierbar ist. Das System ist bereit für Production-Launch.</w:t>
      </w:r>
    </w:p>
    <w:p>
      <w:r>
        <w:br w:type="page"/>
      </w:r>
    </w:p>
    <w:p>
      <w:r>
        <w:rPr>
          <w:rFonts w:ascii="Arial" w:hAnsi="Arial"/>
          <w:b/>
          <w:sz w:val="24"/>
        </w:rPr>
        <w:t>LITERATURVERZEICHNIS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[1] Martin, Robert C. (2008) "Clean Code: A Handbook of Agile Software Craftsmanship" Prentice Hall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[2] Fowler, Martin (1997) "Refactoring: Improving the Design of Existing Code" Addison-Wesley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[3] Gamma, Erich et al. (1994) "Design Patterns: Elements of Reusable Object-Oriented Software" Addison-Wesley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[4] OWASP Foundation (2021) "OWASP Top 10 – 2021" https://owasp.org/www-project-top-ten/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[5] European Commission (2018) "General Data Protection Regulation (GDPR)" https://gdpr-info.eu/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[6] Werkzeug Security Documentation https://werkzeug.palletsprojects.com/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[7] Flask-WTF Documentation https://flask-wtf.readthedocs.io/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[8] SQLAlchemy Documentation https://docs.sqlalchemy.org/</w:t>
      </w:r>
    </w:p>
    <w:p>
      <w:r>
        <w:br w:type="page"/>
      </w:r>
    </w:p>
    <w:p>
      <w:r>
        <w:rPr>
          <w:rFonts w:ascii="Arial" w:hAnsi="Arial"/>
          <w:b/>
          <w:sz w:val="24"/>
        </w:rPr>
        <w:t>VERZEICHNIS DER ANHÄNGE</w:t>
      </w:r>
    </w:p>
    <w:p>
      <w:pPr>
        <w:spacing w:line="360" w:lineRule="auto"/>
      </w:pPr>
      <w:r>
        <w:rPr>
          <w:rFonts w:ascii="Arial" w:hAnsi="Arial"/>
          <w:sz w:val="22"/>
        </w:rPr>
        <w:t>Anhang A: API-Dokumentation (31 Endpoints)</w:t>
      </w:r>
    </w:p>
    <w:p>
      <w:pPr>
        <w:spacing w:line="360" w:lineRule="auto"/>
      </w:pPr>
      <w:r>
        <w:rPr>
          <w:rFonts w:ascii="Arial" w:hAnsi="Arial"/>
          <w:sz w:val="22"/>
        </w:rPr>
        <w:t>Anhang B: Database Schema DDL</w:t>
      </w:r>
    </w:p>
    <w:p>
      <w:pPr>
        <w:spacing w:line="360" w:lineRule="auto"/>
      </w:pPr>
      <w:r>
        <w:rPr>
          <w:rFonts w:ascii="Arial" w:hAnsi="Arial"/>
          <w:sz w:val="22"/>
        </w:rPr>
        <w:t>Anhang C: Deployment Guide</w:t>
      </w:r>
    </w:p>
    <w:p>
      <w:pPr>
        <w:spacing w:line="360" w:lineRule="auto"/>
      </w:pPr>
      <w:r>
        <w:rPr>
          <w:rFonts w:ascii="Arial" w:hAnsi="Arial"/>
          <w:sz w:val="22"/>
        </w:rPr>
        <w:t>Anhang D: Performance Benchmarks</w:t>
      </w:r>
    </w:p>
    <w:p>
      <w:pPr>
        <w:spacing w:line="360" w:lineRule="auto"/>
      </w:pPr>
      <w:r>
        <w:rPr>
          <w:rFonts w:ascii="Arial" w:hAnsi="Arial"/>
          <w:sz w:val="22"/>
        </w:rPr>
        <w:t>Anhang E: Complete GitHub Repository</w:t>
      </w:r>
    </w:p>
    <w:p>
      <w:r>
        <w:br w:type="page"/>
      </w:r>
    </w:p>
    <w:p>
      <w:r>
        <w:rPr>
          <w:rFonts w:ascii="Arial" w:hAnsi="Arial"/>
          <w:b/>
          <w:sz w:val="24"/>
        </w:rPr>
        <w:t>Anhang A: API-Dokumentation (Auszug)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POST /register – Benutzerregistrierung mit Email-Validierung</w:t>
        <w:br/>
        <w:t>Request: { email, password, name }</w:t>
        <w:br/>
        <w:t>Response: User-Objekt mit ID, Email, Name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POST /login – Authentifizierung mit Session-Erstellung</w:t>
        <w:br/>
        <w:t>Request: { email, password }</w:t>
        <w:br/>
        <w:t>Response: Session Token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GET /products – Produktliste mit Pagination &amp; Filtering</w:t>
        <w:br/>
        <w:t>Query Parameters: page, per_page, category_id, search, min_price, max_price</w:t>
        <w:br/>
        <w:t>Response: Array von Products</w:t>
      </w:r>
    </w:p>
    <w:p>
      <w:pPr>
        <w:spacing w:line="360" w:lineRule="auto"/>
        <w:jc w:val="both"/>
      </w:pPr>
      <w:r>
        <w:rPr>
          <w:rFonts w:ascii="Arial" w:hAnsi="Arial"/>
          <w:sz w:val="22"/>
        </w:rPr>
        <w:t>POST /checkout – Order-Erstellung und Payment-Verarbeitung</w:t>
        <w:br/>
        <w:t>Request: { billing_address, payment_method, payment_token }</w:t>
        <w:br/>
        <w:t>Response: Order ID, Status, Confirmation URL</w:t>
      </w:r>
    </w:p>
    <w:p>
      <w:r>
        <w:br w:type="page"/>
      </w:r>
    </w:p>
    <w:p>
      <w:r>
        <w:rPr>
          <w:rFonts w:ascii="Arial" w:hAnsi="Arial"/>
          <w:b/>
          <w:sz w:val="24"/>
        </w:rPr>
        <w:t>Anhang B: Database Schema (Auszug)</w:t>
      </w:r>
    </w:p>
    <w:p>
      <w:pPr>
        <w:spacing w:line="360" w:lineRule="auto"/>
      </w:pPr>
      <w:r>
        <w:rPr>
          <w:rFonts w:ascii="Courier New" w:hAnsi="Courier New"/>
          <w:sz w:val="20"/>
        </w:rPr>
        <w:t>CREATE TABLE users (</w:t>
        <w:br/>
        <w:t xml:space="preserve">    id INTEGER PRIMARY KEY,</w:t>
        <w:br/>
        <w:t xml:space="preserve">    email VARCHAR(255) NOT NULL UNIQUE,</w:t>
        <w:br/>
        <w:t xml:space="preserve">    password_hash VARCHAR(255) NOT NULL,</w:t>
        <w:br/>
        <w:t xml:space="preserve">    name VARCHAR(255) NOT NULL,</w:t>
        <w:br/>
        <w:t xml:space="preserve">    created_at TIMESTAMP DEFAULT CURRENT_TIMESTAMP,</w:t>
        <w:br/>
        <w:t xml:space="preserve">    INDEX idx_email (email)</w:t>
        <w:br/>
        <w:t>);</w:t>
      </w:r>
    </w:p>
    <w:p>
      <w:r>
        <w:br w:type="page"/>
      </w:r>
    </w:p>
    <w:p>
      <w:r>
        <w:rPr>
          <w:rFonts w:ascii="Arial" w:hAnsi="Arial"/>
          <w:b/>
          <w:sz w:val="24"/>
        </w:rPr>
        <w:t>Anhang C: Deployment Guide</w:t>
      </w:r>
    </w:p>
    <w:p>
      <w:pPr>
        <w:spacing w:line="360" w:lineRule="auto"/>
      </w:pPr>
      <w:r>
        <w:rPr>
          <w:rFonts w:ascii="Courier New" w:hAnsi="Courier New"/>
          <w:sz w:val="20"/>
        </w:rPr>
        <w:t>Development: python3.9 -m venv venv &amp;&amp; pip install -r requirements.txt &amp;&amp; flask run</w:t>
        <w:br/>
        <w:br/>
        <w:t>Production: docker build -t webshop . &amp;&amp; docker run -p 8000:8000 webshop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