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0gzpfilwr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OTTICA MASOLI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Logo was designed for OTTICA MASOLI. Ii is the rappresentation of the union between the O and the M, union thath in its turn gives life to an optical test lens with original gradation.Minimalism and elegance blend with optometric precision, all characteristics of OTTICA MASOLI.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Logo è stato disegnato per OTTICA MASOLI. Esso è la rappresentazione dell'unione tra la O e la M, unione che a sua volta da vita ad una lente di prova ottica con originale gradazione. Minimalismo ed eleganza si fondono con la precisione optometrica, tutte caratteristiche di OTTICA MASOLI.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