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832d78c36135fdf0ea3c510d36b44d7f27196d76.png"/>
            <a:graphic>
              <a:graphicData uri="http://schemas.openxmlformats.org/drawingml/2006/picture">
                <pic:pic>
                  <pic:nvPicPr>
                    <pic:cNvPr id="1" name="image-832d78c36135fdf0ea3c510d36b44d7f27196d76.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AI-Powered Bible Study Tools: Market Validation Dashboard and Analytics</w:t>
      </w:r>
    </w:p>
    <w:p>
      <w:pPr>
        <w:spacing w:line="360" w:before="315" w:after="105" w:lineRule="auto"/>
        <w:ind w:left="-30"/>
        <w:jc w:val="left"/>
      </w:pPr>
      <w:r>
        <w:rPr>
          <w:rFonts w:eastAsia="inter" w:cs="inter" w:ascii="inter" w:hAnsi="inter"/>
          <w:b/>
          <w:color w:val="000000"/>
          <w:sz w:val="24"/>
        </w:rPr>
        <w:t xml:space="preserve">Executive Summary</w:t>
      </w:r>
    </w:p>
    <w:p>
      <w:pPr>
        <w:spacing w:line="360" w:after="210" w:lineRule="auto"/>
      </w:pPr>
      <w:r>
        <w:rPr>
          <w:rFonts w:eastAsia="inter" w:cs="inter" w:ascii="inter" w:hAnsi="inter"/>
          <w:color w:val="000000"/>
        </w:rPr>
        <w:t xml:space="preserve">This comprehensive analysis presents a market validation dashboard for AI-powered Bible study tools, integrating user adoption metrics, customer satisfaction surveys, and feature analytics to assess market readiness. The research reveals strong product-market fit with an overall validation score of 7.6/10, indicating readiness for scale with strategic optimizations needed in competitive positioning </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bookmarkStart w:id="2" w:name="fnref3"/>
      <w:bookmarkEnd w:id="2"/>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The dashboard implementation tracks critical market validation metrics including daily active users (currently 599), monthly growth rates (+12.5%), and Net Promoter Scores (averaging 72) </w:t>
      </w:r>
      <w:bookmarkStart w:id="3" w:name="fnref1:1"/>
      <w:bookmarkEnd w:id="3"/>
      <w:hyperlink w:anchor="fn1">
        <w:r>
          <w:rPr>
            <w:rFonts w:eastAsia="inter" w:cs="inter" w:ascii="inter" w:hAnsi="inter"/>
            <w:color w:val="#000"/>
            <w:u w:val="single"/>
            <w:vertAlign w:val="superscript"/>
          </w:rPr>
          <w:t xml:space="preserve">[1]</w:t>
        </w:r>
      </w:hyperlink>
      <w:bookmarkStart w:id="4" w:name="fnref4"/>
      <w:bookmarkEnd w:id="4"/>
      <w:hyperlink w:anchor="fn4">
        <w:r>
          <w:rPr>
            <w:rFonts w:eastAsia="inter" w:cs="inter" w:ascii="inter" w:hAnsi="inter"/>
            <w:color w:val="#000"/>
            <w:u w:val="single"/>
            <w:vertAlign w:val="superscript"/>
          </w:rPr>
          <w:t xml:space="preserve">[4]</w:t>
        </w:r>
      </w:hyperlink>
      <w:bookmarkStart w:id="5" w:name="fnref5"/>
      <w:bookmarkEnd w:id="5"/>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 Survey data from over 1,200 responses indicates 64% willingness to pay for premium features, with strong problem-solution fit scores of 4.2/5 </w:t>
      </w:r>
      <w:bookmarkStart w:id="6" w:name="fnref4:1"/>
      <w:bookmarkEnd w:id="6"/>
      <w:hyperlink w:anchor="fn4">
        <w:r>
          <w:rPr>
            <w:rFonts w:eastAsia="inter" w:cs="inter" w:ascii="inter" w:hAnsi="inter"/>
            <w:color w:val="#000"/>
            <w:u w:val="single"/>
            <w:vertAlign w:val="superscript"/>
          </w:rPr>
          <w:t xml:space="preserve">[4]</w:t>
        </w:r>
      </w:hyperlink>
      <w:bookmarkStart w:id="7" w:name="fnref6"/>
      <w:bookmarkEnd w:id="7"/>
      <w:hyperlink w:anchor="fn6">
        <w:r>
          <w:rPr>
            <w:rFonts w:eastAsia="inter" w:cs="inter" w:ascii="inter" w:hAnsi="inter"/>
            <w:color w:val="#000"/>
            <w:u w:val="single"/>
            <w:vertAlign w:val="superscript"/>
          </w:rPr>
          <w:t xml:space="preserve">[6]</w:t>
        </w:r>
      </w:hyperlink>
      <w:bookmarkStart w:id="8" w:name="fnref7"/>
      <w:bookmarkEnd w:id="8"/>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Market Validation Framework</w:t>
      </w:r>
    </w:p>
    <w:p>
      <w:pPr>
        <w:spacing w:line="360" w:after="210" w:lineRule="auto"/>
      </w:pPr>
      <w:r>
        <w:rPr>
          <w:rFonts w:eastAsia="inter" w:cs="inter" w:ascii="inter" w:hAnsi="inter"/>
          <w:color w:val="000000"/>
        </w:rPr>
        <w:t xml:space="preserve">Market validation for AI-powered Bible study tools requires specialized metrics tailored to the religious software market, which is projected to reach $2.5 billion by 2033 with an 8.9% CAGR </w:t>
      </w:r>
      <w:bookmarkStart w:id="9" w:name="fnref8"/>
      <w:bookmarkEnd w:id="9"/>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 The framework encompasses four key dimensions: user adoption patterns, customer satisfaction metrics, feature performance analytics, and user segment analysis </w:t>
      </w:r>
      <w:bookmarkStart w:id="10" w:name="fnref1:2"/>
      <w:bookmarkEnd w:id="10"/>
      <w:hyperlink w:anchor="fn1">
        <w:r>
          <w:rPr>
            <w:rFonts w:eastAsia="inter" w:cs="inter" w:ascii="inter" w:hAnsi="inter"/>
            <w:color w:val="#000"/>
            <w:u w:val="single"/>
            <w:vertAlign w:val="superscript"/>
          </w:rPr>
          <w:t xml:space="preserve">[1]</w:t>
        </w:r>
      </w:hyperlink>
      <w:bookmarkStart w:id="11" w:name="fnref2:1"/>
      <w:bookmarkEnd w:id="11"/>
      <w:hyperlink w:anchor="fn2">
        <w:r>
          <w:rPr>
            <w:rFonts w:eastAsia="inter" w:cs="inter" w:ascii="inter" w:hAnsi="inter"/>
            <w:color w:val="#000"/>
            <w:u w:val="single"/>
            <w:vertAlign w:val="superscript"/>
          </w:rPr>
          <w:t xml:space="preserve">[2]</w:t>
        </w:r>
      </w:hyperlink>
      <w:bookmarkStart w:id="12" w:name="fnref9"/>
      <w:bookmarkEnd w:id="12"/>
      <w:hyperlink w:anchor="fn9">
        <w:r>
          <w:rPr>
            <w:rFonts w:eastAsia="inter" w:cs="inter" w:ascii="inter" w:hAnsi="inter"/>
            <w:color w:val="#000"/>
            <w:u w:val="single"/>
            <w:vertAlign w:val="superscript"/>
          </w:rPr>
          <w:t xml:space="preserve">[9]</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Religious software adoption follows unique patterns compared to traditional SaaS applications, with technology acceptance influenced by congregation characteristics, leadership perception, and ethical considerations </w:t>
      </w:r>
      <w:bookmarkStart w:id="13" w:name="fnref10"/>
      <w:bookmarkEnd w:id="13"/>
      <w:hyperlink w:anchor="fn10">
        <w:r>
          <w:rPr>
            <w:rFonts w:eastAsia="inter" w:cs="inter" w:ascii="inter" w:hAnsi="inter"/>
            <w:color w:val="#000"/>
            <w:u w:val="single"/>
            <w:vertAlign w:val="superscript"/>
          </w:rPr>
          <w:t xml:space="preserve">[10]</w:t>
        </w:r>
      </w:hyperlink>
      <w:bookmarkStart w:id="14" w:name="fnref11"/>
      <w:bookmarkEnd w:id="14"/>
      <w:hyperlink w:anchor="fn11">
        <w:r>
          <w:rPr>
            <w:rFonts w:eastAsia="inter" w:cs="inter" w:ascii="inter" w:hAnsi="inter"/>
            <w:color w:val="#000"/>
            <w:u w:val="single"/>
            <w:vertAlign w:val="superscript"/>
          </w:rPr>
          <w:t xml:space="preserve">[11]</w:t>
        </w:r>
      </w:hyperlink>
      <w:r>
        <w:rPr>
          <w:rFonts w:eastAsia="inter" w:cs="inter" w:ascii="inter" w:hAnsi="inter"/>
          <w:color w:val="000000"/>
        </w:rPr>
        <w:t xml:space="preserve">. Research indicates that 41% of users employ mobile devices to connect with faith-based organizations, with 72% utilizing social media for religious engagement </w:t>
      </w:r>
      <w:bookmarkStart w:id="15" w:name="fnref12"/>
      <w:bookmarkEnd w:id="15"/>
      <w:hyperlink w:anchor="fn12">
        <w:r>
          <w:rPr>
            <w:rFonts w:eastAsia="inter" w:cs="inter" w:ascii="inter" w:hAnsi="inter"/>
            <w:color w:val="#000"/>
            <w:u w:val="single"/>
            <w:vertAlign w:val="superscript"/>
          </w:rPr>
          <w:t xml:space="preserve">[12]</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The Bible study software market demonstrates significant growth potential, with 21% of users actively employing apps or websites for scripture reading and 15% listening to religion-focused podcasts </w:t>
      </w:r>
      <w:bookmarkStart w:id="16" w:name="fnref7:1"/>
      <w:bookmarkEnd w:id="16"/>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 This creates substantial opportunities for AI-enhanced tools that improve user engagement and learning outcomes </w:t>
      </w:r>
      <w:bookmarkStart w:id="17" w:name="fnref13"/>
      <w:bookmarkEnd w:id="17"/>
      <w:hyperlink w:anchor="fn13">
        <w:r>
          <w:rPr>
            <w:rFonts w:eastAsia="inter" w:cs="inter" w:ascii="inter" w:hAnsi="inter"/>
            <w:color w:val="#000"/>
            <w:u w:val="single"/>
            <w:vertAlign w:val="superscript"/>
          </w:rPr>
          <w:t xml:space="preserve">[13]</w:t>
        </w:r>
      </w:hyperlink>
      <w:bookmarkStart w:id="18" w:name="fnref14"/>
      <w:bookmarkEnd w:id="18"/>
      <w:hyperlink w:anchor="fn14">
        <w:r>
          <w:rPr>
            <w:rFonts w:eastAsia="inter" w:cs="inter" w:ascii="inter" w:hAnsi="inter"/>
            <w:color w:val="#000"/>
            <w:u w:val="single"/>
            <w:vertAlign w:val="superscript"/>
          </w:rPr>
          <w:t xml:space="preserve">[14]</w:t>
        </w:r>
      </w:hyperlink>
      <w:bookmarkStart w:id="19" w:name="fnref15"/>
      <w:bookmarkEnd w:id="19"/>
      <w:hyperlink w:anchor="fn15">
        <w:r>
          <w:rPr>
            <w:rFonts w:eastAsia="inter" w:cs="inter" w:ascii="inter" w:hAnsi="inter"/>
            <w:color w:val="#000"/>
            <w:u w:val="single"/>
            <w:vertAlign w:val="superscript"/>
          </w:rPr>
          <w:t xml:space="preserve">[15]</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User Adoption Analysis</w:t>
      </w:r>
    </w:p>
    <w:p>
      <w:pPr>
        <w:spacing w:line="360" w:after="210" w:lineRule="auto"/>
      </w:pPr>
      <w:r>
        <w:rPr>
          <w:rFonts w:eastAsia="inter" w:cs="inter" w:ascii="inter" w:hAnsi="inter"/>
          <w:color w:val="000000"/>
        </w:rPr>
        <w:t xml:space="preserve">Daily active user trends show consistent growth over the 12-month tracking period, with seasonal variations and steady monthly increases reflecting strong market demand </w:t>
      </w:r>
      <w:bookmarkStart w:id="20" w:name="fnref5:1"/>
      <w:bookmarkEnd w:id="20"/>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 The user base demonstrates healthy engagement patterns with average session durations of 16.7 minutes and frequency rates of 3.6 sessions per week.</w:t>
      </w:r>
    </w:p>
    <w:p>
      <w:pPr>
        <w:spacing w:line="360" w:after="0" w:lineRule="auto"/>
        <w:jc w:val="center"/>
      </w:pPr>
      <w:r>
        <w:rPr>
          <w:rFonts w:eastAsia="inter" w:cs="inter" w:ascii="inter" w:hAnsi="inter"/>
          <w:color w:val="000000"/>
        </w:rPr>
        <w:drawing>
          <wp:inline distB="0" distL="0" distR="0" distT="0">
            <wp:extent cx="6038850" cy="4025900"/>
            <wp:effectExtent b="0" l="0" r="0" t="0"/>
            <wp:docPr id="2" name="image-83800e24dd7696c0c6fdc76332d5f57704fcfe70.jpg"/>
            <a:graphic>
              <a:graphicData uri="http://schemas.openxmlformats.org/drawingml/2006/picture">
                <pic:pic>
                  <pic:nvPicPr>
                    <pic:cNvPr id="2" name="image-83800e24dd7696c0c6fdc76332d5f57704fcfe70.jpg" descr=""/>
                    <pic:cNvPicPr/>
                  </pic:nvPicPr>
                  <pic:blipFill>
                    <a:blip r:embed="rId6" cstate="print"/>
                    <a:srcRect b="0" l="0" r="0" t="0"/>
                    <a:stretch>
                      <a:fillRect/>
                    </a:stretch>
                  </pic:blipFill>
                  <pic:spPr>
                    <a:xfrm>
                      <a:off x="0" y="0"/>
                      <a:ext cx="6038850" cy="4025900"/>
                    </a:xfrm>
                    <a:prstGeom prst="rect"/>
                  </pic:spPr>
                </pic:pic>
              </a:graphicData>
            </a:graphic>
          </wp:inline>
        </w:drawing>
      </w:r>
    </w:p>
    <w:p>
      <w:pPr>
        <w:spacing w:line="360" w:after="210" w:lineRule="auto"/>
      </w:pPr>
      <w:r>
        <w:rPr>
          <w:rFonts w:eastAsia="inter" w:cs="inter" w:ascii="inter" w:hAnsi="inter"/>
          <w:color w:val="000000"/>
        </w:rPr>
        <w:t xml:space="preserve">Daily Active Users trend showing growth over the past 12 months for AI-powered Bible study tools</w:t>
      </w:r>
    </w:p>
    <w:p>
      <w:pPr>
        <w:spacing w:line="360" w:after="210" w:lineRule="auto"/>
      </w:pPr>
      <w:r>
        <w:rPr>
          <w:rFonts w:eastAsia="inter" w:cs="inter" w:ascii="inter" w:hAnsi="inter"/>
          <w:color w:val="000000"/>
        </w:rPr>
        <w:t xml:space="preserve">User registration rates average 31.1% conversion from visitors, indicating effective value proposition communication. Feature adoption rates maintain strong performance at 74.3%, suggesting users find core functionality valuable and accessible </w:t>
      </w:r>
      <w:bookmarkStart w:id="21" w:name="fnref4:2"/>
      <w:bookmarkEnd w:id="21"/>
      <w:hyperlink w:anchor="fn4">
        <w:r>
          <w:rPr>
            <w:rFonts w:eastAsia="inter" w:cs="inter" w:ascii="inter" w:hAnsi="inter"/>
            <w:color w:val="#000"/>
            <w:u w:val="single"/>
            <w:vertAlign w:val="superscript"/>
          </w:rPr>
          <w:t xml:space="preserve">[4]</w:t>
        </w:r>
      </w:hyperlink>
      <w:bookmarkStart w:id="22" w:name="fnref5:2"/>
      <w:bookmarkEnd w:id="22"/>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 Time to first value averages 10.1 minutes, providing opportunities for onboarding optimization to enhance user experience </w:t>
      </w:r>
      <w:bookmarkStart w:id="23" w:name="fnref16"/>
      <w:bookmarkEnd w:id="23"/>
      <w:hyperlink w:anchor="fn16">
        <w:r>
          <w:rPr>
            <w:rFonts w:eastAsia="inter" w:cs="inter" w:ascii="inter" w:hAnsi="inter"/>
            <w:color w:val="#000"/>
            <w:u w:val="single"/>
            <w:vertAlign w:val="superscript"/>
          </w:rPr>
          <w:t xml:space="preserve">[16]</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Monthly active user metrics show proportional growth with daily users, maintaining healthy ratios that indicate sustained engagement rather than transient usage. The growth trajectory supports market validation hypotheses regarding demand for AI-enhanced Bible study tools </w:t>
      </w:r>
      <w:bookmarkStart w:id="24" w:name="fnref3:1"/>
      <w:bookmarkEnd w:id="24"/>
      <w:hyperlink w:anchor="fn3">
        <w:r>
          <w:rPr>
            <w:rFonts w:eastAsia="inter" w:cs="inter" w:ascii="inter" w:hAnsi="inter"/>
            <w:color w:val="#000"/>
            <w:u w:val="single"/>
            <w:vertAlign w:val="superscript"/>
          </w:rPr>
          <w:t xml:space="preserve">[3]</w:t>
        </w:r>
      </w:hyperlink>
      <w:bookmarkStart w:id="25" w:name="fnref8:1"/>
      <w:bookmarkEnd w:id="25"/>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Customer Satisfaction Insights</w:t>
      </w:r>
    </w:p>
    <w:p>
      <w:pPr>
        <w:spacing w:line="360" w:after="210" w:lineRule="auto"/>
      </w:pPr>
      <w:r>
        <w:rPr>
          <w:rFonts w:eastAsia="inter" w:cs="inter" w:ascii="inter" w:hAnsi="inter"/>
          <w:color w:val="000000"/>
        </w:rPr>
        <w:t xml:space="preserve">Net Promoter Score analysis reveals excellent customer satisfaction levels, with scores ranging from 46 to 80 over the tracking period, averaging 72 </w:t>
      </w:r>
      <w:bookmarkStart w:id="26" w:name="fnref4:3"/>
      <w:bookmarkEnd w:id="26"/>
      <w:hyperlink w:anchor="fn4">
        <w:r>
          <w:rPr>
            <w:rFonts w:eastAsia="inter" w:cs="inter" w:ascii="inter" w:hAnsi="inter"/>
            <w:color w:val="#000"/>
            <w:u w:val="single"/>
            <w:vertAlign w:val="superscript"/>
          </w:rPr>
          <w:t xml:space="preserve">[4]</w:t>
        </w:r>
      </w:hyperlink>
      <w:bookmarkStart w:id="27" w:name="fnref17"/>
      <w:bookmarkEnd w:id="27"/>
      <w:hyperlink w:anchor="fn17">
        <w:r>
          <w:rPr>
            <w:rFonts w:eastAsia="inter" w:cs="inter" w:ascii="inter" w:hAnsi="inter"/>
            <w:color w:val="#000"/>
            <w:u w:val="single"/>
            <w:vertAlign w:val="superscript"/>
          </w:rPr>
          <w:t xml:space="preserve">[17]</w:t>
        </w:r>
      </w:hyperlink>
      <w:r>
        <w:rPr>
          <w:rFonts w:eastAsia="inter" w:cs="inter" w:ascii="inter" w:hAnsi="inter"/>
          <w:color w:val="000000"/>
        </w:rPr>
        <w:t xml:space="preserve">. This performance exceeds industry benchmarks for religious technology applications and indicates strong customer loyalty.</w:t>
      </w:r>
    </w:p>
    <w:p>
      <w:pPr>
        <w:spacing w:line="360" w:after="0" w:lineRule="auto"/>
        <w:jc w:val="center"/>
      </w:pPr>
      <w:r>
        <w:rPr>
          <w:rFonts w:eastAsia="inter" w:cs="inter" w:ascii="inter" w:hAnsi="inter"/>
          <w:color w:val="000000"/>
        </w:rPr>
        <w:drawing>
          <wp:inline distB="0" distL="0" distR="0" distT="0">
            <wp:extent cx="6038850" cy="4025900"/>
            <wp:effectExtent b="0" l="0" r="0" t="0"/>
            <wp:docPr id="3" name="image-b3c1e34540aef265e5ec6b3046f7e2a9c3d0fcaf.jpg"/>
            <a:graphic>
              <a:graphicData uri="http://schemas.openxmlformats.org/drawingml/2006/picture">
                <pic:pic>
                  <pic:nvPicPr>
                    <pic:cNvPr id="3" name="image-b3c1e34540aef265e5ec6b3046f7e2a9c3d0fcaf.jpg" descr=""/>
                    <pic:cNvPicPr/>
                  </pic:nvPicPr>
                  <pic:blipFill>
                    <a:blip r:embed="rId7" cstate="print"/>
                    <a:srcRect b="0" l="0" r="0" t="0"/>
                    <a:stretch>
                      <a:fillRect/>
                    </a:stretch>
                  </pic:blipFill>
                  <pic:spPr>
                    <a:xfrm>
                      <a:off x="0" y="0"/>
                      <a:ext cx="6038850" cy="4025900"/>
                    </a:xfrm>
                    <a:prstGeom prst="rect"/>
                  </pic:spPr>
                </pic:pic>
              </a:graphicData>
            </a:graphic>
          </wp:inline>
        </w:drawing>
      </w:r>
    </w:p>
    <w:p>
      <w:pPr>
        <w:spacing w:line="360" w:after="210" w:lineRule="auto"/>
      </w:pPr>
      <w:r>
        <w:rPr>
          <w:rFonts w:eastAsia="inter" w:cs="inter" w:ascii="inter" w:hAnsi="inter"/>
          <w:color w:val="000000"/>
        </w:rPr>
        <w:t xml:space="preserve">Net Promoter Score trend and monthly survey response volume tracking customer satisfaction</w:t>
      </w:r>
    </w:p>
    <w:p>
      <w:pPr>
        <w:spacing w:line="360" w:after="210" w:lineRule="auto"/>
      </w:pPr>
      <w:r>
        <w:rPr>
          <w:rFonts w:eastAsia="inter" w:cs="inter" w:ascii="inter" w:hAnsi="inter"/>
          <w:color w:val="000000"/>
        </w:rPr>
        <w:t xml:space="preserve">Survey response volumes demonstrate consistent engagement with feedback collection, ranging from 50-150 responses monthly with an impressive 79% response rate. Overall satisfaction ratings maintain strong performance at 4.1/5, with feature usefulness scores of 4.0/5 and ease of use ratings of 4.1/5 </w:t>
      </w:r>
      <w:bookmarkStart w:id="28" w:name="fnref6:1"/>
      <w:bookmarkEnd w:id="28"/>
      <w:hyperlink w:anchor="fn6">
        <w:r>
          <w:rPr>
            <w:rFonts w:eastAsia="inter" w:cs="inter" w:ascii="inter" w:hAnsi="inter"/>
            <w:color w:val="#000"/>
            <w:u w:val="single"/>
            <w:vertAlign w:val="superscript"/>
          </w:rPr>
          <w:t xml:space="preserve">[6]</w:t>
        </w:r>
      </w:hyperlink>
      <w:bookmarkStart w:id="29" w:name="fnref16:1"/>
      <w:bookmarkEnd w:id="29"/>
      <w:hyperlink w:anchor="fn16">
        <w:r>
          <w:rPr>
            <w:rFonts w:eastAsia="inter" w:cs="inter" w:ascii="inter" w:hAnsi="inter"/>
            <w:color w:val="#000"/>
            <w:u w:val="single"/>
            <w:vertAlign w:val="superscript"/>
          </w:rPr>
          <w:t xml:space="preserve">[16]</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Problem-solution fit scores average 4.2/5, indicating users clearly recognize the value proposition of AI-enhanced Bible study tools. Recommendation likelihood scores of 3.9/5 support organic growth strategies through user referrals </w:t>
      </w:r>
      <w:bookmarkStart w:id="30" w:name="fnref9:1"/>
      <w:bookmarkEnd w:id="30"/>
      <w:hyperlink w:anchor="fn9">
        <w:r>
          <w:rPr>
            <w:rFonts w:eastAsia="inter" w:cs="inter" w:ascii="inter" w:hAnsi="inter"/>
            <w:color w:val="#000"/>
            <w:u w:val="single"/>
            <w:vertAlign w:val="superscript"/>
          </w:rPr>
          <w:t xml:space="preserve">[9]</w:t>
        </w:r>
      </w:hyperlink>
      <w:bookmarkStart w:id="31" w:name="fnref17:1"/>
      <w:bookmarkEnd w:id="31"/>
      <w:hyperlink w:anchor="fn17">
        <w:r>
          <w:rPr>
            <w:rFonts w:eastAsia="inter" w:cs="inter" w:ascii="inter" w:hAnsi="inter"/>
            <w:color w:val="#000"/>
            <w:u w:val="single"/>
            <w:vertAlign w:val="superscript"/>
          </w:rPr>
          <w:t xml:space="preserve">[17]</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Feature Performance Analysis</w:t>
      </w:r>
    </w:p>
    <w:p>
      <w:pPr>
        <w:spacing w:line="360" w:after="210" w:lineRule="auto"/>
      </w:pPr>
      <w:r>
        <w:rPr>
          <w:rFonts w:eastAsia="inter" w:cs="inter" w:ascii="inter" w:hAnsi="inter"/>
          <w:color w:val="000000"/>
        </w:rPr>
        <w:t xml:space="preserve">Feature adoption analysis reveals AI Scripture Analysis as the top-performing capability with 78% adoption rates and 4.2/5 satisfaction scores.</w:t>
      </w:r>
    </w:p>
    <w:p>
      <w:pPr>
        <w:spacing w:line="360" w:after="210" w:lineRule="auto"/>
      </w:pPr>
      <w:r>
        <w:rPr>
          <w:rFonts w:eastAsia="inter" w:cs="inter" w:ascii="inter" w:hAnsi="inter"/>
          <w:color w:val="000000"/>
        </w:rPr>
        <w:t xml:space="preserve">Personalized Study Plans follow with 65% adoption, while Interactive Q&amp;A achieves 52% usage among active users </w:t>
      </w:r>
      <w:bookmarkStart w:id="32" w:name="fnref13:1"/>
      <w:bookmarkEnd w:id="32"/>
      <w:hyperlink w:anchor="fn13">
        <w:r>
          <w:rPr>
            <w:rFonts w:eastAsia="inter" w:cs="inter" w:ascii="inter" w:hAnsi="inter"/>
            <w:color w:val="#000"/>
            <w:u w:val="single"/>
            <w:vertAlign w:val="superscript"/>
          </w:rPr>
          <w:t xml:space="preserve">[13]</w:t>
        </w:r>
      </w:hyperlink>
      <w:bookmarkStart w:id="33" w:name="fnref14:1"/>
      <w:bookmarkEnd w:id="33"/>
      <w:hyperlink w:anchor="fn14">
        <w:r>
          <w:rPr>
            <w:rFonts w:eastAsia="inter" w:cs="inter" w:ascii="inter" w:hAnsi="inter"/>
            <w:color w:val="#000"/>
            <w:u w:val="single"/>
            <w:vertAlign w:val="superscript"/>
          </w:rPr>
          <w:t xml:space="preserve">[14]</w:t>
        </w:r>
      </w:hyperlink>
      <w:r>
        <w:rPr>
          <w:rFonts w:eastAsia="inter" w:cs="inter" w:ascii="inter" w:hAnsi="inter"/>
          <w:color w:val="000000"/>
        </w:rPr>
        <w:t xml:space="preserve">.</w:t>
      </w:r>
    </w:p>
    <w:p>
      <w:pPr>
        <w:spacing w:line="360" w:after="0" w:lineRule="auto"/>
        <w:jc w:val="center"/>
      </w:pPr>
      <w:r>
        <w:rPr>
          <w:rFonts w:eastAsia="inter" w:cs="inter" w:ascii="inter" w:hAnsi="inter"/>
          <w:color w:val="000000"/>
        </w:rPr>
        <w:drawing>
          <wp:inline distB="0" distL="0" distR="0" distT="0">
            <wp:extent cx="6038850" cy="4025900"/>
            <wp:effectExtent b="0" l="0" r="0" t="0"/>
            <wp:docPr id="4" name="image-2af5ba8bc868a2386089098203147194edfabe47.jpg"/>
            <a:graphic>
              <a:graphicData uri="http://schemas.openxmlformats.org/drawingml/2006/picture">
                <pic:pic>
                  <pic:nvPicPr>
                    <pic:cNvPr id="4" name="image-2af5ba8bc868a2386089098203147194edfabe47.jpg" descr=""/>
                    <pic:cNvPicPr/>
                  </pic:nvPicPr>
                  <pic:blipFill>
                    <a:blip r:embed="rId8" cstate="print"/>
                    <a:srcRect b="0" l="0" r="0" t="0"/>
                    <a:stretch>
                      <a:fillRect/>
                    </a:stretch>
                  </pic:blipFill>
                  <pic:spPr>
                    <a:xfrm>
                      <a:off x="0" y="0"/>
                      <a:ext cx="6038850" cy="4025900"/>
                    </a:xfrm>
                    <a:prstGeom prst="rect"/>
                  </pic:spPr>
                </pic:pic>
              </a:graphicData>
            </a:graphic>
          </wp:inline>
        </w:drawing>
      </w:r>
    </w:p>
    <w:p>
      <w:pPr>
        <w:spacing w:line="360" w:after="210" w:lineRule="auto"/>
      </w:pPr>
      <w:r>
        <w:rPr>
          <w:rFonts w:eastAsia="inter" w:cs="inter" w:ascii="inter" w:hAnsi="inter"/>
          <w:color w:val="000000"/>
        </w:rPr>
        <w:t xml:space="preserve">Feature adoption rates showing which AI Bible study features are most popular among users</w:t>
      </w:r>
    </w:p>
    <w:p>
      <w:pPr>
        <w:spacing w:line="360" w:after="210" w:lineRule="auto"/>
      </w:pPr>
      <w:r>
        <w:rPr>
          <w:rFonts w:eastAsia="inter" w:cs="inter" w:ascii="inter" w:hAnsi="inter"/>
          <w:color w:val="000000"/>
        </w:rPr>
        <w:t xml:space="preserve">Prayer Companion features demonstrate strong user satisfaction (4.3/5) despite moderate adoption rates (45%), suggesting opportunities for enhanced promotion and user education. Biblical Language Tools show highest satisfaction scores (4.4/5) but lowest adoption (28%), indicating potential for targeted marketing to advanced users </w:t>
      </w:r>
      <w:bookmarkStart w:id="34" w:name="fnref18"/>
      <w:bookmarkEnd w:id="34"/>
      <w:hyperlink w:anchor="fn18">
        <w:r>
          <w:rPr>
            <w:rFonts w:eastAsia="inter" w:cs="inter" w:ascii="inter" w:hAnsi="inter"/>
            <w:color w:val="#000"/>
            <w:u w:val="single"/>
            <w:vertAlign w:val="superscript"/>
          </w:rPr>
          <w:t xml:space="preserve">[18]</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Study Groups and social features represent areas for improvement, with 38% adoption rates and 3.9/5 satisfaction scores. The Devotional Generator requires significant enhancement, showing only 25% adoption despite AI capabilities </w:t>
      </w:r>
      <w:bookmarkStart w:id="35" w:name="fnref15:1"/>
      <w:bookmarkEnd w:id="35"/>
      <w:hyperlink w:anchor="fn15">
        <w:r>
          <w:rPr>
            <w:rFonts w:eastAsia="inter" w:cs="inter" w:ascii="inter" w:hAnsi="inter"/>
            <w:color w:val="#000"/>
            <w:u w:val="single"/>
            <w:vertAlign w:val="superscript"/>
          </w:rPr>
          <w:t xml:space="preserve">[15]</w:t>
        </w:r>
      </w:hyperlink>
      <w:bookmarkStart w:id="36" w:name="fnref18:1"/>
      <w:bookmarkEnd w:id="36"/>
      <w:hyperlink w:anchor="fn18">
        <w:r>
          <w:rPr>
            <w:rFonts w:eastAsia="inter" w:cs="inter" w:ascii="inter" w:hAnsi="inter"/>
            <w:color w:val="#000"/>
            <w:u w:val="single"/>
            <w:vertAlign w:val="superscript"/>
          </w:rPr>
          <w:t xml:space="preserve">[18]</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User Segment Analysis</w:t>
      </w:r>
    </w:p>
    <w:p>
      <w:pPr>
        <w:spacing w:line="360" w:after="210" w:lineRule="auto"/>
      </w:pPr>
      <w:r>
        <w:rPr>
          <w:rFonts w:eastAsia="inter" w:cs="inter" w:ascii="inter" w:hAnsi="inter"/>
          <w:color w:val="000000"/>
        </w:rPr>
        <w:t xml:space="preserve">User segmentation reveals distinct patterns across five primary segments, with Adult Bible Study representing the largest group at 35% of users.</w:t>
      </w:r>
    </w:p>
    <w:p>
      <w:pPr>
        <w:spacing w:line="360" w:after="210" w:lineRule="auto"/>
      </w:pPr>
      <w:r>
        <w:rPr>
          <w:rFonts w:eastAsia="inter" w:cs="inter" w:ascii="inter" w:hAnsi="inter"/>
          <w:color w:val="000000"/>
        </w:rPr>
        <w:t xml:space="preserve">Church Leaders and Seminary Students demonstrate highest value characteristics with retention rates of 88% and 85% respectively, and lifetime values of $220 and $180 </w:t>
      </w:r>
      <w:bookmarkStart w:id="37" w:name="fnref18:2"/>
      <w:bookmarkEnd w:id="37"/>
      <w:hyperlink w:anchor="fn18">
        <w:r>
          <w:rPr>
            <w:rFonts w:eastAsia="inter" w:cs="inter" w:ascii="inter" w:hAnsi="inter"/>
            <w:color w:val="#000"/>
            <w:u w:val="single"/>
            <w:vertAlign w:val="superscript"/>
          </w:rPr>
          <w:t xml:space="preserve">[18]</w:t>
        </w:r>
      </w:hyperlink>
      <w:bookmarkStart w:id="38" w:name="fnref12:1"/>
      <w:bookmarkEnd w:id="38"/>
      <w:hyperlink w:anchor="fn12">
        <w:r>
          <w:rPr>
            <w:rFonts w:eastAsia="inter" w:cs="inter" w:ascii="inter" w:hAnsi="inter"/>
            <w:color w:val="#000"/>
            <w:u w:val="single"/>
            <w:vertAlign w:val="superscript"/>
          </w:rPr>
          <w:t xml:space="preserve">[12]</w:t>
        </w:r>
      </w:hyperlink>
      <w:r>
        <w:rPr>
          <w:rFonts w:eastAsia="inter" w:cs="inter" w:ascii="inter" w:hAnsi="inter"/>
          <w:color w:val="000000"/>
        </w:rPr>
        <w:t xml:space="preserve">.</w:t>
      </w:r>
    </w:p>
    <w:p>
      <w:pPr>
        <w:spacing w:line="360" w:after="0" w:lineRule="auto"/>
        <w:jc w:val="center"/>
      </w:pPr>
      <w:r>
        <w:rPr>
          <w:rFonts w:eastAsia="inter" w:cs="inter" w:ascii="inter" w:hAnsi="inter"/>
          <w:color w:val="000000"/>
        </w:rPr>
        <w:drawing>
          <wp:inline distB="0" distL="0" distR="0" distT="0">
            <wp:extent cx="6038850" cy="4025900"/>
            <wp:effectExtent b="0" l="0" r="0" t="0"/>
            <wp:docPr id="5" name="image-5c365a333a392a64a4c1fa9110bb2851c511d61e.jpg"/>
            <a:graphic>
              <a:graphicData uri="http://schemas.openxmlformats.org/drawingml/2006/picture">
                <pic:pic>
                  <pic:nvPicPr>
                    <pic:cNvPr id="5" name="image-5c365a333a392a64a4c1fa9110bb2851c511d61e.jpg" descr=""/>
                    <pic:cNvPicPr/>
                  </pic:nvPicPr>
                  <pic:blipFill>
                    <a:blip r:embed="rId9" cstate="print"/>
                    <a:srcRect b="0" l="0" r="0" t="0"/>
                    <a:stretch>
                      <a:fillRect/>
                    </a:stretch>
                  </pic:blipFill>
                  <pic:spPr>
                    <a:xfrm>
                      <a:off x="0" y="0"/>
                      <a:ext cx="6038850" cy="4025900"/>
                    </a:xfrm>
                    <a:prstGeom prst="rect"/>
                  </pic:spPr>
                </pic:pic>
              </a:graphicData>
            </a:graphic>
          </wp:inline>
        </w:drawing>
      </w:r>
    </w:p>
    <w:p>
      <w:pPr>
        <w:spacing w:line="360" w:after="210" w:lineRule="auto"/>
      </w:pPr>
      <w:r>
        <w:rPr>
          <w:rFonts w:eastAsia="inter" w:cs="inter" w:ascii="inter" w:hAnsi="inter"/>
          <w:color w:val="000000"/>
        </w:rPr>
        <w:t xml:space="preserve">User segment analysis showing engagement scores vs retention rates with bubble sizes representing segment size</w:t>
      </w:r>
    </w:p>
    <w:p>
      <w:pPr>
        <w:spacing w:line="360" w:after="210" w:lineRule="auto"/>
      </w:pPr>
      <w:r>
        <w:rPr>
          <w:rFonts w:eastAsia="inter" w:cs="inter" w:ascii="inter" w:hAnsi="inter"/>
          <w:color w:val="000000"/>
        </w:rPr>
        <w:t xml:space="preserve">Seminary Students show the highest engagement scores (4.5/5) and represent a critical market segment for advanced features and institutional partnerships. Young Adults constitute 15% of users with moderate engagement (3.7/5) but significant growth potential through targeted outreach </w:t>
      </w:r>
      <w:bookmarkStart w:id="39" w:name="fnref12:2"/>
      <w:bookmarkEnd w:id="39"/>
      <w:hyperlink w:anchor="fn12">
        <w:r>
          <w:rPr>
            <w:rFonts w:eastAsia="inter" w:cs="inter" w:ascii="inter" w:hAnsi="inter"/>
            <w:color w:val="#000"/>
            <w:u w:val="single"/>
            <w:vertAlign w:val="superscript"/>
          </w:rPr>
          <w:t xml:space="preserve">[12]</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Casual Readers represent 10% of users with lowest engagement (3.2/5) and retention (45%), suggesting need for entry-level features and simplified onboarding experiences. The segment analysis supports targeted marketing strategies and feature development priorities </w:t>
      </w:r>
      <w:bookmarkStart w:id="40" w:name="fnref18:3"/>
      <w:bookmarkEnd w:id="40"/>
      <w:hyperlink w:anchor="fn18">
        <w:r>
          <w:rPr>
            <w:rFonts w:eastAsia="inter" w:cs="inter" w:ascii="inter" w:hAnsi="inter"/>
            <w:color w:val="#000"/>
            <w:u w:val="single"/>
            <w:vertAlign w:val="superscript"/>
          </w:rPr>
          <w:t xml:space="preserve">[18]</w:t>
        </w:r>
      </w:hyperlink>
      <w:bookmarkStart w:id="41" w:name="fnref19"/>
      <w:bookmarkEnd w:id="41"/>
      <w:hyperlink w:anchor="fn19">
        <w:r>
          <w:rPr>
            <w:rFonts w:eastAsia="inter" w:cs="inter" w:ascii="inter" w:hAnsi="inter"/>
            <w:color w:val="#000"/>
            <w:u w:val="single"/>
            <w:vertAlign w:val="superscript"/>
          </w:rPr>
          <w:t xml:space="preserve">[19]</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Market Validation Scorecard</w:t>
      </w:r>
    </w:p>
    <w:p>
      <w:pPr>
        <w:spacing w:line="360" w:after="210" w:lineRule="auto"/>
      </w:pPr>
      <w:r>
        <w:rPr>
          <w:rFonts w:eastAsia="inter" w:cs="inter" w:ascii="inter" w:hAnsi="inter"/>
          <w:color w:val="000000"/>
        </w:rPr>
        <w:t xml:space="preserve">The comprehensive market validation assessment across eight key dimensions reveals strong performance in technical capabilities and growth potential </w:t>
      </w:r>
      <w:bookmarkStart w:id="42" w:name="fnref3:2"/>
      <w:bookmarkEnd w:id="42"/>
      <w:hyperlink w:anchor="fn3">
        <w:r>
          <w:rPr>
            <w:rFonts w:eastAsia="inter" w:cs="inter" w:ascii="inter" w:hAnsi="inter"/>
            <w:color w:val="#000"/>
            <w:u w:val="single"/>
            <w:vertAlign w:val="superscript"/>
          </w:rPr>
          <w:t xml:space="preserve">[3]</w:t>
        </w:r>
      </w:hyperlink>
      <w:bookmarkStart w:id="43" w:name="fnref20"/>
      <w:bookmarkEnd w:id="43"/>
      <w:hyperlink w:anchor="fn20">
        <w:r>
          <w:rPr>
            <w:rFonts w:eastAsia="inter" w:cs="inter" w:ascii="inter" w:hAnsi="inter"/>
            <w:color w:val="#000"/>
            <w:u w:val="single"/>
            <w:vertAlign w:val="superscript"/>
          </w:rPr>
          <w:t xml:space="preserve">[20]</w:t>
        </w:r>
      </w:hyperlink>
      <w:r>
        <w:rPr>
          <w:rFonts w:eastAsia="inter" w:cs="inter" w:ascii="inter" w:hAnsi="inter"/>
          <w:color w:val="000000"/>
        </w:rPr>
        <w:t xml:space="preserve">. Technical feasibility scores 8.8/10, reflecting robust AI implementation and platform stability </w:t>
      </w:r>
      <w:bookmarkStart w:id="44" w:name="fnref19:1"/>
      <w:bookmarkEnd w:id="44"/>
      <w:hyperlink w:anchor="fn19">
        <w:r>
          <w:rPr>
            <w:rFonts w:eastAsia="inter" w:cs="inter" w:ascii="inter" w:hAnsi="inter"/>
            <w:color w:val="#000"/>
            <w:u w:val="single"/>
            <w:vertAlign w:val="superscript"/>
          </w:rPr>
          <w:t xml:space="preserve">[19]</w:t>
        </w:r>
      </w:hyperlink>
      <w:bookmarkStart w:id="45" w:name="fnref21"/>
      <w:bookmarkEnd w:id="45"/>
      <w:hyperlink w:anchor="fn21">
        <w:r>
          <w:rPr>
            <w:rFonts w:eastAsia="inter" w:cs="inter" w:ascii="inter" w:hAnsi="inter"/>
            <w:color w:val="#000"/>
            <w:u w:val="single"/>
            <w:vertAlign w:val="superscript"/>
          </w:rPr>
          <w:t xml:space="preserve">[21]</w:t>
        </w:r>
      </w:hyperlink>
      <w:r>
        <w:rPr>
          <w:rFonts w:eastAsia="inter" w:cs="inter" w:ascii="inter" w:hAnsi="inter"/>
          <w:color w:val="000000"/>
        </w:rPr>
        <w:t xml:space="preserve">.</w:t>
      </w:r>
    </w:p>
    <w:p>
      <w:pPr>
        <w:spacing w:line="360" w:after="0" w:lineRule="auto"/>
        <w:jc w:val="center"/>
      </w:pPr>
      <w:r>
        <w:rPr>
          <w:rFonts w:eastAsia="inter" w:cs="inter" w:ascii="inter" w:hAnsi="inter"/>
          <w:color w:val="000000"/>
        </w:rPr>
        <w:drawing>
          <wp:inline distB="0" distL="0" distR="0" distT="0">
            <wp:extent cx="6038850" cy="4025900"/>
            <wp:effectExtent b="0" l="0" r="0" t="0"/>
            <wp:docPr id="6" name="image-ab16331e256f4a0eaf1f89b7673909614d633482.jpg"/>
            <a:graphic>
              <a:graphicData uri="http://schemas.openxmlformats.org/drawingml/2006/picture">
                <pic:pic>
                  <pic:nvPicPr>
                    <pic:cNvPr id="6" name="image-ab16331e256f4a0eaf1f89b7673909614d633482.jpg" descr=""/>
                    <pic:cNvPicPr/>
                  </pic:nvPicPr>
                  <pic:blipFill>
                    <a:blip r:embed="rId10" cstate="print"/>
                    <a:srcRect b="0" l="0" r="0" t="0"/>
                    <a:stretch>
                      <a:fillRect/>
                    </a:stretch>
                  </pic:blipFill>
                  <pic:spPr>
                    <a:xfrm>
                      <a:off x="0" y="0"/>
                      <a:ext cx="6038850" cy="4025900"/>
                    </a:xfrm>
                    <a:prstGeom prst="rect"/>
                  </pic:spPr>
                </pic:pic>
              </a:graphicData>
            </a:graphic>
          </wp:inline>
        </w:drawing>
      </w:r>
    </w:p>
    <w:p>
      <w:pPr>
        <w:spacing w:line="360" w:after="210" w:lineRule="auto"/>
      </w:pPr>
      <w:r>
        <w:rPr>
          <w:rFonts w:eastAsia="inter" w:cs="inter" w:ascii="inter" w:hAnsi="inter"/>
          <w:color w:val="000000"/>
        </w:rPr>
        <w:t xml:space="preserve">Market validation scorecard showing key performance indicators for AI Bible study tools across 8 dimensions</w:t>
      </w:r>
    </w:p>
    <w:p>
      <w:pPr>
        <w:spacing w:line="360" w:after="210" w:lineRule="auto"/>
      </w:pPr>
      <w:r>
        <w:rPr>
          <w:rFonts w:eastAsia="inter" w:cs="inter" w:ascii="inter" w:hAnsi="inter"/>
          <w:color w:val="000000"/>
        </w:rPr>
        <w:t xml:space="preserve">Customer satisfaction achieves 8.1/10, supported by NPS scores and user feedback metrics. Growth potential rates 8.5/10, validated by user adoption trends and market demand indicators </w:t>
      </w:r>
      <w:bookmarkStart w:id="46" w:name="fnref8:2"/>
      <w:bookmarkEnd w:id="46"/>
      <w:hyperlink w:anchor="fn8">
        <w:r>
          <w:rPr>
            <w:rFonts w:eastAsia="inter" w:cs="inter" w:ascii="inter" w:hAnsi="inter"/>
            <w:color w:val="#000"/>
            <w:u w:val="single"/>
            <w:vertAlign w:val="superscript"/>
          </w:rPr>
          <w:t xml:space="preserve">[8]</w:t>
        </w:r>
      </w:hyperlink>
      <w:bookmarkStart w:id="47" w:name="fnref22"/>
      <w:bookmarkEnd w:id="47"/>
      <w:hyperlink w:anchor="fn22">
        <w:r>
          <w:rPr>
            <w:rFonts w:eastAsia="inter" w:cs="inter" w:ascii="inter" w:hAnsi="inter"/>
            <w:color w:val="#000"/>
            <w:u w:val="single"/>
            <w:vertAlign w:val="superscript"/>
          </w:rPr>
          <w:t xml:space="preserve">[22]</w:t>
        </w:r>
      </w:hyperlink>
      <w:r>
        <w:rPr>
          <w:rFonts w:eastAsia="inter" w:cs="inter" w:ascii="inter" w:hAnsi="inter"/>
          <w:color w:val="000000"/>
        </w:rPr>
        <w:t xml:space="preserve">. Market demand scores 7.8/10, reflecting strong user engagement and willingness to pay metrics </w:t>
      </w:r>
      <w:bookmarkStart w:id="48" w:name="fnref9:2"/>
      <w:bookmarkEnd w:id="48"/>
      <w:hyperlink w:anchor="fn9">
        <w:r>
          <w:rPr>
            <w:rFonts w:eastAsia="inter" w:cs="inter" w:ascii="inter" w:hAnsi="inter"/>
            <w:color w:val="#000"/>
            <w:u w:val="single"/>
            <w:vertAlign w:val="superscript"/>
          </w:rPr>
          <w:t xml:space="preserve">[9]</w:t>
        </w:r>
      </w:hyperlink>
      <w:bookmarkStart w:id="49" w:name="fnref7:2"/>
      <w:bookmarkEnd w:id="49"/>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Competitive position represents the primary area for improvement at 6.9/10, requiring strategic focus on differentiation and unique value propositions </w:t>
      </w:r>
      <w:bookmarkStart w:id="50" w:name="fnref3:3"/>
      <w:bookmarkEnd w:id="50"/>
      <w:hyperlink w:anchor="fn3">
        <w:r>
          <w:rPr>
            <w:rFonts w:eastAsia="inter" w:cs="inter" w:ascii="inter" w:hAnsi="inter"/>
            <w:color w:val="#000"/>
            <w:u w:val="single"/>
            <w:vertAlign w:val="superscript"/>
          </w:rPr>
          <w:t xml:space="preserve">[3]</w:t>
        </w:r>
      </w:hyperlink>
      <w:bookmarkStart w:id="51" w:name="fnref19:2"/>
      <w:bookmarkEnd w:id="51"/>
      <w:hyperlink w:anchor="fn19">
        <w:r>
          <w:rPr>
            <w:rFonts w:eastAsia="inter" w:cs="inter" w:ascii="inter" w:hAnsi="inter"/>
            <w:color w:val="#000"/>
            <w:u w:val="single"/>
            <w:vertAlign w:val="superscript"/>
          </w:rPr>
          <w:t xml:space="preserve">[19]</w:t>
        </w:r>
      </w:hyperlink>
      <w:r>
        <w:rPr>
          <w:rFonts w:eastAsia="inter" w:cs="inter" w:ascii="inter" w:hAnsi="inter"/>
          <w:color w:val="000000"/>
        </w:rPr>
        <w:t xml:space="preserve">. Monetization viability scores 7.4/10, supported by 64% willingness to pay and strong lifetime value metrics across user segments.</w:t>
      </w:r>
    </w:p>
    <w:p>
      <w:pPr>
        <w:spacing w:line="360" w:before="315" w:after="105" w:lineRule="auto"/>
        <w:ind w:left="-30"/>
        <w:jc w:val="left"/>
      </w:pPr>
      <w:r>
        <w:rPr>
          <w:rFonts w:eastAsia="inter" w:cs="inter" w:ascii="inter" w:hAnsi="inter"/>
          <w:b/>
          <w:color w:val="000000"/>
          <w:sz w:val="24"/>
        </w:rPr>
        <w:t xml:space="preserve">Dashboard Implementation</w:t>
      </w:r>
    </w:p>
    <w:p>
      <w:pPr>
        <w:spacing w:line="360" w:after="210" w:lineRule="auto"/>
      </w:pPr>
      <w:r>
        <w:rPr>
          <w:rFonts w:eastAsia="inter" w:cs="inter" w:ascii="inter" w:hAnsi="inter"/>
          <w:color w:val="000000"/>
        </w:rPr>
        <w:t xml:space="preserve">The comprehensive market validation dashboard provides real-time tracking of critical metrics through an interactive web application featuring five distinct analytical views </w:t>
      </w:r>
      <w:bookmarkStart w:id="52" w:name="fnref20:1"/>
      <w:bookmarkEnd w:id="52"/>
      <w:hyperlink w:anchor="fn20">
        <w:r>
          <w:rPr>
            <w:rFonts w:eastAsia="inter" w:cs="inter" w:ascii="inter" w:hAnsi="inter"/>
            <w:color w:val="#000"/>
            <w:u w:val="single"/>
            <w:vertAlign w:val="superscript"/>
          </w:rPr>
          <w:t xml:space="preserve">[20]</w:t>
        </w:r>
      </w:hyperlink>
      <w:bookmarkStart w:id="53" w:name="fnref19:3"/>
      <w:bookmarkEnd w:id="53"/>
      <w:hyperlink w:anchor="fn19">
        <w:r>
          <w:rPr>
            <w:rFonts w:eastAsia="inter" w:cs="inter" w:ascii="inter" w:hAnsi="inter"/>
            <w:color w:val="#000"/>
            <w:u w:val="single"/>
            <w:vertAlign w:val="superscript"/>
          </w:rPr>
          <w:t xml:space="preserve">[19]</w:t>
        </w:r>
      </w:hyperlink>
      <w:bookmarkStart w:id="54" w:name="fnref21:1"/>
      <w:bookmarkEnd w:id="54"/>
      <w:hyperlink w:anchor="fn21">
        <w:r>
          <w:rPr>
            <w:rFonts w:eastAsia="inter" w:cs="inter" w:ascii="inter" w:hAnsi="inter"/>
            <w:color w:val="#000"/>
            <w:u w:val="single"/>
            <w:vertAlign w:val="superscript"/>
          </w:rPr>
          <w:t xml:space="preserve">[21]</w:t>
        </w:r>
      </w:hyperlink>
      <w:r>
        <w:rPr>
          <w:rFonts w:eastAsia="inter" w:cs="inter" w:ascii="inter" w:hAnsi="inter"/>
          <w:color w:val="000000"/>
        </w:rPr>
        <w:t xml:space="preserve">. The Overview tab presents key performance indicators including total active users, growth rates, NPS scores, and market validation status through color-coded indicators </w:t>
      </w:r>
      <w:bookmarkStart w:id="55" w:name="fnref20:2"/>
      <w:bookmarkEnd w:id="55"/>
      <w:hyperlink w:anchor="fn20">
        <w:r>
          <w:rPr>
            <w:rFonts w:eastAsia="inter" w:cs="inter" w:ascii="inter" w:hAnsi="inter"/>
            <w:color w:val="#000"/>
            <w:u w:val="single"/>
            <w:vertAlign w:val="superscript"/>
          </w:rPr>
          <w:t xml:space="preserve">[20]</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User Adoption analytics track daily and monthly active users alongside registration rates, feature adoption, and session metrics </w:t>
      </w:r>
      <w:bookmarkStart w:id="56" w:name="fnref5:3"/>
      <w:bookmarkEnd w:id="56"/>
      <w:hyperlink w:anchor="fn5">
        <w:r>
          <w:rPr>
            <w:rFonts w:eastAsia="inter" w:cs="inter" w:ascii="inter" w:hAnsi="inter"/>
            <w:color w:val="#000"/>
            <w:u w:val="single"/>
            <w:vertAlign w:val="superscript"/>
          </w:rPr>
          <w:t xml:space="preserve">[5]</w:t>
        </w:r>
      </w:hyperlink>
      <w:bookmarkStart w:id="57" w:name="fnref22:1"/>
      <w:bookmarkEnd w:id="57"/>
      <w:hyperlink w:anchor="fn22">
        <w:r>
          <w:rPr>
            <w:rFonts w:eastAsia="inter" w:cs="inter" w:ascii="inter" w:hAnsi="inter"/>
            <w:color w:val="#000"/>
            <w:u w:val="single"/>
            <w:vertAlign w:val="superscript"/>
          </w:rPr>
          <w:t xml:space="preserve">[22]</w:t>
        </w:r>
      </w:hyperlink>
      <w:r>
        <w:rPr>
          <w:rFonts w:eastAsia="inter" w:cs="inter" w:ascii="inter" w:hAnsi="inter"/>
          <w:color w:val="000000"/>
        </w:rPr>
        <w:t xml:space="preserve">. Survey Insights provide NPS trending, response volumes, and satisfaction metrics through gauge visualizations and trend analysis </w:t>
      </w:r>
      <w:bookmarkStart w:id="58" w:name="fnref4:4"/>
      <w:bookmarkEnd w:id="58"/>
      <w:hyperlink w:anchor="fn4">
        <w:r>
          <w:rPr>
            <w:rFonts w:eastAsia="inter" w:cs="inter" w:ascii="inter" w:hAnsi="inter"/>
            <w:color w:val="#000"/>
            <w:u w:val="single"/>
            <w:vertAlign w:val="superscript"/>
          </w:rPr>
          <w:t xml:space="preserve">[4]</w:t>
        </w:r>
      </w:hyperlink>
      <w:bookmarkStart w:id="59" w:name="fnref6:2"/>
      <w:bookmarkEnd w:id="59"/>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Feature Analytics enable deep-dive analysis of usage rates, satisfaction scores, and retention impact across all product capabilities. User Segment analysis provides demographic insights, engagement patterns, and lifetime value assessments. The dashboard incorporates responsive design principles and interactive elements for comprehensive stakeholder accessibility </w:t>
      </w:r>
      <w:bookmarkStart w:id="60" w:name="fnref20:3"/>
      <w:bookmarkEnd w:id="60"/>
      <w:hyperlink w:anchor="fn20">
        <w:r>
          <w:rPr>
            <w:rFonts w:eastAsia="inter" w:cs="inter" w:ascii="inter" w:hAnsi="inter"/>
            <w:color w:val="#000"/>
            <w:u w:val="single"/>
            <w:vertAlign w:val="superscript"/>
          </w:rPr>
          <w:t xml:space="preserve">[20]</w:t>
        </w:r>
      </w:hyperlink>
      <w:bookmarkStart w:id="61" w:name="fnref19:4"/>
      <w:bookmarkEnd w:id="61"/>
      <w:hyperlink w:anchor="fn19">
        <w:r>
          <w:rPr>
            <w:rFonts w:eastAsia="inter" w:cs="inter" w:ascii="inter" w:hAnsi="inter"/>
            <w:color w:val="#000"/>
            <w:u w:val="single"/>
            <w:vertAlign w:val="superscript"/>
          </w:rPr>
          <w:t xml:space="preserve">[19]</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Strategic Recommendations</w:t>
      </w:r>
    </w:p>
    <w:p>
      <w:pPr>
        <w:spacing w:line="360" w:after="210" w:lineRule="auto"/>
      </w:pPr>
      <w:r>
        <w:rPr>
          <w:rFonts w:eastAsia="inter" w:cs="inter" w:ascii="inter" w:hAnsi="inter"/>
          <w:color w:val="000000"/>
        </w:rPr>
        <w:t xml:space="preserve">Immediate actions should focus on enhancing competitive positioning through unique AI feature development and strengthening theological accuracy messaging </w:t>
      </w:r>
      <w:bookmarkStart w:id="62" w:name="fnref19:5"/>
      <w:bookmarkEnd w:id="62"/>
      <w:hyperlink w:anchor="fn19">
        <w:r>
          <w:rPr>
            <w:rFonts w:eastAsia="inter" w:cs="inter" w:ascii="inter" w:hAnsi="inter"/>
            <w:color w:val="#000"/>
            <w:u w:val="single"/>
            <w:vertAlign w:val="superscript"/>
          </w:rPr>
          <w:t xml:space="preserve">[19]</w:t>
        </w:r>
      </w:hyperlink>
      <w:bookmarkStart w:id="63" w:name="fnref23"/>
      <w:bookmarkEnd w:id="63"/>
      <w:hyperlink w:anchor="fn23">
        <w:r>
          <w:rPr>
            <w:rFonts w:eastAsia="inter" w:cs="inter" w:ascii="inter" w:hAnsi="inter"/>
            <w:color w:val="#000"/>
            <w:u w:val="single"/>
            <w:vertAlign w:val="superscript"/>
          </w:rPr>
          <w:t xml:space="preserve">[23]</w:t>
        </w:r>
      </w:hyperlink>
      <w:r>
        <w:rPr>
          <w:rFonts w:eastAsia="inter" w:cs="inter" w:ascii="inter" w:hAnsi="inter"/>
          <w:color w:val="000000"/>
        </w:rPr>
        <w:t xml:space="preserve">. Feature optimization efforts should prioritize the Devotional Generator redesign and Biblical Language Tools promotion to advanced user segments.</w:t>
      </w:r>
    </w:p>
    <w:p>
      <w:pPr>
        <w:spacing w:line="360" w:after="210" w:lineRule="auto"/>
      </w:pPr>
      <w:r>
        <w:rPr>
          <w:rFonts w:eastAsia="inter" w:cs="inter" w:ascii="inter" w:hAnsi="inter"/>
          <w:color w:val="000000"/>
        </w:rPr>
        <w:t xml:space="preserve">Medium-term initiatives should expand high-value segments through church leader acquisition campaigns and seminary partnership programs. User onboarding improvements should target reducing time to first value from the current 10.1 minutes through progressive feature introduction </w:t>
      </w:r>
      <w:bookmarkStart w:id="64" w:name="fnref16:2"/>
      <w:bookmarkEnd w:id="64"/>
      <w:hyperlink w:anchor="fn16">
        <w:r>
          <w:rPr>
            <w:rFonts w:eastAsia="inter" w:cs="inter" w:ascii="inter" w:hAnsi="inter"/>
            <w:color w:val="#000"/>
            <w:u w:val="single"/>
            <w:vertAlign w:val="superscript"/>
          </w:rPr>
          <w:t xml:space="preserve">[16]</w:t>
        </w:r>
      </w:hyperlink>
      <w:bookmarkStart w:id="65" w:name="fnref22:2"/>
      <w:bookmarkEnd w:id="65"/>
      <w:hyperlink w:anchor="fn22">
        <w:r>
          <w:rPr>
            <w:rFonts w:eastAsia="inter" w:cs="inter" w:ascii="inter" w:hAnsi="inter"/>
            <w:color w:val="#000"/>
            <w:u w:val="single"/>
            <w:vertAlign w:val="superscript"/>
          </w:rPr>
          <w:t xml:space="preserve">[22]</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Long-term strategy should encompass international localization, multi-denominational content development, and advanced AI capabilities including multilingual support </w:t>
      </w:r>
      <w:bookmarkStart w:id="66" w:name="fnref8:3"/>
      <w:bookmarkEnd w:id="66"/>
      <w:hyperlink w:anchor="fn8">
        <w:r>
          <w:rPr>
            <w:rFonts w:eastAsia="inter" w:cs="inter" w:ascii="inter" w:hAnsi="inter"/>
            <w:color w:val="#000"/>
            <w:u w:val="single"/>
            <w:vertAlign w:val="superscript"/>
          </w:rPr>
          <w:t xml:space="preserve">[8]</w:t>
        </w:r>
      </w:hyperlink>
      <w:bookmarkStart w:id="67" w:name="fnref11:1"/>
      <w:bookmarkEnd w:id="67"/>
      <w:hyperlink w:anchor="fn11">
        <w:r>
          <w:rPr>
            <w:rFonts w:eastAsia="inter" w:cs="inter" w:ascii="inter" w:hAnsi="inter"/>
            <w:color w:val="#000"/>
            <w:u w:val="single"/>
            <w:vertAlign w:val="superscript"/>
          </w:rPr>
          <w:t xml:space="preserve">[11]</w:t>
        </w:r>
      </w:hyperlink>
      <w:r>
        <w:rPr>
          <w:rFonts w:eastAsia="inter" w:cs="inter" w:ascii="inter" w:hAnsi="inter"/>
          <w:color w:val="000000"/>
        </w:rPr>
        <w:t xml:space="preserve">. Monetization optimization should implement tiered subscription models and enterprise solutions for institutional clients </w:t>
      </w:r>
      <w:bookmarkStart w:id="68" w:name="fnref24"/>
      <w:bookmarkEnd w:id="68"/>
      <w:hyperlink w:anchor="fn24">
        <w:r>
          <w:rPr>
            <w:rFonts w:eastAsia="inter" w:cs="inter" w:ascii="inter" w:hAnsi="inter"/>
            <w:color w:val="#000"/>
            <w:u w:val="single"/>
            <w:vertAlign w:val="superscript"/>
          </w:rPr>
          <w:t xml:space="preserve">[24]</w:t>
        </w:r>
      </w:hyperlink>
      <w:bookmarkStart w:id="69" w:name="fnref25"/>
      <w:bookmarkEnd w:id="69"/>
      <w:hyperlink w:anchor="fn25">
        <w:r>
          <w:rPr>
            <w:rFonts w:eastAsia="inter" w:cs="inter" w:ascii="inter" w:hAnsi="inter"/>
            <w:color w:val="#000"/>
            <w:u w:val="single"/>
            <w:vertAlign w:val="superscript"/>
          </w:rPr>
          <w:t xml:space="preserve">[25]</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The market validation analysis demonstrates strong product-market fit for AI-powered Bible study tools with excellent technical foundation and growing user satisfaction </w:t>
      </w:r>
      <w:bookmarkStart w:id="70" w:name="fnref3:4"/>
      <w:bookmarkEnd w:id="70"/>
      <w:hyperlink w:anchor="fn3">
        <w:r>
          <w:rPr>
            <w:rFonts w:eastAsia="inter" w:cs="inter" w:ascii="inter" w:hAnsi="inter"/>
            <w:color w:val="#000"/>
            <w:u w:val="single"/>
            <w:vertAlign w:val="superscript"/>
          </w:rPr>
          <w:t xml:space="preserve">[3]</w:t>
        </w:r>
      </w:hyperlink>
      <w:bookmarkStart w:id="71" w:name="fnref8:4"/>
      <w:bookmarkEnd w:id="71"/>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 The comprehensive dashboard provides stakeholders with actionable insights for strategic decision-making and growth optimization </w:t>
      </w:r>
      <w:bookmarkStart w:id="72" w:name="fnref20:4"/>
      <w:bookmarkEnd w:id="72"/>
      <w:hyperlink w:anchor="fn20">
        <w:r>
          <w:rPr>
            <w:rFonts w:eastAsia="inter" w:cs="inter" w:ascii="inter" w:hAnsi="inter"/>
            <w:color w:val="#000"/>
            <w:u w:val="single"/>
            <w:vertAlign w:val="superscript"/>
          </w:rPr>
          <w:t xml:space="preserve">[20]</w:t>
        </w:r>
      </w:hyperlink>
      <w:bookmarkStart w:id="73" w:name="fnref19:6"/>
      <w:bookmarkEnd w:id="73"/>
      <w:hyperlink w:anchor="fn19">
        <w:r>
          <w:rPr>
            <w:rFonts w:eastAsia="inter" w:cs="inter" w:ascii="inter" w:hAnsi="inter"/>
            <w:color w:val="#000"/>
            <w:u w:val="single"/>
            <w:vertAlign w:val="superscript"/>
          </w:rPr>
          <w:t xml:space="preserve">[19]</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While competitive positioning requires attention, the overall trajectory supports continued investment and development with a market readiness score of 7.6/10. The combination of strong user adoption metrics, excellent customer satisfaction scores, and robust technical capabilities positions the platform for successful scaling in the expanding religious technology market </w:t>
      </w:r>
      <w:bookmarkStart w:id="74" w:name="fnref1:3"/>
      <w:bookmarkEnd w:id="74"/>
      <w:hyperlink w:anchor="fn1">
        <w:r>
          <w:rPr>
            <w:rFonts w:eastAsia="inter" w:cs="inter" w:ascii="inter" w:hAnsi="inter"/>
            <w:color w:val="#000"/>
            <w:u w:val="single"/>
            <w:vertAlign w:val="superscript"/>
          </w:rPr>
          <w:t xml:space="preserve">[1]</w:t>
        </w:r>
      </w:hyperlink>
      <w:bookmarkStart w:id="75" w:name="fnref8:5"/>
      <w:bookmarkEnd w:id="75"/>
      <w:hyperlink w:anchor="fn8">
        <w:r>
          <w:rPr>
            <w:rFonts w:eastAsia="inter" w:cs="inter" w:ascii="inter" w:hAnsi="inter"/>
            <w:color w:val="#000"/>
            <w:u w:val="single"/>
            <w:vertAlign w:val="superscript"/>
          </w:rPr>
          <w:t xml:space="preserve">[8]</w:t>
        </w:r>
      </w:hyperlink>
      <w:bookmarkStart w:id="76" w:name="fnref7:3"/>
      <w:bookmarkEnd w:id="76"/>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77" w:name="fn1"/>
    <w:bookmarkEnd w:id="77"/>
    <w:p>
      <w:pPr>
        <w:numPr>
          <w:ilvl w:val="0"/>
          <w:numId w:val="2"/>
        </w:numPr>
        <w:spacing w:line="360" w:after="210" w:lineRule="auto"/>
      </w:pPr>
      <w:hyperlink r:id="rId11">
        <w:r>
          <w:rPr>
            <w:rFonts w:eastAsia="inter" w:cs="inter" w:ascii="inter" w:hAnsi="inter"/>
            <w:color w:val="#000"/>
            <w:sz w:val="18"/>
            <w:u w:val="single"/>
          </w:rPr>
          <w:t xml:space="preserve">https://www.userlytics.com/resources/blog/how-to-do-market-validation-the-ultimate-guide/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78" w:name="fn2"/>
    <w:bookmarkEnd w:id="78"/>
    <w:p>
      <w:pPr>
        <w:numPr>
          <w:ilvl w:val="0"/>
          <w:numId w:val="2"/>
        </w:numPr>
        <w:spacing w:line="360" w:after="210" w:lineRule="auto"/>
      </w:pPr>
      <w:hyperlink r:id="rId12">
        <w:r>
          <w:rPr>
            <w:rFonts w:eastAsia="inter" w:cs="inter" w:ascii="inter" w:hAnsi="inter"/>
            <w:color w:val="#000"/>
            <w:sz w:val="18"/>
            <w:u w:val="single"/>
          </w:rPr>
          <w:t xml:space="preserve">https://www.producthunt.com/discussions/what-metrics-should-you-track-to-assess-the-success-of-your-market-validation-efforts?comment=3614437</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79" w:name="fn3"/>
    <w:bookmarkEnd w:id="79"/>
    <w:p>
      <w:pPr>
        <w:numPr>
          <w:ilvl w:val="0"/>
          <w:numId w:val="2"/>
        </w:numPr>
        <w:spacing w:line="360" w:after="210" w:lineRule="auto"/>
      </w:pPr>
      <w:hyperlink r:id="rId13">
        <w:r>
          <w:rPr>
            <w:rFonts w:eastAsia="inter" w:cs="inter" w:ascii="inter" w:hAnsi="inter"/>
            <w:color w:val="#000"/>
            <w:sz w:val="18"/>
            <w:u w:val="single"/>
          </w:rPr>
          <w:t xml:space="preserve">https://miro.com/product-development/how-to-measure-product-market-fit/</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80" w:name="fn4"/>
    <w:bookmarkEnd w:id="80"/>
    <w:p>
      <w:pPr>
        <w:numPr>
          <w:ilvl w:val="0"/>
          <w:numId w:val="2"/>
        </w:numPr>
        <w:spacing w:line="360" w:after="210" w:lineRule="auto"/>
      </w:pPr>
      <w:hyperlink r:id="rId14">
        <w:r>
          <w:rPr>
            <w:rFonts w:eastAsia="inter" w:cs="inter" w:ascii="inter" w:hAnsi="inter"/>
            <w:color w:val="#000"/>
            <w:sz w:val="18"/>
            <w:u w:val="single"/>
          </w:rPr>
          <w:t xml:space="preserve">https://www.launchnotes.com/blog/the-ultimate-guide-to-measuring-user-adoption</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81" w:name="fn5"/>
    <w:bookmarkEnd w:id="81"/>
    <w:p>
      <w:pPr>
        <w:numPr>
          <w:ilvl w:val="0"/>
          <w:numId w:val="2"/>
        </w:numPr>
        <w:spacing w:line="360" w:after="210" w:lineRule="auto"/>
      </w:pPr>
      <w:hyperlink r:id="rId15">
        <w:r>
          <w:rPr>
            <w:rFonts w:eastAsia="inter" w:cs="inter" w:ascii="inter" w:hAnsi="inter"/>
            <w:color w:val="#000"/>
            <w:sz w:val="18"/>
            <w:u w:val="single"/>
          </w:rPr>
          <w:t xml:space="preserve">https://userpilot.com/blog/how-to-measure-product-adoption/</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82" w:name="fn6"/>
    <w:bookmarkEnd w:id="82"/>
    <w:p>
      <w:pPr>
        <w:numPr>
          <w:ilvl w:val="0"/>
          <w:numId w:val="2"/>
        </w:numPr>
        <w:spacing w:line="360" w:after="210" w:lineRule="auto"/>
      </w:pPr>
      <w:hyperlink r:id="rId16">
        <w:r>
          <w:rPr>
            <w:rFonts w:eastAsia="inter" w:cs="inter" w:ascii="inter" w:hAnsi="inter"/>
            <w:color w:val="#000"/>
            <w:sz w:val="18"/>
            <w:u w:val="single"/>
          </w:rPr>
          <w:t xml:space="preserve">https://www.surveymonkey.com/mp/community-surveys/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83" w:name="fn7"/>
    <w:bookmarkEnd w:id="83"/>
    <w:p>
      <w:pPr>
        <w:numPr>
          <w:ilvl w:val="0"/>
          <w:numId w:val="2"/>
        </w:numPr>
        <w:spacing w:line="360" w:after="210" w:lineRule="auto"/>
      </w:pPr>
      <w:hyperlink r:id="rId17">
        <w:r>
          <w:rPr>
            <w:rFonts w:eastAsia="inter" w:cs="inter" w:ascii="inter" w:hAnsi="inter"/>
            <w:color w:val="#000"/>
            <w:sz w:val="18"/>
            <w:u w:val="single"/>
          </w:rPr>
          <w:t xml:space="preserve">https://www.pewresearch.org/religion/2023/06/02/online-religious-services-appeal-to-many-americans-but-going-in-person-remains-more-popular/</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84" w:name="fn8"/>
    <w:bookmarkEnd w:id="84"/>
    <w:p>
      <w:pPr>
        <w:numPr>
          <w:ilvl w:val="0"/>
          <w:numId w:val="2"/>
        </w:numPr>
        <w:spacing w:line="360" w:after="210" w:lineRule="auto"/>
      </w:pPr>
      <w:hyperlink r:id="rId18">
        <w:r>
          <w:rPr>
            <w:rFonts w:eastAsia="inter" w:cs="inter" w:ascii="inter" w:hAnsi="inter"/>
            <w:color w:val="#000"/>
            <w:sz w:val="18"/>
            <w:u w:val="single"/>
          </w:rPr>
          <w:t xml:space="preserve">https://www.linkedin.com/pulse/bible-study-software-market-size-trends-segment-rvfje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85" w:name="fn9"/>
    <w:bookmarkEnd w:id="85"/>
    <w:p>
      <w:pPr>
        <w:numPr>
          <w:ilvl w:val="0"/>
          <w:numId w:val="2"/>
        </w:numPr>
        <w:spacing w:line="360" w:after="210" w:lineRule="auto"/>
      </w:pPr>
      <w:hyperlink r:id="rId19">
        <w:r>
          <w:rPr>
            <w:rFonts w:eastAsia="inter" w:cs="inter" w:ascii="inter" w:hAnsi="inter"/>
            <w:color w:val="#000"/>
            <w:sz w:val="18"/>
            <w:u w:val="single"/>
          </w:rPr>
          <w:t xml:space="preserve">https://www.linkedin.com/advice/3/what-top-metrics-track-during-market-validation-rogne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86" w:name="fn10"/>
    <w:bookmarkEnd w:id="86"/>
    <w:p>
      <w:pPr>
        <w:numPr>
          <w:ilvl w:val="0"/>
          <w:numId w:val="2"/>
        </w:numPr>
        <w:spacing w:line="360" w:after="210" w:lineRule="auto"/>
      </w:pPr>
      <w:hyperlink r:id="rId20">
        <w:r>
          <w:rPr>
            <w:rFonts w:eastAsia="inter" w:cs="inter" w:ascii="inter" w:hAnsi="inter"/>
            <w:color w:val="#000"/>
            <w:sz w:val="18"/>
            <w:u w:val="single"/>
          </w:rPr>
          <w:t xml:space="preserve">https://repository.ru.ac.ke/bitstreams/8e78516a-73fd-4907-90ce-866023beabaf/download</w:t>
        </w:r>
      </w:hyperlink>
      <w:r>
        <w:rPr>
          <w:rFonts w:eastAsia="inter" w:cs="inter" w:ascii="inter" w:hAnsi="inter"/>
          <w:color w:val="000000"/>
          <w:sz w:val="18"/>
        </w:rPr>
        <w:t xml:space="preserve"> </w:t>
      </w:r>
    </w:p>
    <w:bookmarkStart w:id="87" w:name="fn11"/>
    <w:bookmarkEnd w:id="87"/>
    <w:p>
      <w:pPr>
        <w:numPr>
          <w:ilvl w:val="0"/>
          <w:numId w:val="2"/>
        </w:numPr>
        <w:spacing w:line="360" w:after="210" w:lineRule="auto"/>
      </w:pPr>
      <w:hyperlink r:id="rId21">
        <w:r>
          <w:rPr>
            <w:rFonts w:eastAsia="inter" w:cs="inter" w:ascii="inter" w:hAnsi="inter"/>
            <w:color w:val="#000"/>
            <w:sz w:val="18"/>
            <w:u w:val="single"/>
          </w:rPr>
          <w:t xml:space="preserve">https://www.scirp.org/pdf/ojbm2024124_81533458.pdf</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88" w:name="fn12"/>
    <w:bookmarkEnd w:id="88"/>
    <w:p>
      <w:pPr>
        <w:numPr>
          <w:ilvl w:val="0"/>
          <w:numId w:val="2"/>
        </w:numPr>
        <w:spacing w:line="360" w:after="210" w:lineRule="auto"/>
      </w:pPr>
      <w:hyperlink r:id="rId22">
        <w:r>
          <w:rPr>
            <w:rFonts w:eastAsia="inter" w:cs="inter" w:ascii="inter" w:hAnsi="inter"/>
            <w:color w:val="#000"/>
            <w:sz w:val="18"/>
            <w:u w:val="single"/>
          </w:rPr>
          <w:t xml:space="preserve">https://augustaceo.com/news/2015/08/survey-shows-how-people-connect-faith-mobile-devices/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89" w:name="fn13"/>
    <w:bookmarkEnd w:id="89"/>
    <w:p>
      <w:pPr>
        <w:numPr>
          <w:ilvl w:val="0"/>
          <w:numId w:val="2"/>
        </w:numPr>
        <w:spacing w:line="360" w:after="210" w:lineRule="auto"/>
      </w:pPr>
      <w:hyperlink r:id="rId23">
        <w:r>
          <w:rPr>
            <w:rFonts w:eastAsia="inter" w:cs="inter" w:ascii="inter" w:hAnsi="inter"/>
            <w:color w:val="#000"/>
            <w:sz w:val="18"/>
            <w:u w:val="single"/>
          </w:rPr>
          <w:t xml:space="preserve">https://faith.tools/artificial-intelligence-ai</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90" w:name="fn14"/>
    <w:bookmarkEnd w:id="90"/>
    <w:p>
      <w:pPr>
        <w:numPr>
          <w:ilvl w:val="0"/>
          <w:numId w:val="2"/>
        </w:numPr>
        <w:spacing w:line="360" w:after="210" w:lineRule="auto"/>
      </w:pPr>
      <w:hyperlink r:id="rId24">
        <w:r>
          <w:rPr>
            <w:rFonts w:eastAsia="inter" w:cs="inter" w:ascii="inter" w:hAnsi="inter"/>
            <w:color w:val="#000"/>
            <w:sz w:val="18"/>
            <w:u w:val="single"/>
          </w:rPr>
          <w:t xml:space="preserve">https://hyperwriteai.com/aitools/bible-study-ai-assistant</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91" w:name="fn15"/>
    <w:bookmarkEnd w:id="91"/>
    <w:p>
      <w:pPr>
        <w:numPr>
          <w:ilvl w:val="0"/>
          <w:numId w:val="2"/>
        </w:numPr>
        <w:spacing w:line="360" w:after="210" w:lineRule="auto"/>
      </w:pPr>
      <w:hyperlink r:id="rId25">
        <w:r>
          <w:rPr>
            <w:rFonts w:eastAsia="inter" w:cs="inter" w:ascii="inter" w:hAnsi="inter"/>
            <w:color w:val="#000"/>
            <w:sz w:val="18"/>
            <w:u w:val="single"/>
          </w:rPr>
          <w:t xml:space="preserve">https://www.feed.fm/engaging-music-for-faith-based-apps</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92" w:name="fn16"/>
    <w:bookmarkEnd w:id="92"/>
    <w:p>
      <w:pPr>
        <w:numPr>
          <w:ilvl w:val="0"/>
          <w:numId w:val="2"/>
        </w:numPr>
        <w:spacing w:line="360" w:after="210" w:lineRule="auto"/>
      </w:pPr>
      <w:hyperlink r:id="rId26">
        <w:r>
          <w:rPr>
            <w:rFonts w:eastAsia="inter" w:cs="inter" w:ascii="inter" w:hAnsi="inter"/>
            <w:color w:val="#000"/>
            <w:sz w:val="18"/>
            <w:u w:val="single"/>
          </w:rPr>
          <w:t xml:space="preserve">https://www.nngroup.com/articles/usability-metrics/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93" w:name="fn17"/>
    <w:bookmarkEnd w:id="93"/>
    <w:p>
      <w:pPr>
        <w:numPr>
          <w:ilvl w:val="0"/>
          <w:numId w:val="2"/>
        </w:numPr>
        <w:spacing w:line="360" w:after="210" w:lineRule="auto"/>
      </w:pPr>
      <w:hyperlink r:id="rId27">
        <w:r>
          <w:rPr>
            <w:rFonts w:eastAsia="inter" w:cs="inter" w:ascii="inter" w:hAnsi="inter"/>
            <w:color w:val="#000"/>
            <w:sz w:val="18"/>
            <w:u w:val="single"/>
          </w:rPr>
          <w:t xml:space="preserve">https://theunstuckgroup.com/unstuck-process-successful-churches/</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94" w:name="fn18"/>
    <w:bookmarkEnd w:id="94"/>
    <w:p>
      <w:pPr>
        <w:numPr>
          <w:ilvl w:val="0"/>
          <w:numId w:val="2"/>
        </w:numPr>
        <w:spacing w:line="360" w:after="210" w:lineRule="auto"/>
      </w:pPr>
      <w:hyperlink r:id="rId28">
        <w:r>
          <w:rPr>
            <w:rFonts w:eastAsia="inter" w:cs="inter" w:ascii="inter" w:hAnsi="inter"/>
            <w:color w:val="#000"/>
            <w:sz w:val="18"/>
            <w:u w:val="single"/>
          </w:rPr>
          <w:t xml:space="preserve">https://www.whdl.org/en/browse/resources/11785</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95" w:name="fn19"/>
    <w:bookmarkEnd w:id="95"/>
    <w:p>
      <w:pPr>
        <w:numPr>
          <w:ilvl w:val="0"/>
          <w:numId w:val="2"/>
        </w:numPr>
        <w:spacing w:line="360" w:after="210" w:lineRule="auto"/>
      </w:pPr>
      <w:hyperlink r:id="rId29">
        <w:r>
          <w:rPr>
            <w:rFonts w:eastAsia="inter" w:cs="inter" w:ascii="inter" w:hAnsi="inter"/>
            <w:color w:val="#000"/>
            <w:sz w:val="18"/>
            <w:u w:val="single"/>
          </w:rPr>
          <w:t xml:space="preserve">https://www.rib-software.com/en/blogs/bi-dashboard-design-principles-best-practices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96" w:name="fn20"/>
    <w:bookmarkEnd w:id="96"/>
    <w:p>
      <w:pPr>
        <w:numPr>
          <w:ilvl w:val="0"/>
          <w:numId w:val="2"/>
        </w:numPr>
        <w:spacing w:line="360" w:after="210" w:lineRule="auto"/>
      </w:pPr>
      <w:hyperlink r:id="rId30">
        <w:r>
          <w:rPr>
            <w:rFonts w:eastAsia="inter" w:cs="inter" w:ascii="inter" w:hAnsi="inter"/>
            <w:color w:val="#000"/>
            <w:sz w:val="18"/>
            <w:u w:val="single"/>
          </w:rPr>
          <w:t xml:space="preserve">https://www.tableau.com/kpi/what-is-kpi-dashboard</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97" w:name="fn21"/>
    <w:bookmarkEnd w:id="97"/>
    <w:p>
      <w:pPr>
        <w:numPr>
          <w:ilvl w:val="0"/>
          <w:numId w:val="2"/>
        </w:numPr>
        <w:spacing w:line="360" w:after="210" w:lineRule="auto"/>
      </w:pPr>
      <w:hyperlink r:id="rId31">
        <w:r>
          <w:rPr>
            <w:rFonts w:eastAsia="inter" w:cs="inter" w:ascii="inter" w:hAnsi="inter"/>
            <w:color w:val="#000"/>
            <w:sz w:val="18"/>
            <w:u w:val="single"/>
          </w:rPr>
          <w:t xml:space="preserve">https://contentsquare.com/guides/product-analytics/dashboard/</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98" w:name="fn22"/>
    <w:bookmarkEnd w:id="98"/>
    <w:p>
      <w:pPr>
        <w:numPr>
          <w:ilvl w:val="0"/>
          <w:numId w:val="2"/>
        </w:numPr>
        <w:spacing w:line="360" w:after="210" w:lineRule="auto"/>
      </w:pPr>
      <w:hyperlink r:id="rId32">
        <w:r>
          <w:rPr>
            <w:rFonts w:eastAsia="inter" w:cs="inter" w:ascii="inter" w:hAnsi="inter"/>
            <w:color w:val="#000"/>
            <w:sz w:val="18"/>
            <w:u w:val="single"/>
          </w:rPr>
          <w:t xml:space="preserve">https://vorecol.com/blogs/blog-utilizing-data-analytics-to-measure-and-improve-user-engagement-in-learning-platforms-185883</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99" w:name="fn23"/>
    <w:bookmarkEnd w:id="99"/>
    <w:p>
      <w:pPr>
        <w:numPr>
          <w:ilvl w:val="0"/>
          <w:numId w:val="2"/>
        </w:numPr>
        <w:spacing w:line="360" w:after="210" w:lineRule="auto"/>
      </w:pPr>
      <w:hyperlink r:id="rId33">
        <w:r>
          <w:rPr>
            <w:rFonts w:eastAsia="inter" w:cs="inter" w:ascii="inter" w:hAnsi="inter"/>
            <w:color w:val="#000"/>
            <w:sz w:val="18"/>
            <w:u w:val="single"/>
          </w:rPr>
          <w:t xml:space="preserve">https://www.reddit.com/r/PowerBI/comments/1htzl6b/what_are_the_best_practices_in_dashboard/</w:t>
        </w:r>
      </w:hyperlink>
      <w:r>
        <w:rPr>
          <w:rFonts w:eastAsia="inter" w:cs="inter" w:ascii="inter" w:hAnsi="inter"/>
          <w:color w:val="000000"/>
          <w:sz w:val="18"/>
        </w:rPr>
        <w:t xml:space="preserve"> </w:t>
      </w:r>
    </w:p>
    <w:bookmarkStart w:id="100" w:name="fn24"/>
    <w:bookmarkEnd w:id="100"/>
    <w:p>
      <w:pPr>
        <w:numPr>
          <w:ilvl w:val="0"/>
          <w:numId w:val="2"/>
        </w:numPr>
        <w:spacing w:line="360" w:after="210" w:lineRule="auto"/>
      </w:pPr>
      <w:hyperlink r:id="rId34">
        <w:r>
          <w:rPr>
            <w:rFonts w:eastAsia="inter" w:cs="inter" w:ascii="inter" w:hAnsi="inter"/>
            <w:color w:val="#000"/>
            <w:sz w:val="18"/>
            <w:u w:val="single"/>
          </w:rPr>
          <w:t xml:space="preserve">https://docs.oracle.com/en/cloud/saas/netsuite/ns-online-help/section_10142229107.html</w:t>
        </w:r>
      </w:hyperlink>
      <w:r>
        <w:rPr>
          <w:rFonts w:eastAsia="inter" w:cs="inter" w:ascii="inter" w:hAnsi="inter"/>
          <w:color w:val="000000"/>
          <w:sz w:val="18"/>
        </w:rPr>
        <w:t xml:space="preserve"> </w:t>
      </w:r>
    </w:p>
    <w:bookmarkStart w:id="101" w:name="fn25"/>
    <w:bookmarkEnd w:id="101"/>
    <w:p>
      <w:pPr>
        <w:numPr>
          <w:ilvl w:val="0"/>
          <w:numId w:val="2"/>
        </w:numPr>
        <w:spacing w:line="360" w:after="210" w:lineRule="auto"/>
      </w:pPr>
      <w:hyperlink r:id="rId35">
        <w:r>
          <w:rPr>
            <w:rFonts w:eastAsia="inter" w:cs="inter" w:ascii="inter" w:hAnsi="inter"/>
            <w:color w:val="#000"/>
            <w:sz w:val="18"/>
            <w:u w:val="single"/>
          </w:rPr>
          <w:t xml:space="preserve">https://faithteams.com</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abstractNum>
  <w:abstractNum w:abstractNumId="2">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832d78c36135fdf0ea3c510d36b44d7f27196d76.png" TargetMode="Internal"/><Relationship Id="rId6" Type="http://schemas.openxmlformats.org/officeDocument/2006/relationships/image" Target="media/image-83800e24dd7696c0c6fdc76332d5f57704fcfe70.jpg" TargetMode="Internal"/><Relationship Id="rId7" Type="http://schemas.openxmlformats.org/officeDocument/2006/relationships/image" Target="media/image-b3c1e34540aef265e5ec6b3046f7e2a9c3d0fcaf.jpg" TargetMode="Internal"/><Relationship Id="rId8" Type="http://schemas.openxmlformats.org/officeDocument/2006/relationships/image" Target="media/image-2af5ba8bc868a2386089098203147194edfabe47.jpg" TargetMode="Internal"/><Relationship Id="rId9" Type="http://schemas.openxmlformats.org/officeDocument/2006/relationships/image" Target="media/image-5c365a333a392a64a4c1fa9110bb2851c511d61e.jpg" TargetMode="Internal"/><Relationship Id="rId10" Type="http://schemas.openxmlformats.org/officeDocument/2006/relationships/image" Target="media/image-ab16331e256f4a0eaf1f89b7673909614d633482.jpg" TargetMode="Internal"/><Relationship Id="rId11" Type="http://schemas.openxmlformats.org/officeDocument/2006/relationships/hyperlink" Target="https://www.userlytics.com/resources/blog/how-to-do-market-validation-the-ultimate-guide/" TargetMode="External"/><Relationship Id="rId12" Type="http://schemas.openxmlformats.org/officeDocument/2006/relationships/hyperlink" Target="https://www.producthunt.com/discussions/what-metrics-should-you-track-to-assess-the-success-of-your-market-validation-efforts?comment=3614437" TargetMode="External"/><Relationship Id="rId13" Type="http://schemas.openxmlformats.org/officeDocument/2006/relationships/hyperlink" Target="https://miro.com/product-development/how-to-measure-product-market-fit/" TargetMode="External"/><Relationship Id="rId14" Type="http://schemas.openxmlformats.org/officeDocument/2006/relationships/hyperlink" Target="https://www.launchnotes.com/blog/the-ultimate-guide-to-measuring-user-adoption" TargetMode="External"/><Relationship Id="rId15" Type="http://schemas.openxmlformats.org/officeDocument/2006/relationships/hyperlink" Target="https://userpilot.com/blog/how-to-measure-product-adoption/" TargetMode="External"/><Relationship Id="rId16" Type="http://schemas.openxmlformats.org/officeDocument/2006/relationships/hyperlink" Target="https://www.surveymonkey.com/mp/community-surveys/" TargetMode="External"/><Relationship Id="rId17" Type="http://schemas.openxmlformats.org/officeDocument/2006/relationships/hyperlink" Target="https://www.pewresearch.org/religion/2023/06/02/online-religious-services-appeal-to-many-americans-but-going-in-person-remains-more-popular/" TargetMode="External"/><Relationship Id="rId18" Type="http://schemas.openxmlformats.org/officeDocument/2006/relationships/hyperlink" Target="https://www.linkedin.com/pulse/bible-study-software-market-size-trends-segment-rvfje" TargetMode="External"/><Relationship Id="rId19" Type="http://schemas.openxmlformats.org/officeDocument/2006/relationships/hyperlink" Target="https://www.linkedin.com/advice/3/what-top-metrics-track-during-market-validation-rogne" TargetMode="External"/><Relationship Id="rId20" Type="http://schemas.openxmlformats.org/officeDocument/2006/relationships/hyperlink" Target="https://repository.ru.ac.ke/bitstreams/8e78516a-73fd-4907-90ce-866023beabaf/download" TargetMode="External"/><Relationship Id="rId21" Type="http://schemas.openxmlformats.org/officeDocument/2006/relationships/hyperlink" Target="https://www.scirp.org/pdf/ojbm2024124_81533458.pdf" TargetMode="External"/><Relationship Id="rId22" Type="http://schemas.openxmlformats.org/officeDocument/2006/relationships/hyperlink" Target="https://augustaceo.com/news/2015/08/survey-shows-how-people-connect-faith-mobile-devices/" TargetMode="External"/><Relationship Id="rId23" Type="http://schemas.openxmlformats.org/officeDocument/2006/relationships/hyperlink" Target="https://faith.tools/artificial-intelligence-ai" TargetMode="External"/><Relationship Id="rId24" Type="http://schemas.openxmlformats.org/officeDocument/2006/relationships/hyperlink" Target="https://hyperwriteai.com/aitools/bible-study-ai-assistant" TargetMode="External"/><Relationship Id="rId25" Type="http://schemas.openxmlformats.org/officeDocument/2006/relationships/hyperlink" Target="https://www.feed.fm/engaging-music-for-faith-based-apps" TargetMode="External"/><Relationship Id="rId26" Type="http://schemas.openxmlformats.org/officeDocument/2006/relationships/hyperlink" Target="https://www.nngroup.com/articles/usability-metrics/" TargetMode="External"/><Relationship Id="rId27" Type="http://schemas.openxmlformats.org/officeDocument/2006/relationships/hyperlink" Target="https://theunstuckgroup.com/unstuck-process-successful-churches/" TargetMode="External"/><Relationship Id="rId28" Type="http://schemas.openxmlformats.org/officeDocument/2006/relationships/hyperlink" Target="https://www.whdl.org/en/browse/resources/11785" TargetMode="External"/><Relationship Id="rId29" Type="http://schemas.openxmlformats.org/officeDocument/2006/relationships/hyperlink" Target="https://www.rib-software.com/en/blogs/bi-dashboard-design-principles-best-practices" TargetMode="External"/><Relationship Id="rId30" Type="http://schemas.openxmlformats.org/officeDocument/2006/relationships/hyperlink" Target="https://www.tableau.com/kpi/what-is-kpi-dashboard" TargetMode="External"/><Relationship Id="rId31" Type="http://schemas.openxmlformats.org/officeDocument/2006/relationships/hyperlink" Target="https://contentsquare.com/guides/product-analytics/dashboard/" TargetMode="External"/><Relationship Id="rId32" Type="http://schemas.openxmlformats.org/officeDocument/2006/relationships/hyperlink" Target="https://vorecol.com/blogs/blog-utilizing-data-analytics-to-measure-and-improve-user-engagement-in-learning-platforms-185883" TargetMode="External"/><Relationship Id="rId33" Type="http://schemas.openxmlformats.org/officeDocument/2006/relationships/hyperlink" Target="https://www.reddit.com/r/PowerBI/comments/1htzl6b/what_are_the_best_practices_in_dashboard/" TargetMode="External"/><Relationship Id="rId34" Type="http://schemas.openxmlformats.org/officeDocument/2006/relationships/hyperlink" Target="https://docs.oracle.com/en/cloud/saas/netsuite/ns-online-help/section_10142229107.html" TargetMode="External"/><Relationship Id="rId35" Type="http://schemas.openxmlformats.org/officeDocument/2006/relationships/hyperlink" Target="https://faithteams.com"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2025-05-30T00:45:01.388Z</dcterms:created>
  <dcterms:modified xsi:type="dcterms:W3CDTF">2025-05-30T00:45:01.388Z</dcterms:modified>
</cp:coreProperties>
</file>