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countries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code varchar(255)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entity varchar(255)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countries (code, entity)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Code, Entity from infectious_cases;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infectious_info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id int auto_increment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country_code varchar(255),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foreign key (country_code) references countries(code),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year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number_yaws varchar(255),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polio_cases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cases_guinea_worm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number_rabies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number_malaria varchar(255),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number_hiv varchar(255),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number_tuberculosis varchar(255),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number_smallpox varchar(255),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number_cholera_cases varchar(255)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infectious_info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(country_code,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year,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number_yaws,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polio_cases,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cases_guinea_worm,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number_rabies,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number_malaria,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number_hiv,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number_tuberculosis,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number_smallpox,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number_cholera_cases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countries.code,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infectious_cases.Year,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infectious_cases.Number_yaws,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infectious_cases.polio_cases,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infectious_cases.cases_guinea_worm,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infectious_cases.Number_rabies,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infectious_cases.Number_malaria,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infectious_cases.Number_hiv,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infectious_cases.Number_tuberculosis,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infectious_cases.Number_smallpox,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infectious_cases.Number_cholera_cases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infectious_cases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JOIN countries ON infectious_cases.Code = countries.code;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