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Source Sans Pro Black" w:cs="Source Sans Pro Black" w:eastAsia="Source Sans Pro Black" w:hAnsi="Source Sans Pro Black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Source Sans Pro Black" w:cs="Source Sans Pro Black" w:eastAsia="Source Sans Pro Black" w:hAnsi="Source Sans Pro Black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0"/>
        <w:jc w:val="center"/>
        <w:rPr>
          <w:rFonts w:ascii="Source Sans Pro Black" w:cs="Source Sans Pro Black" w:eastAsia="Source Sans Pro Black" w:hAnsi="Source Sans Pro Black"/>
          <w:b w:val="1"/>
          <w:sz w:val="52"/>
          <w:szCs w:val="52"/>
        </w:rPr>
      </w:pPr>
      <w:r w:rsidDel="00000000" w:rsidR="00000000" w:rsidRPr="00000000">
        <w:rPr>
          <w:rFonts w:ascii="Source Sans Pro Black" w:cs="Source Sans Pro Black" w:eastAsia="Source Sans Pro Black" w:hAnsi="Source Sans Pro Black"/>
          <w:b w:val="1"/>
          <w:sz w:val="52"/>
          <w:szCs w:val="52"/>
          <w:rtl w:val="0"/>
        </w:rPr>
        <w:t xml:space="preserve">Ciberseguridad en SCI - Demos</w:t>
      </w:r>
    </w:p>
    <w:p w:rsidR="00000000" w:rsidDel="00000000" w:rsidP="00000000" w:rsidRDefault="00000000" w:rsidRPr="00000000" w14:paraId="00000007">
      <w:pPr>
        <w:spacing w:after="0" w:line="240" w:lineRule="auto"/>
        <w:ind w:firstLine="0"/>
        <w:jc w:val="center"/>
        <w:rPr>
          <w:rFonts w:ascii="Source Sans Pro Black" w:cs="Source Sans Pro Black" w:eastAsia="Source Sans Pro Black" w:hAnsi="Source Sans Pro Black"/>
          <w:b w:val="1"/>
          <w:color w:val="cfda2d"/>
          <w:sz w:val="40"/>
          <w:szCs w:val="40"/>
        </w:rPr>
      </w:pPr>
      <w:r w:rsidDel="00000000" w:rsidR="00000000" w:rsidRPr="00000000">
        <w:rPr>
          <w:rFonts w:ascii="Source Sans Pro Black" w:cs="Source Sans Pro Black" w:eastAsia="Source Sans Pro Black" w:hAnsi="Source Sans Pro Black"/>
          <w:b w:val="1"/>
          <w:color w:val="cfda2d"/>
          <w:sz w:val="40"/>
          <w:szCs w:val="40"/>
          <w:rtl w:val="0"/>
        </w:rPr>
        <w:t xml:space="preserve">2.- Convergencia IT - OT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Source Sans Pro Black" w:cs="Source Sans Pro Black" w:eastAsia="Source Sans Pro Black" w:hAnsi="Source Sans Pro Black"/>
          <w:b w:val="1"/>
          <w:color w:val="cfda2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Source Sans Pro Black" w:cs="Source Sans Pro Black" w:eastAsia="Source Sans Pro Black" w:hAnsi="Source Sans Pro Black"/>
          <w:b w:val="1"/>
          <w:color w:val="cfda2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Source Sans Pro Black" w:cs="Source Sans Pro Black" w:eastAsia="Source Sans Pro Black" w:hAnsi="Source Sans Pro Black"/>
          <w:b w:val="1"/>
          <w:color w:val="cfda2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Source Sans Pro Black" w:cs="Source Sans Pro Black" w:eastAsia="Source Sans Pro Black" w:hAnsi="Source Sans Pro Black"/>
          <w:b w:val="1"/>
          <w:color w:val="cfda2d"/>
          <w:sz w:val="40"/>
          <w:szCs w:val="40"/>
        </w:rPr>
        <w:sectPr>
          <w:headerReference r:id="rId7" w:type="default"/>
          <w:footerReference r:id="rId8" w:type="default"/>
          <w:pgSz w:h="16838" w:w="11906" w:orient="portrait"/>
          <w:pgMar w:bottom="426" w:top="56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smallCaps w:val="0"/>
          <w:color w:val="0f0f0f"/>
          <w:sz w:val="24"/>
          <w:szCs w:val="24"/>
          <w:highlight w:val="white"/>
        </w:rPr>
      </w:pPr>
      <w:bookmarkStart w:colFirst="0" w:colLast="0" w:name="_heading=h.a9qj5p9uosa8" w:id="0"/>
      <w:bookmarkEnd w:id="0"/>
      <w:r w:rsidDel="00000000" w:rsidR="00000000" w:rsidRPr="00000000">
        <w:rPr>
          <w:smallCaps w:val="0"/>
          <w:color w:val="0f0f0f"/>
          <w:sz w:val="24"/>
          <w:szCs w:val="24"/>
          <w:highlight w:val="white"/>
          <w:rtl w:val="0"/>
        </w:rPr>
        <w:t xml:space="preserve">TRANSFORMACIÓN DIGITAL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b w:val="0"/>
          <w:smallCaps w:val="0"/>
          <w:color w:val="0f0f0f"/>
          <w:sz w:val="24"/>
          <w:szCs w:val="24"/>
          <w:highlight w:val="white"/>
        </w:rPr>
      </w:pPr>
      <w:bookmarkStart w:colFirst="0" w:colLast="0" w:name="_heading=h.1thngxdl7sf5" w:id="1"/>
      <w:bookmarkEnd w:id="1"/>
      <w:r w:rsidDel="00000000" w:rsidR="00000000" w:rsidRPr="00000000">
        <w:rPr>
          <w:b w:val="0"/>
          <w:smallCaps w:val="0"/>
          <w:color w:val="0f0f0f"/>
          <w:sz w:val="24"/>
          <w:szCs w:val="24"/>
          <w:highlight w:val="white"/>
          <w:rtl w:val="0"/>
        </w:rPr>
        <w:t xml:space="preserve">Los 9 Pilares de la Transformación Digital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https://www.youtube.com/watch?v=yvXJJX1Jaow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after="0" w:before="0" w:line="264" w:lineRule="auto"/>
        <w:jc w:val="both"/>
        <w:rPr/>
      </w:pPr>
      <w:bookmarkStart w:colFirst="0" w:colLast="0" w:name="_heading=h.ik4t0uz01046" w:id="2"/>
      <w:bookmarkEnd w:id="2"/>
      <w:r w:rsidDel="00000000" w:rsidR="00000000" w:rsidRPr="00000000">
        <w:rPr>
          <w:b w:val="0"/>
          <w:smallCaps w:val="0"/>
          <w:sz w:val="24"/>
          <w:szCs w:val="24"/>
          <w:rtl w:val="0"/>
        </w:rPr>
        <w:t xml:space="preserve">Ciberseguridad para empresas según tu sector empresarial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https://www.apd.es/ciberseguridad-empresas-sector-empresarial-2/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hd w:fill="ffffff" w:val="clear"/>
        <w:spacing w:after="0" w:before="0" w:line="264" w:lineRule="auto"/>
        <w:jc w:val="both"/>
        <w:rPr>
          <w:b w:val="0"/>
          <w:smallCaps w:val="0"/>
          <w:sz w:val="24"/>
          <w:szCs w:val="24"/>
        </w:rPr>
      </w:pPr>
      <w:bookmarkStart w:colFirst="0" w:colLast="0" w:name="_heading=h.a9dr1vs3sl62" w:id="3"/>
      <w:bookmarkEnd w:id="3"/>
      <w:r w:rsidDel="00000000" w:rsidR="00000000" w:rsidRPr="00000000">
        <w:rPr>
          <w:b w:val="0"/>
          <w:smallCaps w:val="0"/>
          <w:sz w:val="24"/>
          <w:szCs w:val="24"/>
          <w:rtl w:val="0"/>
        </w:rPr>
        <w:t xml:space="preserve">Los siete mitos de la ciberseguridad en las empresas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https://www.apd.es/los-siete-mitos-de-la-ciberseguridad-en-las-empresas-victor-deutsch/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La transformación digital industrial ¿  por qué dar el paso?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https://nexusintegra.io/es/transformacion-digital-industrial-que-es-ventajas/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CONVERGENCIA  IT / OT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both"/>
        <w:rPr>
          <w:b w:val="1"/>
        </w:rPr>
      </w:pPr>
      <w:bookmarkStart w:colFirst="0" w:colLast="0" w:name="_heading=h.rqe45fmuiwat" w:id="4"/>
      <w:bookmarkEnd w:id="4"/>
      <w:hyperlink r:id="rId13">
        <w:r w:rsidDel="00000000" w:rsidR="00000000" w:rsidRPr="00000000">
          <w:rPr>
            <w:b w:val="0"/>
            <w:smallCaps w:val="0"/>
            <w:sz w:val="24"/>
            <w:szCs w:val="24"/>
            <w:rtl w:val="0"/>
          </w:rPr>
          <w:t xml:space="preserve">ITy OT, ¿ya somos amigos?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https://www.incibe-cert.es/blog/ti-y-somos-amigos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Introducción a la seguridad de ICS</w:t>
      </w:r>
    </w:p>
    <w:p w:rsidR="00000000" w:rsidDel="00000000" w:rsidP="00000000" w:rsidRDefault="00000000" w:rsidRPr="00000000" w14:paraId="0000001A">
      <w:pPr>
        <w:ind w:left="0" w:firstLine="0"/>
        <w:rPr>
          <w:rFonts w:ascii="Source Sans Pro Light" w:cs="Source Sans Pro Light" w:eastAsia="Source Sans Pro Light" w:hAnsi="Source Sans Pro Light"/>
          <w:sz w:val="20"/>
          <w:szCs w:val="20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https://www.sans.org/blog/introduction-to-ics-security/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080809"/>
          <w:highlight w:val="white"/>
        </w:rPr>
      </w:pPr>
      <w:r w:rsidDel="00000000" w:rsidR="00000000" w:rsidRPr="00000000">
        <w:rPr>
          <w:color w:val="080809"/>
          <w:highlight w:val="white"/>
          <w:rtl w:val="0"/>
        </w:rPr>
        <w:t xml:space="preserve">Por qué los entornos de OT están siendo atacados y qué pueden hacer las organizaciones al respecto.</w:t>
      </w:r>
    </w:p>
    <w:p w:rsidR="00000000" w:rsidDel="00000000" w:rsidP="00000000" w:rsidRDefault="00000000" w:rsidRPr="00000000" w14:paraId="0000001C">
      <w:pPr>
        <w:ind w:left="0" w:firstLine="0"/>
        <w:rPr>
          <w:color w:val="080809"/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https://www.spiceworks.com/it-security/cyber-risk-management/guest-article/why-ot-environments-are-getting-attacked-and-what-organizations-can-do-about-it/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288" w:lineRule="auto"/>
        <w:jc w:val="both"/>
        <w:rPr>
          <w:b w:val="0"/>
          <w:smallCaps w:val="0"/>
          <w:color w:val="080809"/>
          <w:sz w:val="24"/>
          <w:szCs w:val="24"/>
          <w:highlight w:val="white"/>
        </w:rPr>
      </w:pPr>
      <w:bookmarkStart w:colFirst="0" w:colLast="0" w:name="_heading=h.ccim8lffztmv" w:id="5"/>
      <w:bookmarkEnd w:id="5"/>
      <w:r w:rsidDel="00000000" w:rsidR="00000000" w:rsidRPr="00000000">
        <w:rPr>
          <w:b w:val="0"/>
          <w:smallCaps w:val="0"/>
          <w:color w:val="080809"/>
          <w:sz w:val="24"/>
          <w:szCs w:val="24"/>
          <w:highlight w:val="white"/>
          <w:rtl w:val="0"/>
        </w:rPr>
        <w:t xml:space="preserve">Fabricación: la seguridad y la resiliencia empiezan por la visibilidad</w:t>
      </w:r>
    </w:p>
    <w:p w:rsidR="00000000" w:rsidDel="00000000" w:rsidP="00000000" w:rsidRDefault="00000000" w:rsidRPr="00000000" w14:paraId="0000001E">
      <w:pPr>
        <w:ind w:left="0" w:firstLine="0"/>
        <w:rPr>
          <w:color w:val="080809"/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https://www.infoplc.net/plus-plus/blogs/item/111633-tribuna-seguridad-resiliencia-nozomi-networks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color="auto" w:space="0" w:sz="0" w:val="none"/>
          <w:left w:color="auto" w:space="30" w:sz="0" w:val="none"/>
          <w:bottom w:color="auto" w:space="0" w:sz="0" w:val="none"/>
          <w:right w:color="auto" w:space="30" w:sz="0" w:val="none"/>
          <w:between w:color="auto" w:space="0" w:sz="0" w:val="none"/>
        </w:pBdr>
        <w:spacing w:after="380" w:before="460" w:line="264" w:lineRule="auto"/>
        <w:jc w:val="both"/>
        <w:rPr>
          <w:b w:val="0"/>
          <w:smallCaps w:val="0"/>
          <w:color w:val="323232"/>
          <w:sz w:val="24"/>
          <w:szCs w:val="24"/>
          <w:highlight w:val="white"/>
        </w:rPr>
      </w:pPr>
      <w:bookmarkStart w:colFirst="0" w:colLast="0" w:name="_heading=h.z8r02iajx1w3" w:id="6"/>
      <w:bookmarkEnd w:id="6"/>
      <w:r w:rsidDel="00000000" w:rsidR="00000000" w:rsidRPr="00000000">
        <w:rPr>
          <w:b w:val="0"/>
          <w:smallCaps w:val="0"/>
          <w:color w:val="323232"/>
          <w:sz w:val="24"/>
          <w:szCs w:val="24"/>
          <w:highlight w:val="white"/>
          <w:rtl w:val="0"/>
        </w:rPr>
        <w:t xml:space="preserve">La ciberseguridad para OT avanza y se integra con TI</w:t>
      </w:r>
    </w:p>
    <w:p w:rsidR="00000000" w:rsidDel="00000000" w:rsidP="00000000" w:rsidRDefault="00000000" w:rsidRPr="00000000" w14:paraId="00000020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https://www.computerweekly.com/es/cronica/La-ciberseguridad-para-OT-avanza-y-se-integra-con-TI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080809"/>
          <w:highlight w:val="white"/>
        </w:rPr>
      </w:pPr>
      <w:r w:rsidDel="00000000" w:rsidR="00000000" w:rsidRPr="00000000">
        <w:rPr>
          <w:color w:val="080809"/>
          <w:highlight w:val="white"/>
          <w:rtl w:val="0"/>
        </w:rPr>
        <w:t xml:space="preserve">Estrategias modernas para combatir los ciberataques a la tecnología operativa</w:t>
      </w:r>
    </w:p>
    <w:p w:rsidR="00000000" w:rsidDel="00000000" w:rsidP="00000000" w:rsidRDefault="00000000" w:rsidRPr="00000000" w14:paraId="00000022">
      <w:pPr>
        <w:ind w:left="0" w:firstLine="0"/>
        <w:rPr>
          <w:color w:val="080809"/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https://www.spiceworks.com/it-security/cyber-risk-management/guest-article/modern-strategies-to-combat-cyberattacks-on-operational-technology/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b w:val="0"/>
          <w:smallCaps w:val="0"/>
          <w:color w:val="212121"/>
          <w:sz w:val="24"/>
          <w:szCs w:val="24"/>
          <w:highlight w:val="white"/>
        </w:rPr>
      </w:pPr>
      <w:bookmarkStart w:colFirst="0" w:colLast="0" w:name="_heading=h.rqnls9kvwcwy" w:id="7"/>
      <w:bookmarkEnd w:id="7"/>
      <w:r w:rsidDel="00000000" w:rsidR="00000000" w:rsidRPr="00000000">
        <w:rPr>
          <w:b w:val="0"/>
          <w:smallCaps w:val="0"/>
          <w:color w:val="212121"/>
          <w:sz w:val="24"/>
          <w:szCs w:val="24"/>
          <w:highlight w:val="white"/>
          <w:rtl w:val="0"/>
        </w:rPr>
        <w:t xml:space="preserve">Nueve razones por las que la infraestructura ICS/OT es insegura</w:t>
      </w:r>
    </w:p>
    <w:p w:rsidR="00000000" w:rsidDel="00000000" w:rsidP="00000000" w:rsidRDefault="00000000" w:rsidRPr="00000000" w14:paraId="00000024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https://www.industrialcybersecuritypulse.com/it-ot/why-ics-ot-infrastructure-is-insecure/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88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Convergencia IT / OT: un reto clave para la Industria 4.0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88" w:lineRule="auto"/>
        <w:ind w:firstLine="0"/>
        <w:jc w:val="left"/>
        <w:rPr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https://www.septer.es/convergencia-it-ot-industria-40/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88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2.30769230769226" w:lineRule="auto"/>
        <w:jc w:val="left"/>
        <w:rPr>
          <w:b w:val="0"/>
          <w:smallCaps w:val="0"/>
          <w:sz w:val="24"/>
          <w:szCs w:val="24"/>
        </w:rPr>
      </w:pPr>
      <w:bookmarkStart w:colFirst="0" w:colLast="0" w:name="_heading=h.6yh5yn52ntki" w:id="8"/>
      <w:bookmarkEnd w:id="8"/>
      <w:r w:rsidDel="00000000" w:rsidR="00000000" w:rsidRPr="00000000">
        <w:rPr>
          <w:b w:val="0"/>
          <w:smallCaps w:val="0"/>
          <w:sz w:val="24"/>
          <w:szCs w:val="24"/>
          <w:rtl w:val="0"/>
        </w:rPr>
        <w:t xml:space="preserve">3 Claves para la convergencia IT – OT: Big Data, IoT y Cloud</w:t>
      </w:r>
    </w:p>
    <w:p w:rsidR="00000000" w:rsidDel="00000000" w:rsidP="00000000" w:rsidRDefault="00000000" w:rsidRPr="00000000" w14:paraId="00000029">
      <w:pPr>
        <w:spacing w:after="0" w:line="276" w:lineRule="auto"/>
        <w:ind w:firstLine="0"/>
        <w:jc w:val="left"/>
        <w:rPr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https://zemsaniaglobalgroup.com/3-claves-para-la-convergencia-it-ot-big-data-iot-y-cloud/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3 claves para la convergencia IT - OT: Big Data, IoT y Cloud - Zemsania Global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3.9130434782609" w:lineRule="auto"/>
        <w:jc w:val="left"/>
        <w:rPr>
          <w:b w:val="0"/>
          <w:smallCaps w:val="0"/>
          <w:color w:val="333333"/>
          <w:sz w:val="24"/>
          <w:szCs w:val="24"/>
        </w:rPr>
      </w:pPr>
      <w:bookmarkStart w:colFirst="0" w:colLast="0" w:name="_heading=h.a3uaasdg1lo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3.9130434782609" w:lineRule="auto"/>
        <w:jc w:val="left"/>
        <w:rPr>
          <w:b w:val="0"/>
          <w:smallCaps w:val="0"/>
          <w:color w:val="333333"/>
          <w:sz w:val="24"/>
          <w:szCs w:val="24"/>
        </w:rPr>
      </w:pPr>
      <w:bookmarkStart w:colFirst="0" w:colLast="0" w:name="_heading=h.x0viqse9ubas" w:id="10"/>
      <w:bookmarkEnd w:id="10"/>
      <w:r w:rsidDel="00000000" w:rsidR="00000000" w:rsidRPr="00000000">
        <w:rPr>
          <w:b w:val="0"/>
          <w:smallCaps w:val="0"/>
          <w:color w:val="333333"/>
          <w:sz w:val="24"/>
          <w:szCs w:val="24"/>
          <w:rtl w:val="0"/>
        </w:rPr>
        <w:t xml:space="preserve">El futuro de la automatización industrial radica en la convergencia de la IA con la IoT</w:t>
      </w:r>
    </w:p>
    <w:p w:rsidR="00000000" w:rsidDel="00000000" w:rsidP="00000000" w:rsidRDefault="00000000" w:rsidRPr="00000000" w14:paraId="0000002C">
      <w:pPr>
        <w:spacing w:after="0" w:line="276" w:lineRule="auto"/>
        <w:ind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ind w:firstLine="0"/>
        <w:jc w:val="left"/>
        <w:rPr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https://www.advancedfactories.com/entrevista-javier-zubiaurre-euroutil/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ind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ind w:firstLine="0"/>
        <w:jc w:val="left"/>
        <w:rPr>
          <w:color w:val="111111"/>
          <w:u w:val="single"/>
        </w:rPr>
      </w:pPr>
      <w:r w:rsidDel="00000000" w:rsidR="00000000" w:rsidRPr="00000000">
        <w:rPr>
          <w:color w:val="111111"/>
          <w:u w:val="single"/>
          <w:rtl w:val="0"/>
        </w:rPr>
        <w:t xml:space="preserve">3 formas de simplificar la convergencia industrial de IT/OT</w:t>
      </w:r>
    </w:p>
    <w:p w:rsidR="00000000" w:rsidDel="00000000" w:rsidP="00000000" w:rsidRDefault="00000000" w:rsidRPr="00000000" w14:paraId="00000030">
      <w:pPr>
        <w:spacing w:after="0" w:line="276" w:lineRule="auto"/>
        <w:ind w:firstLine="0"/>
        <w:jc w:val="left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ind w:firstLine="0"/>
        <w:jc w:val="left"/>
        <w:rPr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https://revistabyte.es/tendencias-tic/convergencia-industrial-de-it-ot/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08080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08080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08080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Source Sans Pro Light" w:cs="Source Sans Pro Light" w:eastAsia="Source Sans Pro Light" w:hAnsi="Source Sans Pro Ligh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type w:val="nextPage"/>
      <w:pgSz w:h="16838" w:w="11906" w:orient="portrait"/>
      <w:pgMar w:bottom="426" w:top="56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Source Sans Pr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 Black">
    <w:embedBold w:fontKey="{00000000-0000-0000-0000-000000000000}" r:id="rId5" w:subsetted="0"/>
    <w:embedBoldItalic w:fontKey="{00000000-0000-0000-0000-000000000000}" r:id="rId6" w:subsetted="0"/>
  </w:font>
  <w:font w:name="Source Sans Pr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ource Sans Pro" w:cs="Source Sans Pro" w:eastAsia="Source Sans Pro" w:hAnsi="Source Sans Pro"/>
        <w:b w:val="0"/>
        <w:i w:val="0"/>
        <w:smallCaps w:val="0"/>
        <w:strike w:val="0"/>
        <w:color w:val="cfda2d"/>
        <w:sz w:val="40"/>
        <w:szCs w:val="40"/>
        <w:u w:val="none"/>
        <w:shd w:fill="auto" w:val="clear"/>
        <w:vertAlign w:val="baseline"/>
      </w:rPr>
      <w:drawing>
        <wp:inline distB="0" distT="0" distL="0" distR="0">
          <wp:extent cx="2535936" cy="768096"/>
          <wp:effectExtent b="0" l="0" r="0" t="0"/>
          <wp:docPr id="24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5936" cy="76809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ource Sans Pro" w:cs="Source Sans Pro" w:eastAsia="Source Sans Pro" w:hAnsi="Source Sans Pro"/>
        <w:b w:val="0"/>
        <w:i w:val="0"/>
        <w:smallCaps w:val="0"/>
        <w:strike w:val="0"/>
        <w:color w:val="cfda2d"/>
        <w:sz w:val="40"/>
        <w:szCs w:val="40"/>
        <w:u w:val="none"/>
        <w:shd w:fill="auto" w:val="clear"/>
        <w:vertAlign w:val="baseline"/>
      </w:rPr>
      <w:drawing>
        <wp:inline distB="0" distT="0" distL="0" distR="0">
          <wp:extent cx="5400040" cy="265242"/>
          <wp:effectExtent b="0" l="0" r="0" t="0"/>
          <wp:docPr id="247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2652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567"/>
      <w:jc w:val="center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555266" cy="1187264"/>
          <wp:effectExtent b="0" l="0" r="0" t="0"/>
          <wp:docPr descr="C:\Users\Ana\AppData\Local\Microsoft\Windows\INetCache\Content.Word\LOGO_vertical_HQ.PNG" id="246" name="image1.png"/>
          <a:graphic>
            <a:graphicData uri="http://schemas.openxmlformats.org/drawingml/2006/picture">
              <pic:pic>
                <pic:nvPicPr>
                  <pic:cNvPr descr="C:\Users\Ana\AppData\Local\Microsoft\Windows\INetCache\Content.Word\LOGO_vertical_HQ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55266" cy="11872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4"/>
        <w:szCs w:val="24"/>
        <w:lang w:val="eu-ES"/>
      </w:rPr>
    </w:rPrDefault>
    <w:pPrDefault>
      <w:pPr>
        <w:spacing w:after="20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="240" w:lineRule="auto"/>
      <w:ind w:firstLine="0"/>
      <w:jc w:val="center"/>
    </w:pPr>
    <w:rPr>
      <w:b w:val="1"/>
      <w:smallCaps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ind w:firstLine="0"/>
      <w:jc w:val="center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="240" w:lineRule="auto"/>
      <w:ind w:firstLine="0"/>
      <w:jc w:val="center"/>
    </w:pPr>
    <w:rPr>
      <w:b w:val="1"/>
      <w:smallCaps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ind w:firstLine="0"/>
      <w:jc w:val="center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6E62"/>
    <w:pPr>
      <w:spacing w:line="360" w:lineRule="auto"/>
      <w:ind w:firstLine="567"/>
      <w:jc w:val="both"/>
    </w:pPr>
    <w:rPr>
      <w:rFonts w:ascii="Source Sans Pro" w:hAnsi="Source Sans Pro"/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C20C8D"/>
    <w:pPr>
      <w:keepNext w:val="1"/>
      <w:keepLines w:val="1"/>
      <w:spacing w:before="360" w:line="240" w:lineRule="auto"/>
      <w:ind w:firstLine="0"/>
      <w:jc w:val="center"/>
      <w:outlineLvl w:val="0"/>
    </w:pPr>
    <w:rPr>
      <w:rFonts w:cstheme="majorBidi" w:eastAsiaTheme="majorEastAsia"/>
      <w:b w:val="1"/>
      <w:caps w:val="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57278"/>
    <w:pPr>
      <w:keepNext w:val="1"/>
      <w:keepLines w:val="1"/>
      <w:spacing w:after="120" w:before="120" w:line="240" w:lineRule="auto"/>
      <w:ind w:firstLine="0"/>
      <w:jc w:val="center"/>
      <w:outlineLvl w:val="1"/>
    </w:pPr>
    <w:rPr>
      <w:rFonts w:cstheme="majorBidi" w:eastAsiaTheme="majorEastAsia"/>
      <w:b w:val="1"/>
      <w:sz w:val="40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AE315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E315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E315E"/>
    <w:rPr>
      <w:rFonts w:ascii="Tahoma" w:cs="Tahoma" w:hAnsi="Tahoma"/>
      <w:sz w:val="16"/>
      <w:szCs w:val="16"/>
    </w:rPr>
  </w:style>
  <w:style w:type="paragraph" w:styleId="Prrafobsico" w:customStyle="1">
    <w:name w:val="[Párrafo básico]"/>
    <w:basedOn w:val="Normal"/>
    <w:uiPriority w:val="99"/>
    <w:rsid w:val="00703CA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cs="Minion Pro" w:hAnsi="Minion Pro"/>
      <w:color w:val="000000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 w:val="1"/>
    <w:rsid w:val="008E651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E6512"/>
  </w:style>
  <w:style w:type="paragraph" w:styleId="Piedepgina">
    <w:name w:val="footer"/>
    <w:basedOn w:val="Normal"/>
    <w:link w:val="PiedepginaCar"/>
    <w:uiPriority w:val="99"/>
    <w:unhideWhenUsed w:val="1"/>
    <w:rsid w:val="008E651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E6512"/>
  </w:style>
  <w:style w:type="character" w:styleId="Hipervnculo">
    <w:name w:val="Hyperlink"/>
    <w:basedOn w:val="Fuentedeprrafopredeter"/>
    <w:uiPriority w:val="99"/>
    <w:unhideWhenUsed w:val="1"/>
    <w:rsid w:val="000C1A8F"/>
    <w:rPr>
      <w:color w:val="0000ff" w:themeColor="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C20C8D"/>
    <w:rPr>
      <w:rFonts w:ascii="Source Sans Pro" w:hAnsi="Source Sans Pro" w:cstheme="majorBidi" w:eastAsiaTheme="majorEastAsia"/>
      <w:b w:val="1"/>
      <w:caps w:val="1"/>
      <w:sz w:val="5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557278"/>
    <w:rPr>
      <w:rFonts w:ascii="Source Sans Pro" w:hAnsi="Source Sans Pro" w:cstheme="majorBidi" w:eastAsiaTheme="majorEastAsia"/>
      <w:b w:val="1"/>
      <w:sz w:val="40"/>
      <w:szCs w:val="26"/>
    </w:rPr>
  </w:style>
  <w:style w:type="paragraph" w:styleId="ndice" w:customStyle="1">
    <w:name w:val="Índice"/>
    <w:basedOn w:val="TDC1"/>
    <w:rsid w:val="00CC233F"/>
    <w:pPr>
      <w:tabs>
        <w:tab w:val="right" w:leader="dot" w:pos="7371"/>
      </w:tabs>
    </w:pPr>
    <w:rPr>
      <w:noProof w:val="1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C33BB"/>
    <w:pPr>
      <w:spacing w:after="0" w:before="120"/>
      <w:jc w:val="left"/>
    </w:pPr>
    <w:rPr>
      <w:rFonts w:asciiTheme="minorHAnsi" w:hAnsiTheme="minorHAnsi"/>
      <w:b w:val="1"/>
      <w:bCs w:val="1"/>
      <w:i w:val="1"/>
      <w:iCs w:val="1"/>
      <w:szCs w:val="24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E1C6E"/>
    <w:rPr>
      <w:color w:val="605e5c"/>
      <w:shd w:color="auto" w:fill="e1dfdd" w:val="clear"/>
    </w:rPr>
  </w:style>
  <w:style w:type="paragraph" w:styleId="Cdigo" w:customStyle="1">
    <w:name w:val="Código"/>
    <w:basedOn w:val="Normal"/>
    <w:qFormat w:val="1"/>
    <w:rsid w:val="00677B88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5"/>
      <w:spacing w:line="240" w:lineRule="auto"/>
      <w:ind w:firstLine="0"/>
      <w:jc w:val="left"/>
    </w:pPr>
    <w:rPr>
      <w:rFonts w:ascii="Courier New" w:cs="Courier New" w:hAnsi="Courier New"/>
      <w:b w:val="1"/>
      <w:bCs w:val="1"/>
      <w:lang w:val="eu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4839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48398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483984"/>
    <w:rPr>
      <w:rFonts w:ascii="Source Sans Pro" w:hAnsi="Source Sans Pr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48398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483984"/>
    <w:rPr>
      <w:rFonts w:ascii="Source Sans Pro" w:hAnsi="Source Sans Pro"/>
      <w:b w:val="1"/>
      <w:bCs w:val="1"/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00483984"/>
    <w:pPr>
      <w:ind w:left="720"/>
      <w:contextualSpacing w:val="1"/>
    </w:p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5327CD"/>
    <w:rPr>
      <w:color w:val="800080" w:themeColor="followed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C33BB"/>
    <w:pPr>
      <w:spacing w:after="0" w:before="120"/>
      <w:ind w:left="240"/>
      <w:jc w:val="left"/>
    </w:pPr>
    <w:rPr>
      <w:rFonts w:asciiTheme="minorHAnsi" w:hAnsiTheme="minorHAnsi"/>
      <w:b w:val="1"/>
      <w:bCs w:val="1"/>
      <w:sz w:val="22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9C33BB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C33BB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C33BB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C33BB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C33BB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C33BB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C33BB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dustrialcybersecuritypulse.com/it-ot/why-ics-ot-infrastructure-is-insecure/" TargetMode="External"/><Relationship Id="rId22" Type="http://schemas.openxmlformats.org/officeDocument/2006/relationships/hyperlink" Target="https://zemsaniaglobalgroup.com/3-claves-para-la-convergencia-it-ot-big-data-iot-y-cloud/" TargetMode="External"/><Relationship Id="rId21" Type="http://schemas.openxmlformats.org/officeDocument/2006/relationships/hyperlink" Target="https://www.septer.es/convergencia-it-ot-industria-40/" TargetMode="External"/><Relationship Id="rId24" Type="http://schemas.openxmlformats.org/officeDocument/2006/relationships/hyperlink" Target="https://www.advancedfactories.com/entrevista-javier-zubiaurre-euroutil/" TargetMode="External"/><Relationship Id="rId23" Type="http://schemas.openxmlformats.org/officeDocument/2006/relationships/hyperlink" Target="https://zemsaniaglobalgroup.com/3-claves-para-la-convergencia-it-ot-big-data-iot-y-clou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vXJJX1Jaow" TargetMode="External"/><Relationship Id="rId26" Type="http://schemas.openxmlformats.org/officeDocument/2006/relationships/header" Target="header2.xml"/><Relationship Id="rId25" Type="http://schemas.openxmlformats.org/officeDocument/2006/relationships/hyperlink" Target="https://revistabyte.es/tendencias-tic/convergencia-industrial-de-it-ot/" TargetMode="Externa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hyperlink" Target="https://www.apd.es/los-siete-mitos-de-la-ciberseguridad-en-las-empresas-victor-deutsch/" TargetMode="External"/><Relationship Id="rId10" Type="http://schemas.openxmlformats.org/officeDocument/2006/relationships/hyperlink" Target="https://www.apd.es/ciberseguridad-empresas-sector-empresarial-2/" TargetMode="External"/><Relationship Id="rId13" Type="http://schemas.openxmlformats.org/officeDocument/2006/relationships/hyperlink" Target="https://www.incibe-cert.es/blog/ti-y-somos-amigos" TargetMode="External"/><Relationship Id="rId12" Type="http://schemas.openxmlformats.org/officeDocument/2006/relationships/hyperlink" Target="https://nexusintegra.io/es/transformacion-digital-industrial-que-es-ventajas/" TargetMode="External"/><Relationship Id="rId15" Type="http://schemas.openxmlformats.org/officeDocument/2006/relationships/hyperlink" Target="https://www.sans.org/blog/introduction-to-ics-security/" TargetMode="External"/><Relationship Id="rId14" Type="http://schemas.openxmlformats.org/officeDocument/2006/relationships/hyperlink" Target="https://www.incibe-cert.es/blog/ti-y-somos-amigos" TargetMode="External"/><Relationship Id="rId17" Type="http://schemas.openxmlformats.org/officeDocument/2006/relationships/hyperlink" Target="https://www.infoplc.net/plus-plus/blogs/item/111633-tribuna-seguridad-resiliencia-nozomi-networks" TargetMode="External"/><Relationship Id="rId16" Type="http://schemas.openxmlformats.org/officeDocument/2006/relationships/hyperlink" Target="https://www.spiceworks.com/it-security/cyber-risk-management/guest-article/why-ot-environments-are-getting-attacked-and-what-organizations-can-do-about-it/" TargetMode="External"/><Relationship Id="rId19" Type="http://schemas.openxmlformats.org/officeDocument/2006/relationships/hyperlink" Target="https://www.spiceworks.com/it-security/cyber-risk-management/guest-article/modern-strategies-to-combat-cyberattacks-on-operational-technology/" TargetMode="External"/><Relationship Id="rId18" Type="http://schemas.openxmlformats.org/officeDocument/2006/relationships/hyperlink" Target="https://www.computerweekly.com/es/cronica/La-ciberseguridad-para-OT-avanza-y-se-integra-con-T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Light-regular.ttf"/><Relationship Id="rId2" Type="http://schemas.openxmlformats.org/officeDocument/2006/relationships/font" Target="fonts/SourceSansProLight-bold.ttf"/><Relationship Id="rId3" Type="http://schemas.openxmlformats.org/officeDocument/2006/relationships/font" Target="fonts/SourceSansProLight-italic.ttf"/><Relationship Id="rId4" Type="http://schemas.openxmlformats.org/officeDocument/2006/relationships/font" Target="fonts/SourceSansProLight-boldItalic.ttf"/><Relationship Id="rId10" Type="http://schemas.openxmlformats.org/officeDocument/2006/relationships/font" Target="fonts/SourceSansPro-boldItalic.ttf"/><Relationship Id="rId9" Type="http://schemas.openxmlformats.org/officeDocument/2006/relationships/font" Target="fonts/SourceSansPro-italic.ttf"/><Relationship Id="rId5" Type="http://schemas.openxmlformats.org/officeDocument/2006/relationships/font" Target="fonts/SourceSansProBlack-bold.ttf"/><Relationship Id="rId6" Type="http://schemas.openxmlformats.org/officeDocument/2006/relationships/font" Target="fonts/SourceSansProBlack-boldItalic.ttf"/><Relationship Id="rId7" Type="http://schemas.openxmlformats.org/officeDocument/2006/relationships/font" Target="fonts/SourceSansPro-regular.ttf"/><Relationship Id="rId8" Type="http://schemas.openxmlformats.org/officeDocument/2006/relationships/font" Target="fonts/SourceSansPr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pXwCY/aJsulKUPIWx9yeAD3Ixg==">AMUW2mXs0mzhM+tbxHq0z0kIT47cIeM9+ip+PA26AOVT0CRqjiH9bdAHKQMj610yWuBQBAAdKTlO7MZI8TQF7SHlgxNQD9GCyYWz3kQTEolvA7YXmr8iy2oJk2SkBYFBGbkOuA73BlTwLB+mhMWbquP2l0wEBgX0d6np7nuncsYCISfgQ7mTAlHTav4QWnvX4ndA3doX4GT2N2RQmf2NzCGIbaqk4jmh+3WBWBIzHceSsTHdrM5qTt3+K0519lpqnm1srBW4a2gTtwF0HCbymlNQyfgecmo6PDjIPeSZ2RcP1hSxOv4NQtk6+ddR1ilQrCifdG5n43Gj0B2Ej1DgzH8WcaDVvMON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2020-07-16T11:14:00Z</dcterms:created>
  <dc:creator>Álvaro</dc:creator>
</cp:coreProperties>
</file>