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-115.0" w:type="dxa"/>
        <w:tblLayout w:type="fixed"/>
        <w:tblLook w:val="0400"/>
      </w:tblPr>
      <w:tblGrid>
        <w:gridCol w:w="4008"/>
        <w:gridCol w:w="1400"/>
        <w:gridCol w:w="5365"/>
        <w:tblGridChange w:id="0">
          <w:tblGrid>
            <w:gridCol w:w="4008"/>
            <w:gridCol w:w="1400"/>
            <w:gridCol w:w="5365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36"/>
                <w:szCs w:val="36"/>
              </w:rPr>
              <w:drawing>
                <wp:inline distB="114300" distT="114300" distL="114300" distR="114300">
                  <wp:extent cx="2447925" cy="736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73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ELEKTRIZITATEA ETA ELEKTRONIKA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AUTOMATIZAZIOA ETA ROBOTIKA, ( MEKATRONIKA….)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ZIBERSEGURTASUN  INDUSTRIALA (ZEHARKAKOA)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Iraupena: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orduko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saio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Antolaketa: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pertsonatako taldeak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cbd3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jc w:val="center"/>
              <w:rPr>
                <w:rFonts w:ascii="Arial" w:cs="Arial" w:eastAsia="Arial" w:hAnsi="Arial"/>
                <w:b w:val="1"/>
                <w:i w:val="1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0000"/>
                <w:sz w:val="56"/>
                <w:szCs w:val="56"/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56"/>
                <w:szCs w:val="56"/>
                <w:rtl w:val="0"/>
              </w:rPr>
              <w:t xml:space="preserve">Erronka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56"/>
                <w:szCs w:val="56"/>
                <w:rtl w:val="0"/>
              </w:rPr>
              <w:t xml:space="preserve">Zibersegurtasun industrialeko jarduerak ezartzea sistema automatizatuetan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56"/>
                <w:szCs w:val="5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56"/>
                <w:szCs w:val="56"/>
                <w:rtl w:val="0"/>
              </w:rPr>
              <w:t xml:space="preserve">Azalpen laburra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Zikloan egin duzun sistema automatikoaren erronkan edo proiektuan zibersegurtasun industrialeko jarduerak txertatu.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72"/>
                <w:szCs w:val="7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72"/>
                <w:szCs w:val="72"/>
                <w:rtl w:val="0"/>
              </w:rPr>
              <w:t xml:space="preserve">Erronka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4.0 industriak fabrikazio adimenduna eta interkonektatutako gailuak ditu ezaugarri. Baina interkonektatutako beste edozein sistema bezala, helburu potentzialak dira zibererasoentzat. Instalazioetan sartzeak arrisku handiko ondorioak izan ditzake industria-erakundeentzat.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Erronka honetan, zibersegurtasun-jarduerak txertatu beharko dituzu gaur egun zure heziketa-zikloaren barruan lanean ari zaren instalazio automatizatuan. Jarduera horiek txertatuz, ikasgelaren inguruan industria-instalazioak babesteko beharrari buruzko kontzientziazioa sortuko duzu, zibersegurtasunaren munduko terminologiara ohituko zara eta jarduera horiek egiteko moduari buruzko ezagutza teknikoak eskuratuko dituzu.</w:t>
      </w:r>
    </w:p>
    <w:p w:rsidR="00000000" w:rsidDel="00000000" w:rsidP="00000000" w:rsidRDefault="00000000" w:rsidRPr="00000000" w14:paraId="0000002B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Zibersegurtasuna:  ordenagailuak, zerbitzariak, gailu mugikorrak, sistema elektronikoak, sareak etab, asmo txarreko erasoetatik  babesteko praktika da.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Rule="auto"/>
        <w:ind w:left="-220" w:right="-220" w:firstLine="220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highlight w:val="white"/>
        </w:rPr>
        <w:drawing>
          <wp:inline distB="19050" distT="19050" distL="19050" distR="19050">
            <wp:extent cx="6043224" cy="30527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224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-220" w:right="-220" w:firstLine="0"/>
        <w:jc w:val="both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-220" w:right="-220" w:firstLine="2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Helburuak / Ikasketa emaitzak 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TEKNIKOAK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1- IT (Informazioaren Teknologiak) eta OT (Eragiketaren Teknologiak) teknologien konbergentziarako aldaketak zehazten ditu, ingurune horiek erakundeetan duten egoera aztertuz.</w:t>
      </w:r>
    </w:p>
    <w:p w:rsidR="00000000" w:rsidDel="00000000" w:rsidP="00000000" w:rsidRDefault="00000000" w:rsidRPr="00000000" w14:paraId="00000038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2- Industria-sistema seguruen kontrolean esku hartzen duten gailu programagarriak ezagutzen ditu.</w:t>
      </w:r>
    </w:p>
    <w:p w:rsidR="00000000" w:rsidDel="00000000" w:rsidP="00000000" w:rsidRDefault="00000000" w:rsidRPr="00000000" w14:paraId="00000039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3- Arrisku teknologikoko egoerak ebaluatzen ditu industria-instalazioak kontrolatzeko sistemetan.</w:t>
      </w:r>
    </w:p>
    <w:p w:rsidR="00000000" w:rsidDel="00000000" w:rsidP="00000000" w:rsidRDefault="00000000" w:rsidRPr="00000000" w14:paraId="0000003A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4- Kontrol industrialeko sistemak konfiguratzen ditu, egon daitezkeen arrisku-egoerak minimizatuz.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5- Industria-kontroleko sistemetan anomaliak detektatzen ditu.</w:t>
      </w:r>
    </w:p>
    <w:p w:rsidR="00000000" w:rsidDel="00000000" w:rsidP="00000000" w:rsidRDefault="00000000" w:rsidRPr="00000000" w14:paraId="0000003C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ZEHARKAKOAK   (</w:t>
      </w:r>
      <w:hyperlink r:id="rId8">
        <w:r w:rsidDel="00000000" w:rsidR="00000000" w:rsidRPr="00000000">
          <w:rPr>
            <w:rFonts w:ascii="Arial" w:cs="Arial" w:eastAsia="Arial" w:hAnsi="Arial"/>
            <w:i w:val="1"/>
            <w:color w:val="1155cc"/>
            <w:u w:val="single"/>
            <w:rtl w:val="0"/>
          </w:rPr>
          <w:t xml:space="preserve">Errubrikak</w:t>
        </w:r>
      </w:hyperlink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2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Pertsonalak: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Inplikazioa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Ekimen sortzailea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2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Komunikazioa: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Ahozko komunikazioa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Idatzizko komunikazioa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2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Digitala: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Informazioan eta datuetan alfabetatzea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Komunikazioa eta lankidetza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Eduki digitalak sortzea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Segurtasuna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Arazoak konpontzea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Rule="auto"/>
        <w:ind w:left="12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Lankidetzakoa: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Talde-lana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Arazoak konpontzea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40" w:lineRule="auto"/>
        <w:ind w:left="246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Erabakiak hartzea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91050" cy="25669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hanging="36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Egin beharreko lanak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Calibri" w:cs="Calibri" w:eastAsia="Calibri" w:hAnsi="Calibri"/>
          <w:b w:val="0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Zibersegurtasun-jarduera hauek sartu  lanean ari zaren automatizazio-erronkan : </w:t>
      </w:r>
    </w:p>
    <w:p w:rsidR="00000000" w:rsidDel="00000000" w:rsidP="00000000" w:rsidRDefault="00000000" w:rsidRPr="00000000" w14:paraId="00000055">
      <w:pPr>
        <w:pageBreakBefore w:val="0"/>
        <w:spacing w:after="0" w:lineRule="auto"/>
        <w:ind w:left="-220" w:right="-2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4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Industrian gertatzen ari diren IT&amp;OT teknologiak integratzea eskatzen duten aldaketak justifikatu.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Industria-instalazioak zergatik dauden arriskuan eta arrisku-egoerak zeintzuk diren identifikatu.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4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Aztertu zer arazo sortzen dituen komunikazio-portuak irekitzeak edo webserver-a gaituta edukitzeak... Arriskupean dauden eta seguruak ez diren industria-ekipoak aurkitu. Kontuan izan portu horiek alde batetik irekita edukitzeak eta beste batetik beste instalazio batean sartzeak dakartzan arazoak.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Aztertu, orain dela gutxi,eta instalazio industrialen aurka , mundu mailan izan den eraso informatiko esaguratsuren bat, ransomware motakoa edo antzekoa.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Gehien erabiltzen diren komunikazio-protokoloak identifikatu. Erabili Wireshark aplikazioa zure instalazio industrialean sortzen diren komunikazioen trafikoa bistaratzeko.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Erabili Tknikan sortutako panela zure instalazio industrialaren memoria-eremuei buruzko datuak lortzeko eta datuak idazteko. Enpresaren sarean sartzeak ekar dezakeen arazoaz sentsibilizatzea, bai eta enpresaren industria-komunikazioak testu lauan eta monitorizazio-tresna informatikoen bidez eskuragarri jartzeaz ere.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SCI kontrol industrialeko instalazioetan dauden mehatxuak eta ahuleziak identifikatu.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4.0 industria-jarduera gisa, atera zure ekoizpen-sistemako datuak teknika hauetakoren bat edo ezagutzen dituzun beste batzuk erabiliz: OPC UA, Keepserver, Siemesn IOT , Nodered, Tknikaren panela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spacing w:after="0" w:lineRule="auto"/>
        <w:ind w:left="720" w:right="-2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Egizu zure sarea nola segmentatuko zenuen ariketa simulatua, konfigurazio segurua emateko. Marraztu instalazioa babesteko egitura aproposaren  eskema bat, kontuan hartu segmentazioa vlan, switch, router edo suebakien bidez.</w:t>
      </w:r>
    </w:p>
    <w:p w:rsidR="00000000" w:rsidDel="00000000" w:rsidP="00000000" w:rsidRDefault="00000000" w:rsidRPr="00000000" w14:paraId="0000005F">
      <w:pPr>
        <w:pageBreakBefore w:val="0"/>
        <w:spacing w:after="0" w:lineRule="auto"/>
        <w:ind w:left="-220" w:right="-2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b w:val="0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hanging="36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Ebaluazio irizpideak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Gaitasun teknikoak %70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Zeharkako gaitasunak %30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lineRule="auto"/>
        <w:ind w:left="-220" w:right="-220" w:firstLine="0"/>
        <w:rPr>
          <w:rFonts w:ascii="Arial" w:cs="Arial" w:eastAsia="Arial" w:hAnsi="Arial"/>
          <w:color w:val="ff0000"/>
        </w:rPr>
      </w:pPr>
      <w:bookmarkStart w:colFirst="0" w:colLast="0" w:name="_30j0zll" w:id="1"/>
      <w:bookmarkEnd w:id="1"/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rtl w:val="0"/>
        </w:rPr>
        <w:t xml:space="preserve">Ebaluazio-proposamena. Erabili ohiko duzun proiektu/erronken  ebaluazio-orria , egindako zibersegurtasun-jarduerekin lotutako itemak txertatuz.</w:t>
      </w:r>
      <w:r w:rsidDel="00000000" w:rsidR="00000000" w:rsidRPr="00000000">
        <w:rPr>
          <w:rtl w:val="0"/>
        </w:rPr>
      </w:r>
    </w:p>
    <w:tbl>
      <w:tblPr>
        <w:tblStyle w:val="Table7"/>
        <w:tblW w:w="10459.09716382539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9.097163825396"/>
        <w:gridCol w:w="4740"/>
        <w:gridCol w:w="1350"/>
        <w:tblGridChange w:id="0">
          <w:tblGrid>
            <w:gridCol w:w="4369.097163825396"/>
            <w:gridCol w:w="4740"/>
            <w:gridCol w:w="13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PROIEKTU ZenbX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Taldea: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EBALUAZIO IRIZPIDEAK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202X/2X Urtea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Ikaslea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Proiektu zenbk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Comic Sans MS" w:cs="Comic Sans MS" w:eastAsia="Comic Sans MS" w:hAnsi="Comic Sans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GAITASUN TEKNIKOEN BALORAZIOA: ( 7 puntu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Industria-instalazioak zergatik dauden arriskuan eta arrisku-egoerak zein diren identifikatzen du.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PLCan programazio segurua egiteko beharra justifikatzen duten artikuluak aurkitu eta aztertzen ditu.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Aztertu PLC Security Top 20 zerrenda, eta aukeratu zure proiektuan aplikatzeko bideragarrienak iruditzen zaizkizun 10 neurriak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before="24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Inplementatu zure PLCren programan  modu erreal eta eraginkorrean  sar daitezkeen praktikak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Praktika1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6"/>
              </w:numPr>
              <w:spacing w:after="0" w:before="240"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Praktika2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spacing w:after="0" w:before="240" w:line="276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Praktika3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ZEHARKAKO GAITASUNEN EBALUAZIOA (3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before="24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z w:val="20"/>
                <w:szCs w:val="20"/>
                <w:rtl w:val="0"/>
              </w:rPr>
              <w:t xml:space="preserve">Pertsonalak: Autonomia, inplikazioa, ekimen ekintzailea.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Komunikazioa: ahozko komunikazioa, idatzizko komunikazioa.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Digitala: informazioa eta datuak alfabetatzea, Komunikazioa eta lankidetza, eduki digitalak sortzea, Segurtasuna eta arazoen konponketa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Elkarlana: talde-lana, arazoak konpontzea, erabakiak hartzea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Gaitasun Teknikoak (7)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Zeharkako gaitasunak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4"/>
                <w:szCs w:val="24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spacing w:after="12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hanging="36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Baliabideak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5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4d5156"/>
          <w:highlight w:val="white"/>
          <w:rtl w:val="0"/>
        </w:rPr>
        <w:t xml:space="preserve">Centro Vasco de Ciberseguridad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https://www.basquecybersecurity.eus/es/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5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Centro de Ciberseguridad Industrial de Gipuzkoa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https://www.ziur.eus/es/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5"/>
        </w:numPr>
        <w:spacing w:after="0" w:lineRule="auto"/>
        <w:ind w:left="360" w:hanging="360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Industrias de Ciberseguridad del País Vasco.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highlight w:val="white"/>
            <w:u w:val="single"/>
            <w:rtl w:val="0"/>
          </w:rPr>
          <w:t xml:space="preserve">https://www.cybasque.eus/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5"/>
        </w:numPr>
        <w:spacing w:after="0" w:lineRule="auto"/>
        <w:ind w:left="360" w:hanging="360"/>
        <w:rPr>
          <w:rFonts w:ascii="Arial" w:cs="Arial" w:eastAsia="Arial" w:hAnsi="Arial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INCIBE </w:t>
      </w:r>
      <w:r w:rsidDel="00000000" w:rsidR="00000000" w:rsidRPr="00000000">
        <w:rPr>
          <w:rFonts w:ascii="Arial" w:cs="Arial" w:eastAsia="Arial" w:hAnsi="Arial"/>
          <w:color w:val="4b5c66"/>
          <w:sz w:val="25"/>
          <w:szCs w:val="25"/>
          <w:highlight w:val="white"/>
          <w:rtl w:val="0"/>
        </w:rPr>
        <w:t xml:space="preserve">Insituto nacional de Ciberseguridad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5"/>
            <w:szCs w:val="25"/>
            <w:highlight w:val="white"/>
            <w:u w:val="single"/>
            <w:rtl w:val="0"/>
          </w:rPr>
          <w:t xml:space="preserve">https://www.incibe.es/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numPr>
          <w:ilvl w:val="0"/>
          <w:numId w:val="5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CCI Centro de Ciberseguridad Industrial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https://www.cci-es.org/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5"/>
        </w:numPr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Bibliografía: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https://infolibros.org/libros-de-seguridad-informatica-gratis-pdf/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0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606"/>
        <w:tblGridChange w:id="0">
          <w:tblGrid>
            <w:gridCol w:w="1060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000000" w:space="0" w:sz="12" w:val="single"/>
            </w:tcBorders>
            <w:shd w:fill="cbd300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hanging="360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Denboraren antolaketa</w:t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81.999999999998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2109"/>
        <w:gridCol w:w="2224"/>
        <w:gridCol w:w="2123"/>
        <w:gridCol w:w="2141"/>
        <w:tblGridChange w:id="0">
          <w:tblGrid>
            <w:gridCol w:w="2085"/>
            <w:gridCol w:w="2109"/>
            <w:gridCol w:w="2224"/>
            <w:gridCol w:w="2123"/>
            <w:gridCol w:w="214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Astelehena</w:t>
            </w:r>
          </w:p>
        </w:tc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Asteartea</w:t>
            </w:r>
          </w:p>
        </w:tc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Asteazkena</w:t>
            </w:r>
          </w:p>
        </w:tc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Osteguna</w:t>
            </w:r>
          </w:p>
        </w:tc>
        <w:tc>
          <w:tcPr>
            <w:shd w:fill="cbd300" w:val="clear"/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Ostirala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  <w:font w:name="Comic Sans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440" w:firstLine="720"/>
      <w:rPr>
        <w:rFonts w:ascii="Arial" w:cs="Arial" w:eastAsia="Arial" w:hAnsi="Arial"/>
        <w:color w:val="666666"/>
        <w:sz w:val="19"/>
        <w:szCs w:val="19"/>
        <w:highlight w:val="white"/>
      </w:rPr>
    </w:pPr>
    <w:r w:rsidDel="00000000" w:rsidR="00000000" w:rsidRPr="00000000">
      <w:rPr>
        <w:rFonts w:ascii="Arial" w:cs="Arial" w:eastAsia="Arial" w:hAnsi="Arial"/>
        <w:color w:val="666666"/>
        <w:sz w:val="19"/>
        <w:szCs w:val="19"/>
        <w:highlight w:val="white"/>
        <w:rtl w:val="0"/>
      </w:rPr>
      <w:t xml:space="preserve">Lan hau Tknikak</w:t>
    </w:r>
    <w:r w:rsidDel="00000000" w:rsidR="00000000" w:rsidRPr="00000000">
      <w:rPr>
        <w:rFonts w:ascii="Arial" w:cs="Arial" w:eastAsia="Arial" w:hAnsi="Arial"/>
        <w:color w:val="ff0000"/>
        <w:sz w:val="19"/>
        <w:szCs w:val="19"/>
        <w:highlight w:val="white"/>
        <w:rtl w:val="0"/>
      </w:rPr>
      <w:t xml:space="preserve"> </w:t>
    </w:r>
    <w:r w:rsidDel="00000000" w:rsidR="00000000" w:rsidRPr="00000000">
      <w:rPr>
        <w:rFonts w:ascii="Arial" w:cs="Arial" w:eastAsia="Arial" w:hAnsi="Arial"/>
        <w:color w:val="666666"/>
        <w:sz w:val="19"/>
        <w:szCs w:val="19"/>
        <w:highlight w:val="white"/>
        <w:rtl w:val="0"/>
      </w:rPr>
      <w:t xml:space="preserve">sortu du eta Creative Commons CC-BY lizentziarekin banatzen da </w:t>
      <w:tab/>
      <w:tab/>
    </w:r>
    <w:r w:rsidDel="00000000" w:rsidR="00000000" w:rsidRPr="00000000">
      <w:rPr>
        <w:rFonts w:ascii="Arial" w:cs="Arial" w:eastAsia="Arial" w:hAnsi="Arial"/>
        <w:color w:val="666666"/>
        <w:sz w:val="19"/>
        <w:szCs w:val="19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123825</wp:posOffset>
          </wp:positionH>
          <wp:positionV relativeFrom="paragraph">
            <wp:posOffset>3</wp:posOffset>
          </wp:positionV>
          <wp:extent cx="900113" cy="322682"/>
          <wp:effectExtent b="0" l="0" r="0" t="0"/>
          <wp:wrapSquare wrapText="bothSides" distB="57150" distT="57150" distL="57150" distR="57150"/>
          <wp:docPr descr="CC_BYlizentzia.png" id="1" name="image1.png"/>
          <a:graphic>
            <a:graphicData uri="http://schemas.openxmlformats.org/drawingml/2006/picture">
              <pic:pic>
                <pic:nvPicPr>
                  <pic:cNvPr descr="CC_BYlizentzia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0113" cy="32268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cs="Montserrat" w:eastAsia="Montserrat" w:hAnsi="Montserrat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upperLetter"/>
      <w:lvlText w:val="%1.%2.%3."/>
      <w:lvlJc w:val="left"/>
      <w:pPr>
        <w:ind w:left="720" w:hanging="720"/>
      </w:pPr>
      <w:rPr/>
    </w:lvl>
    <w:lvl w:ilvl="3">
      <w:start w:val="1"/>
      <w:numFmt w:val="upperRoman"/>
      <w:lvlText w:val="%1.%2.%3.%4."/>
      <w:lvlJc w:val="left"/>
      <w:pPr>
        <w:ind w:left="1440" w:hanging="144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ziur.eus/es/" TargetMode="External"/><Relationship Id="rId10" Type="http://schemas.openxmlformats.org/officeDocument/2006/relationships/hyperlink" Target="https://www.basquecybersecurity.eus/es/" TargetMode="External"/><Relationship Id="rId13" Type="http://schemas.openxmlformats.org/officeDocument/2006/relationships/hyperlink" Target="https://www.incibe.es/" TargetMode="External"/><Relationship Id="rId12" Type="http://schemas.openxmlformats.org/officeDocument/2006/relationships/hyperlink" Target="https://www.cybasque.e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infolibros.org/libros-de-seguridad-informatica-gratis-pdf/" TargetMode="External"/><Relationship Id="rId14" Type="http://schemas.openxmlformats.org/officeDocument/2006/relationships/hyperlink" Target="https://www.cci-es.org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rive.google.com/file/d/1uNcwrLVx2o8hYf5tCzoew4FgdMgA5Vsf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