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gertaeren-erantzun-plana"/>
    <w:p>
      <w:pPr>
        <w:pStyle w:val="Heading1"/>
      </w:pPr>
      <w:r>
        <w:t xml:space="preserve">Gertaeren Erantzun-plana</w:t>
      </w:r>
    </w:p>
    <w:p>
      <w:pPr>
        <w:pStyle w:val="FirstParagraph"/>
      </w:pPr>
      <w:r>
        <w:t xml:space="preserve">Intzidentzia baten aurrean eman beharreko pausoen txantiloia. Bete zure</w:t>
      </w:r>
      <w:r>
        <w:t xml:space="preserve"> </w:t>
      </w:r>
      <w:r>
        <w:t xml:space="preserve">ikastetxearen datuekin eta eskuragarri izan beti — inprimatutako kopia bat</w:t>
      </w:r>
      <w:r>
        <w:t xml:space="preserve"> </w:t>
      </w:r>
      <w:r>
        <w:t xml:space="preserve">eta bertsio digitala leku seguru batean.</w:t>
      </w:r>
    </w:p>
    <w:p>
      <w:r>
        <w:pict>
          <v:rect style="width:0;height:1.5pt" o:hralign="center" o:hrstd="t" o:hr="t"/>
        </w:pict>
      </w:r>
    </w:p>
    <w:bookmarkStart w:id="20" w:name="kontaktu-zerrenda"/>
    <w:p>
      <w:pPr>
        <w:pStyle w:val="Heading2"/>
      </w:pPr>
      <w:r>
        <w:t xml:space="preserve">1. Kontaktu-zerrenda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 elektronikoa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Koordinatzailea / Zuzendaritza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arduraduna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Komunikazio-arduraduna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DPD (Datuen Babeserako Ordezkaria)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Cyberzaintza (intzidentzien jakinarazpena)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900 104 891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cyberzaintza@cyberzaintza.eus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AEPD (datu-urraketen jakinarazpena)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sedeagpd.gob.es</w:t>
            </w:r>
          </w:p>
        </w:tc>
      </w:tr>
    </w:tbl>
    <w:bookmarkEnd w:id="20"/>
    <w:bookmarkStart w:id="25" w:name="X2f5f2ffc315dc2605d91c3709981f4ef9e59419"/>
    <w:p>
      <w:pPr>
        <w:pStyle w:val="Heading2"/>
      </w:pPr>
      <w:r>
        <w:t xml:space="preserve">2. Intzidentziaren detekzioa eta hasierako ebaluazioa</w:t>
      </w:r>
    </w:p>
    <w:bookmarkStart w:id="21" w:name="nork-detektatu-du"/>
    <w:p>
      <w:pPr>
        <w:pStyle w:val="Heading3"/>
      </w:pPr>
      <w:r>
        <w:t xml:space="preserve">Nork detektatu du?</w:t>
      </w:r>
    </w:p>
    <w:p>
      <w:pPr>
        <w:numPr>
          <w:ilvl w:val="0"/>
          <w:numId w:val="1001"/>
        </w:numPr>
        <w:pStyle w:val="Compact"/>
      </w:pPr>
      <w:r>
        <w:t xml:space="preserve">[ ] Langile batek</w:t>
      </w:r>
    </w:p>
    <w:p>
      <w:pPr>
        <w:numPr>
          <w:ilvl w:val="0"/>
          <w:numId w:val="1001"/>
        </w:numPr>
        <w:pStyle w:val="Compact"/>
      </w:pPr>
      <w:r>
        <w:t xml:space="preserve">[ ] Antibirus / monitorizazio-sistema batek</w:t>
      </w:r>
    </w:p>
    <w:p>
      <w:pPr>
        <w:numPr>
          <w:ilvl w:val="0"/>
          <w:numId w:val="1001"/>
        </w:numPr>
        <w:pStyle w:val="Compact"/>
      </w:pPr>
      <w:r>
        <w:t xml:space="preserve">[ ] Kanpoko iturri batek (hornitzailea, Cyberzaintza…)</w:t>
      </w:r>
    </w:p>
    <w:p>
      <w:pPr>
        <w:numPr>
          <w:ilvl w:val="0"/>
          <w:numId w:val="1001"/>
        </w:numPr>
        <w:pStyle w:val="Compact"/>
      </w:pPr>
      <w:r>
        <w:t xml:space="preserve">[ ] Beste bat: ________________</w:t>
      </w:r>
    </w:p>
    <w:bookmarkEnd w:id="21"/>
    <w:bookmarkStart w:id="22" w:name="detekzio-data-eta-ordua"/>
    <w:p>
      <w:pPr>
        <w:pStyle w:val="Heading3"/>
      </w:pPr>
      <w:r>
        <w:t xml:space="preserve">Detekzio-data eta ordua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Ordua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intzidentziaren-deskribapen-laburra"/>
    <w:p>
      <w:pPr>
        <w:pStyle w:val="Heading3"/>
      </w:pPr>
      <w:r>
        <w:t xml:space="preserve">Intzidentziaren deskribapen laburra</w:t>
      </w:r>
    </w:p>
    <w:p>
      <w:pPr>
        <w:pStyle w:val="FirstParagraph"/>
      </w:pPr>
      <w:r>
        <w:t xml:space="preserve">……………………………………………………………………………………………………</w:t>
      </w:r>
    </w:p>
    <w:bookmarkEnd w:id="23"/>
    <w:bookmarkStart w:id="24" w:name="sailkapena"/>
    <w:p>
      <w:pPr>
        <w:pStyle w:val="Heading3"/>
      </w:pPr>
      <w:r>
        <w:t xml:space="preserve">Sailkapena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Egoera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Baxua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Eragin txikia, zerbitzuak ez dira eteten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Zerbitzu batzuk kaltetuta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Zerbitzuak etenda, datuak arriskuan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Kritikoa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Ikastetxearen jarduera osoa arriskuan</w:t>
            </w:r>
          </w:p>
        </w:tc>
      </w:tr>
    </w:tbl>
    <w:bookmarkEnd w:id="24"/>
    <w:bookmarkEnd w:id="25"/>
    <w:bookmarkStart w:id="30" w:name="ekintzak"/>
    <w:p>
      <w:pPr>
        <w:pStyle w:val="Heading2"/>
      </w:pPr>
      <w:r>
        <w:t xml:space="preserve">3. Ekintzak</w:t>
      </w:r>
    </w:p>
    <w:bookmarkStart w:id="26" w:name="edukiera-lehen-orduan"/>
    <w:p>
      <w:pPr>
        <w:pStyle w:val="Heading3"/>
      </w:pPr>
      <w:r>
        <w:t xml:space="preserve">3.1 Edukiera (lehen orduan)</w:t>
      </w:r>
    </w:p>
    <w:p>
      <w:pPr>
        <w:numPr>
          <w:ilvl w:val="0"/>
          <w:numId w:val="1002"/>
        </w:numPr>
        <w:pStyle w:val="Compact"/>
      </w:pPr>
      <w:r>
        <w:t xml:space="preserve">[ ] Kaltetutako gailua saretik isolatu</w:t>
      </w:r>
    </w:p>
    <w:p>
      <w:pPr>
        <w:numPr>
          <w:ilvl w:val="0"/>
          <w:numId w:val="1002"/>
        </w:numPr>
        <w:pStyle w:val="Compact"/>
      </w:pPr>
      <w:r>
        <w:t xml:space="preserve">[ ] Konprometitutako kontuak blokeatu</w:t>
      </w:r>
    </w:p>
    <w:p>
      <w:pPr>
        <w:numPr>
          <w:ilvl w:val="0"/>
          <w:numId w:val="1002"/>
        </w:numPr>
        <w:pStyle w:val="Compact"/>
      </w:pPr>
      <w:r>
        <w:t xml:space="preserve">[ ] Kaltetutako zerbitzuak gelditu (beharrezkoa bada)</w:t>
      </w:r>
    </w:p>
    <w:p>
      <w:pPr>
        <w:numPr>
          <w:ilvl w:val="0"/>
          <w:numId w:val="1002"/>
        </w:numPr>
        <w:pStyle w:val="Compact"/>
      </w:pPr>
      <w:r>
        <w:t xml:space="preserve">[ ] Jakinarazi koordinatzaileari eta IT arduradunari</w:t>
      </w:r>
    </w:p>
    <w:p>
      <w:pPr>
        <w:numPr>
          <w:ilvl w:val="0"/>
          <w:numId w:val="1002"/>
        </w:numPr>
        <w:pStyle w:val="Compact"/>
      </w:pPr>
      <w:r>
        <w:t xml:space="preserve">[ ] Jakinarazi komunikazio-arduradunari</w:t>
      </w:r>
    </w:p>
    <w:bookmarkEnd w:id="26"/>
    <w:bookmarkStart w:id="27" w:name="ikerketa-2472-ordu"/>
    <w:p>
      <w:pPr>
        <w:pStyle w:val="Heading3"/>
      </w:pPr>
      <w:r>
        <w:t xml:space="preserve">3.2 Ikerketa (24–72 ordu)</w:t>
      </w:r>
    </w:p>
    <w:p>
      <w:pPr>
        <w:numPr>
          <w:ilvl w:val="0"/>
          <w:numId w:val="1003"/>
        </w:numPr>
        <w:pStyle w:val="Compact"/>
      </w:pPr>
      <w:r>
        <w:t xml:space="preserve">[ ] Zehaztu zer gertatu den (eraso-bektorea)</w:t>
      </w:r>
    </w:p>
    <w:p>
      <w:pPr>
        <w:numPr>
          <w:ilvl w:val="0"/>
          <w:numId w:val="1003"/>
        </w:numPr>
        <w:pStyle w:val="Compact"/>
      </w:pPr>
      <w:r>
        <w:t xml:space="preserve">[ ] Identifikatu kaltetutako aktiboak eta datuak</w:t>
      </w:r>
    </w:p>
    <w:p>
      <w:pPr>
        <w:numPr>
          <w:ilvl w:val="0"/>
          <w:numId w:val="1003"/>
        </w:numPr>
        <w:pStyle w:val="Compact"/>
      </w:pPr>
      <w:r>
        <w:t xml:space="preserve">[ ] Babeskopien egoera egiaztatu</w:t>
      </w:r>
    </w:p>
    <w:p>
      <w:pPr>
        <w:numPr>
          <w:ilvl w:val="0"/>
          <w:numId w:val="1003"/>
        </w:numPr>
        <w:pStyle w:val="Compact"/>
      </w:pPr>
      <w:r>
        <w:t xml:space="preserve">[ ] Frogak gorde (log-ak, pantaila-argazkiak…)</w:t>
      </w:r>
    </w:p>
    <w:bookmarkEnd w:id="27"/>
    <w:bookmarkStart w:id="28" w:name="berreskurapena"/>
    <w:p>
      <w:pPr>
        <w:pStyle w:val="Heading3"/>
      </w:pPr>
      <w:r>
        <w:t xml:space="preserve">3.3 Berreskurapena</w:t>
      </w:r>
    </w:p>
    <w:p>
      <w:pPr>
        <w:numPr>
          <w:ilvl w:val="0"/>
          <w:numId w:val="1004"/>
        </w:numPr>
        <w:pStyle w:val="Compact"/>
      </w:pPr>
      <w:r>
        <w:t xml:space="preserve">[ ] Kaltetutako sistemak babeskopietatik berreskuratu</w:t>
      </w:r>
    </w:p>
    <w:p>
      <w:pPr>
        <w:numPr>
          <w:ilvl w:val="0"/>
          <w:numId w:val="1004"/>
        </w:numPr>
        <w:pStyle w:val="Compact"/>
      </w:pPr>
      <w:r>
        <w:t xml:space="preserve">[ ] Pasahitzak aldatu sistema guztietan</w:t>
      </w:r>
    </w:p>
    <w:p>
      <w:pPr>
        <w:numPr>
          <w:ilvl w:val="0"/>
          <w:numId w:val="1004"/>
        </w:numPr>
        <w:pStyle w:val="Compact"/>
      </w:pPr>
      <w:r>
        <w:t xml:space="preserve">[ ] Egiaztatu sistemak garbi daudela berriro konektatu aurretik</w:t>
      </w:r>
    </w:p>
    <w:p>
      <w:pPr>
        <w:numPr>
          <w:ilvl w:val="0"/>
          <w:numId w:val="1004"/>
        </w:numPr>
        <w:pStyle w:val="Compact"/>
      </w:pPr>
      <w:r>
        <w:t xml:space="preserve">[ ] Zerbitzuak berrezarri lehentasun-ordenaren arabera</w:t>
      </w:r>
    </w:p>
    <w:bookmarkEnd w:id="28"/>
    <w:bookmarkStart w:id="29" w:name="jakinarazpen-ofizialak"/>
    <w:p>
      <w:pPr>
        <w:pStyle w:val="Heading3"/>
      </w:pPr>
      <w:r>
        <w:t xml:space="preserve">3.4 Jakinarazpen ofizialak</w:t>
      </w:r>
    </w:p>
    <w:p>
      <w:pPr>
        <w:numPr>
          <w:ilvl w:val="0"/>
          <w:numId w:val="1005"/>
        </w:numPr>
        <w:pStyle w:val="Compact"/>
      </w:pPr>
      <w:r>
        <w:t xml:space="preserve">[ ] AEPD (datu-urraketa bada — 72 orduko epean)</w:t>
      </w:r>
    </w:p>
    <w:p>
      <w:pPr>
        <w:numPr>
          <w:ilvl w:val="0"/>
          <w:numId w:val="1005"/>
        </w:numPr>
        <w:pStyle w:val="Compact"/>
      </w:pPr>
      <w:r>
        <w:t xml:space="preserve">[ ] Cyberzaintza (intzidentzia teknikoa bada)</w:t>
      </w:r>
    </w:p>
    <w:p>
      <w:pPr>
        <w:numPr>
          <w:ilvl w:val="0"/>
          <w:numId w:val="1005"/>
        </w:numPr>
        <w:pStyle w:val="Compact"/>
      </w:pPr>
      <w:r>
        <w:t xml:space="preserve">[ ] Beste agintaritzak (ENS, NIS2…)</w:t>
      </w:r>
    </w:p>
    <w:bookmarkEnd w:id="29"/>
    <w:bookmarkEnd w:id="30"/>
    <w:bookmarkStart w:id="33" w:name="komunikazioa"/>
    <w:p>
      <w:pPr>
        <w:pStyle w:val="Heading2"/>
      </w:pPr>
      <w:r>
        <w:t xml:space="preserve">4. Komunikazioa</w:t>
      </w:r>
    </w:p>
    <w:bookmarkStart w:id="31" w:name="barne-komunikazioa"/>
    <w:p>
      <w:pPr>
        <w:pStyle w:val="Heading3"/>
      </w:pPr>
      <w:r>
        <w:t xml:space="preserve">4.1 Barne-komunikazioa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Hartzaileak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Mezu nagusia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Langileak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Zuzendaritza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Irakasleak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kanpoko-komunikazioa"/>
    <w:p>
      <w:pPr>
        <w:pStyle w:val="Heading3"/>
      </w:pPr>
      <w:r>
        <w:t xml:space="preserve">4.2 Kanpoko komunikazioa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Hartzaileak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Mezu nagusia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Ikasleak eta familiak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Hornitzaileak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Komunikabideak (beharrezkoa bada)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End w:id="33"/>
    <w:bookmarkStart w:id="38" w:name="post-mortem-analisia"/>
    <w:p>
      <w:pPr>
        <w:pStyle w:val="Heading2"/>
      </w:pPr>
      <w:r>
        <w:t xml:space="preserve">5. Post-mortem analisia</w:t>
      </w:r>
    </w:p>
    <w:bookmarkStart w:id="34" w:name="zer-gertatu-da"/>
    <w:p>
      <w:pPr>
        <w:pStyle w:val="Heading3"/>
      </w:pPr>
      <w:r>
        <w:t xml:space="preserve">Zer gertatu da?</w:t>
      </w:r>
    </w:p>
    <w:p>
      <w:pPr>
        <w:pStyle w:val="FirstParagraph"/>
      </w:pPr>
      <w:r>
        <w:t xml:space="preserve">……………………………………………………………………………………………………</w:t>
      </w:r>
    </w:p>
    <w:bookmarkEnd w:id="34"/>
    <w:bookmarkStart w:id="35" w:name="zergatik-gertatu-da-oinarrizko-kausa"/>
    <w:p>
      <w:pPr>
        <w:pStyle w:val="Heading3"/>
      </w:pPr>
      <w:r>
        <w:t xml:space="preserve">Zergatik gertatu da? (oinarrizko kausa)</w:t>
      </w:r>
    </w:p>
    <w:p>
      <w:pPr>
        <w:pStyle w:val="FirstParagraph"/>
      </w:pPr>
      <w:r>
        <w:t xml:space="preserve">……………………………………………………………………………………………………</w:t>
      </w:r>
    </w:p>
    <w:bookmarkEnd w:id="35"/>
    <w:bookmarkStart w:id="36" w:name="nola-erantzun-dugu"/>
    <w:p>
      <w:pPr>
        <w:pStyle w:val="Heading3"/>
      </w:pPr>
      <w:r>
        <w:t xml:space="preserve">Nola erantzun dugu?</w:t>
      </w:r>
    </w:p>
    <w:p>
      <w:pPr>
        <w:pStyle w:val="FirstParagraph"/>
      </w:pPr>
      <w:r>
        <w:t xml:space="preserve">…………ona: ……………………………………………………………………………………</w:t>
      </w:r>
    </w:p>
    <w:p>
      <w:pPr>
        <w:pStyle w:val="BodyText"/>
      </w:pPr>
      <w:r>
        <w:t xml:space="preserve">…………hobetzeko: ……………………………………………………………………………</w:t>
      </w:r>
    </w:p>
    <w:bookmarkEnd w:id="36"/>
    <w:bookmarkStart w:id="37" w:name="Xff9c6e79cd473cebb24e1b8b5dae5b35621a22e"/>
    <w:p>
      <w:pPr>
        <w:pStyle w:val="Heading3"/>
      </w:pPr>
      <w:r>
        <w:t xml:space="preserve">Zein neurri hartuko ditugu berriro gerta ez dadin?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Neurria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Arduraduna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Epea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itxiera"/>
    <w:p>
      <w:pPr>
        <w:pStyle w:val="Heading2"/>
      </w:pPr>
      <w:r>
        <w:t xml:space="preserve">6. Itxiera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Egiaztapena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Zerbitzu guztiak berreskuratuta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Jakinarazpen ofizialak eginda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Post-mortem analisia eginda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Planak eguneratuta ikasitakoarekin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Kasua itxita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Gorde dokumentu hau</w:t>
      </w:r>
      <w:r>
        <w:t xml:space="preserve"> </w:t>
      </w:r>
      <w:r>
        <w:rPr>
          <w:bCs/>
          <w:b/>
        </w:rPr>
        <w:t xml:space="preserve">inprimatutako kopia batean</w:t>
      </w:r>
      <w:r>
        <w:t xml:space="preserve"> </w:t>
      </w:r>
      <w:r>
        <w:t xml:space="preserve">(sistema informatikoak</w:t>
      </w:r>
      <w:r>
        <w:t xml:space="preserve"> </w:t>
      </w:r>
      <w:r>
        <w:t xml:space="preserve">erabilgarri ez badaude ere) eta ziurtatu taldeko kide guztiek badakitela non</w:t>
      </w:r>
      <w:r>
        <w:t xml:space="preserve"> </w:t>
      </w:r>
      <w:r>
        <w:t xml:space="preserve">dagoen.</w:t>
      </w:r>
    </w:p>
    <w:p>
      <w:pPr>
        <w:pStyle w:val="BlockText"/>
      </w:pPr>
      <w:r>
        <w:t xml:space="preserve">Txantiloi hau moldatu zure ikastetxearen beharretara. Ez da dokumentu itxia;</w:t>
      </w:r>
      <w:r>
        <w:t xml:space="preserve"> </w:t>
      </w:r>
      <w:r>
        <w:t xml:space="preserve">abiapuntu bat da, osatu eta hobetzeko.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2026-06-22T19:04:59Z</dcterms:created>
  <dcterms:modified xsi:type="dcterms:W3CDTF">2026-06-22T19:04:59Z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