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51" w:rsidRDefault="00F01C51" w:rsidP="00F01C51">
      <w:pPr>
        <w:keepNext/>
        <w:spacing w:after="120"/>
        <w:jc w:val="both"/>
        <w:rPr>
          <w:rFonts w:ascii="Times New Roman" w:hAnsi="Times New Roman"/>
          <w:b/>
          <w:lang w:val="en-US"/>
        </w:rPr>
      </w:pPr>
      <w:r w:rsidRPr="00A4605E">
        <w:rPr>
          <w:rFonts w:ascii="Times New Roman" w:hAnsi="Times New Roman"/>
          <w:b/>
          <w:lang w:val="en-US"/>
        </w:rPr>
        <w:t>Glossary</w:t>
      </w: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017"/>
        <w:gridCol w:w="7271"/>
      </w:tblGrid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competition among a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that is conducted according to a set of rules. In ARENA, the term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refers to a piece of software that enforces the set of rules, tracks the progress of each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, and decides the winner. For example, tic tac toe and chess are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</w:p>
        </w:tc>
      </w:tr>
      <w:tr w:rsidR="00F01C51" w:rsidRPr="00314A1C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contest between two or more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following the rules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The outcome of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can be a single winner and a set of losers or a tie (in which there are no winners or losers). Some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may disallow ties.</w:t>
            </w:r>
          </w:p>
        </w:tc>
      </w:tr>
      <w:tr w:rsidR="00F01C51" w:rsidRPr="00534471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 series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among a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end with a single winner. The way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and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are scheduled is dictated by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which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organized.</w:t>
            </w:r>
          </w:p>
        </w:tc>
      </w:tr>
      <w:tr w:rsidR="00F01C51" w:rsidRPr="00534471" w:rsidTr="00A615B0">
        <w:tc>
          <w:tcPr>
            <w:tcW w:w="2017" w:type="dxa"/>
          </w:tcPr>
          <w:p w:rsidR="00F01C51" w:rsidRPr="00314A1C" w:rsidRDefault="00F01C51" w:rsidP="00580258">
            <w:pPr>
              <w:keepNext/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represents a community for running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A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is associated with a specific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Game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registered with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accumulate points according to 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defined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a novice chess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has a different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ExpertRating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formula than an expert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F01C51" w:rsidRPr="00534471" w:rsidTr="00A615B0">
        <w:tc>
          <w:tcPr>
            <w:tcW w:w="2017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</w:p>
        </w:tc>
        <w:tc>
          <w:tcPr>
            <w:tcW w:w="7271" w:type="dxa"/>
          </w:tcPr>
          <w:p w:rsidR="00F01C51" w:rsidRPr="00314A1C" w:rsidRDefault="00F01C5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The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defines the number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Matches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and their sequence for a given set of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. For example,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face all other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Players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in the </w:t>
            </w:r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</w:t>
            </w:r>
            <w:r w:rsidRPr="00314A1C">
              <w:rPr>
                <w:rFonts w:ascii="Times New Roman" w:hAnsi="Times New Roman"/>
                <w:sz w:val="20"/>
                <w:lang w:val="en-US"/>
              </w:rPr>
              <w:t xml:space="preserve"> exactly once in a round robin </w:t>
            </w:r>
            <w:proofErr w:type="spellStart"/>
            <w:r w:rsidRPr="00314A1C">
              <w:rPr>
                <w:rFonts w:ascii="Courier New" w:hAnsi="Courier New" w:cs="Courier New"/>
                <w:sz w:val="20"/>
                <w:lang w:val="en-US"/>
              </w:rPr>
              <w:t>TournamentStyle</w:t>
            </w:r>
            <w:proofErr w:type="spellEnd"/>
            <w:r w:rsidRPr="00314A1C"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B158CA" w:rsidRPr="00534471" w:rsidTr="00A615B0">
        <w:tc>
          <w:tcPr>
            <w:tcW w:w="2017" w:type="dxa"/>
          </w:tcPr>
          <w:p w:rsidR="00B158CA" w:rsidRPr="00314A1C" w:rsidRDefault="00B158CA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Leagueowner</w:t>
            </w:r>
            <w:proofErr w:type="spellEnd"/>
          </w:p>
        </w:tc>
        <w:tc>
          <w:tcPr>
            <w:tcW w:w="7271" w:type="dxa"/>
          </w:tcPr>
          <w:p w:rsidR="00B158CA" w:rsidRPr="00314A1C" w:rsidRDefault="00B158CA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proofErr w:type="spellStart"/>
            <w:r w:rsidRPr="00834C33">
              <w:rPr>
                <w:rFonts w:ascii="Courier New" w:hAnsi="Courier New" w:cs="Courier New"/>
                <w:sz w:val="20"/>
                <w:lang w:val="en-US"/>
              </w:rPr>
              <w:t>Leagueowner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B158CA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with administrative rights to a </w:t>
            </w:r>
            <w:r w:rsidRPr="00B158CA">
              <w:rPr>
                <w:rFonts w:ascii="Courier New" w:hAnsi="Courier New" w:cs="Courier New"/>
                <w:sz w:val="20"/>
                <w:lang w:val="en-US"/>
              </w:rPr>
              <w:t>League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</w:p>
        </w:tc>
      </w:tr>
      <w:tr w:rsidR="00B158CA" w:rsidRPr="00534471" w:rsidTr="00A615B0">
        <w:tc>
          <w:tcPr>
            <w:tcW w:w="2017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Player</w:t>
            </w:r>
          </w:p>
        </w:tc>
        <w:tc>
          <w:tcPr>
            <w:tcW w:w="7271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834C33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able to participate in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Leagues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play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and apply for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</w:p>
        </w:tc>
      </w:tr>
      <w:tr w:rsidR="00B158CA" w:rsidRPr="00534471" w:rsidTr="00A615B0">
        <w:tc>
          <w:tcPr>
            <w:tcW w:w="2017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User</w:t>
            </w:r>
          </w:p>
        </w:tc>
        <w:tc>
          <w:tcPr>
            <w:tcW w:w="7271" w:type="dxa"/>
          </w:tcPr>
          <w:p w:rsidR="00B158CA" w:rsidRPr="00314A1C" w:rsidRDefault="00834C33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 </w:t>
            </w:r>
            <w:r w:rsidRPr="00834C33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an abstract class for all types of accounts.</w:t>
            </w:r>
          </w:p>
        </w:tc>
      </w:tr>
      <w:tr w:rsidR="00B158CA" w:rsidRPr="00534471" w:rsidTr="00A615B0">
        <w:tc>
          <w:tcPr>
            <w:tcW w:w="2017" w:type="dxa"/>
          </w:tcPr>
          <w:p w:rsidR="00B158CA" w:rsidRPr="00834C33" w:rsidRDefault="00834C33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Advertiser</w:t>
            </w:r>
          </w:p>
        </w:tc>
        <w:tc>
          <w:tcPr>
            <w:tcW w:w="7271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ED4B2B">
              <w:rPr>
                <w:rFonts w:ascii="Courier New" w:hAnsi="Courier New" w:cs="Courier New"/>
                <w:sz w:val="20"/>
                <w:lang w:val="en-US"/>
              </w:rPr>
              <w:t>Advertiser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a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bound to an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Organization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with managing rights to the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Advertisements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handled by that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Organization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B158CA" w:rsidRPr="00534471" w:rsidTr="00A615B0">
        <w:tc>
          <w:tcPr>
            <w:tcW w:w="2017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Operator</w:t>
            </w:r>
          </w:p>
        </w:tc>
        <w:tc>
          <w:tcPr>
            <w:tcW w:w="7271" w:type="dxa"/>
          </w:tcPr>
          <w:p w:rsidR="00B158CA" w:rsidRPr="00314A1C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An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Operator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manages ARENA, by adding, editing or removing </w:t>
            </w:r>
            <w:r w:rsidRPr="00ED4B2B">
              <w:rPr>
                <w:rFonts w:ascii="Courier New" w:hAnsi="Courier New" w:cs="Courier New"/>
                <w:sz w:val="20"/>
                <w:lang w:val="en-US"/>
              </w:rPr>
              <w:t>Games</w:t>
            </w:r>
            <w:r>
              <w:rPr>
                <w:rFonts w:ascii="Times New Roman" w:hAnsi="Times New Roman"/>
                <w:sz w:val="20"/>
                <w:lang w:val="en-US"/>
              </w:rPr>
              <w:t>.</w:t>
            </w: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Advertisement</w:t>
            </w: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The term used to define different kinds of commercial, added for revenue, in different forms, in ARENA</w:t>
            </w:r>
          </w:p>
        </w:tc>
      </w:tr>
      <w:tr w:rsidR="00ED4B2B" w:rsidRPr="00534471" w:rsidTr="00A615B0">
        <w:tc>
          <w:tcPr>
            <w:tcW w:w="2017" w:type="dxa"/>
          </w:tcPr>
          <w:p w:rsidR="00ED4B2B" w:rsidRDefault="00D501D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DataBase</w:t>
            </w:r>
            <w:r w:rsidR="00ED4B2B">
              <w:rPr>
                <w:rFonts w:ascii="Courier New" w:hAnsi="Courier New" w:cs="Courier New"/>
                <w:sz w:val="20"/>
                <w:lang w:val="en-US"/>
              </w:rPr>
              <w:t>Manager</w:t>
            </w:r>
            <w:proofErr w:type="spellEnd"/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Handles the data referring to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Advertisements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User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accounts,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Leagues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Tournaments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and </w:t>
            </w:r>
            <w:r w:rsidRPr="00D501D1">
              <w:rPr>
                <w:rFonts w:ascii="Courier New" w:hAnsi="Courier New" w:cs="Courier New"/>
                <w:sz w:val="20"/>
                <w:lang w:val="en-US"/>
              </w:rPr>
              <w:t>Player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statistics</w:t>
            </w:r>
          </w:p>
        </w:tc>
      </w:tr>
      <w:tr w:rsidR="00ED4B2B" w:rsidRPr="00534471" w:rsidTr="00A615B0">
        <w:tc>
          <w:tcPr>
            <w:tcW w:w="2017" w:type="dxa"/>
          </w:tcPr>
          <w:p w:rsidR="00ED4B2B" w:rsidRDefault="0053447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Admin</w:t>
            </w:r>
          </w:p>
        </w:tc>
        <w:tc>
          <w:tcPr>
            <w:tcW w:w="7271" w:type="dxa"/>
          </w:tcPr>
          <w:p w:rsidR="00ED4B2B" w:rsidRDefault="0053447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34471">
              <w:rPr>
                <w:rFonts w:ascii="Courier New" w:hAnsi="Courier New" w:cs="Courier New"/>
                <w:sz w:val="20"/>
                <w:lang w:val="en-US"/>
              </w:rPr>
              <w:t>Admin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used as a synonym for </w:t>
            </w:r>
            <w:r w:rsidRPr="00534471">
              <w:rPr>
                <w:rFonts w:ascii="Courier New" w:hAnsi="Courier New" w:cs="Courier New"/>
                <w:sz w:val="20"/>
                <w:lang w:val="en-US"/>
              </w:rPr>
              <w:t>Operator</w:t>
            </w:r>
            <w:r>
              <w:rPr>
                <w:rFonts w:ascii="Times New Roman" w:hAnsi="Times New Roman"/>
                <w:sz w:val="20"/>
                <w:lang w:val="en-US"/>
              </w:rPr>
              <w:t>, and can be used interchangeably</w:t>
            </w:r>
          </w:p>
        </w:tc>
      </w:tr>
      <w:tr w:rsidR="00ED4B2B" w:rsidRPr="00534471" w:rsidTr="00A615B0">
        <w:tc>
          <w:tcPr>
            <w:tcW w:w="2017" w:type="dxa"/>
          </w:tcPr>
          <w:p w:rsidR="00ED4B2B" w:rsidRDefault="00534471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Administrator</w:t>
            </w:r>
          </w:p>
        </w:tc>
        <w:tc>
          <w:tcPr>
            <w:tcW w:w="7271" w:type="dxa"/>
          </w:tcPr>
          <w:p w:rsidR="00ED4B2B" w:rsidRDefault="00534471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34471">
              <w:rPr>
                <w:rFonts w:ascii="Courier New" w:hAnsi="Courier New" w:cs="Courier New"/>
                <w:sz w:val="20"/>
                <w:lang w:val="en-US"/>
              </w:rPr>
              <w:t>Admin</w:t>
            </w:r>
            <w:r>
              <w:rPr>
                <w:rFonts w:ascii="Courier New" w:hAnsi="Courier New" w:cs="Courier New"/>
                <w:sz w:val="20"/>
                <w:lang w:val="en-US"/>
              </w:rPr>
              <w:t>istrator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is used as a synonym for </w:t>
            </w:r>
            <w:r w:rsidRPr="00534471">
              <w:rPr>
                <w:rFonts w:ascii="Courier New" w:hAnsi="Courier New" w:cs="Courier New"/>
                <w:sz w:val="20"/>
                <w:lang w:val="en-US"/>
              </w:rPr>
              <w:t>Operator</w:t>
            </w:r>
            <w:r>
              <w:rPr>
                <w:rFonts w:ascii="Times New Roman" w:hAnsi="Times New Roman"/>
                <w:sz w:val="20"/>
                <w:lang w:val="en-US"/>
              </w:rPr>
              <w:t>, and can be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used interchangeably</w:t>
            </w: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  <w:bookmarkStart w:id="0" w:name="_GoBack"/>
            <w:bookmarkEnd w:id="0"/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D4B2B" w:rsidRPr="00534471" w:rsidTr="00A615B0">
        <w:tc>
          <w:tcPr>
            <w:tcW w:w="2017" w:type="dxa"/>
          </w:tcPr>
          <w:p w:rsidR="00ED4B2B" w:rsidRDefault="00ED4B2B" w:rsidP="00580258">
            <w:pPr>
              <w:spacing w:after="12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7271" w:type="dxa"/>
          </w:tcPr>
          <w:p w:rsidR="00ED4B2B" w:rsidRDefault="00ED4B2B" w:rsidP="00580258">
            <w:pPr>
              <w:spacing w:after="12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:rsidR="00CB0741" w:rsidRPr="00F01C51" w:rsidRDefault="00CB0741">
      <w:pPr>
        <w:rPr>
          <w:lang w:val="en-US"/>
        </w:rPr>
      </w:pPr>
    </w:p>
    <w:sectPr w:rsidR="00CB0741" w:rsidRPr="00F01C51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A4865"/>
    <w:rsid w:val="0016753C"/>
    <w:rsid w:val="00331587"/>
    <w:rsid w:val="00341C00"/>
    <w:rsid w:val="0047420C"/>
    <w:rsid w:val="00534471"/>
    <w:rsid w:val="00730B8B"/>
    <w:rsid w:val="007406A2"/>
    <w:rsid w:val="00834C33"/>
    <w:rsid w:val="00A615B0"/>
    <w:rsid w:val="00B158CA"/>
    <w:rsid w:val="00B65165"/>
    <w:rsid w:val="00CA4865"/>
    <w:rsid w:val="00CB0741"/>
    <w:rsid w:val="00D501D1"/>
    <w:rsid w:val="00D70EB7"/>
    <w:rsid w:val="00ED4B2B"/>
    <w:rsid w:val="00F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A656C-375E-4260-ACAB-168A1B7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C51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349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Hogskolan i Boras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Martin Bergqvist</cp:lastModifiedBy>
  <cp:revision>11</cp:revision>
  <dcterms:created xsi:type="dcterms:W3CDTF">2010-11-24T18:35:00Z</dcterms:created>
  <dcterms:modified xsi:type="dcterms:W3CDTF">2015-11-02T12:05:00Z</dcterms:modified>
</cp:coreProperties>
</file>