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719F9" w:rsidRDefault="00000000">
      <w:pPr>
        <w:pStyle w:val="Heading2"/>
        <w:keepNext w:val="0"/>
        <w:keepLines w:val="0"/>
        <w:spacing w:after="80"/>
        <w:rPr>
          <w:b/>
          <w:bCs/>
          <w:sz w:val="34"/>
          <w:szCs w:val="34"/>
        </w:rPr>
      </w:pPr>
      <w:bookmarkStart w:id="0" w:name="_f75agmbgustv" w:colFirst="0" w:colLast="0"/>
      <w:bookmarkEnd w:id="0"/>
      <w:r>
        <w:rPr>
          <w:b/>
          <w:bCs/>
          <w:sz w:val="34"/>
          <w:szCs w:val="34"/>
        </w:rPr>
        <w:t>The Role of Students in Online Courses</w:t>
      </w:r>
    </w:p>
    <w:p w14:paraId="00000002" w14:textId="0601C273" w:rsidR="00F719F9" w:rsidRDefault="00000000">
      <w:pPr>
        <w:spacing w:before="240" w:after="240"/>
      </w:pPr>
      <w:r>
        <w:t xml:space="preserve">Online learning has become a permanent feature of higher education, shifting the learning process from </w:t>
      </w:r>
      <w:r w:rsidR="003F4289">
        <w:t>traditional class lecture</w:t>
      </w:r>
      <w:r>
        <w:t xml:space="preserve"> environments to more </w:t>
      </w:r>
      <w:r w:rsidR="003F4289">
        <w:t>student-centered</w:t>
      </w:r>
      <w:r>
        <w:t xml:space="preserve"> models. In</w:t>
      </w:r>
      <w:r w:rsidR="003F4289">
        <w:t xml:space="preserve"> more</w:t>
      </w:r>
      <w:r>
        <w:t xml:space="preserve"> self-paced online modules </w:t>
      </w:r>
      <w:r w:rsidR="003F4289">
        <w:t>or hybrid blended formats</w:t>
      </w:r>
      <w:r>
        <w:t xml:space="preserve">, students assume </w:t>
      </w:r>
      <w:r w:rsidR="003F4289">
        <w:t>extended roles</w:t>
      </w:r>
      <w:r>
        <w:t xml:space="preserve"> that require </w:t>
      </w:r>
      <w:r w:rsidR="003F4289">
        <w:t>dependency</w:t>
      </w:r>
      <w:r>
        <w:t>, responsibility,</w:t>
      </w:r>
      <w:r w:rsidR="003F4289" w:rsidRPr="003F4289">
        <w:t xml:space="preserve"> </w:t>
      </w:r>
      <w:r w:rsidR="003F4289">
        <w:t>involved participation</w:t>
      </w:r>
      <w:r>
        <w:t xml:space="preserve"> and</w:t>
      </w:r>
      <w:r w:rsidR="003F4289">
        <w:t xml:space="preserve"> concentration</w:t>
      </w:r>
      <w:r>
        <w:t>. This essay explores the role of students in online courses by reflecting on personal experience as a learner in a self-paced online module and drawing on recent academic literature. It discusses students’ core responsibilities and proposes practical ways in which learners can co-create active and eff</w:t>
      </w:r>
      <w:r w:rsidR="00824BA8">
        <w:t>icient</w:t>
      </w:r>
      <w:r>
        <w:t xml:space="preserve"> online learning environments.</w:t>
      </w:r>
    </w:p>
    <w:p w14:paraId="00000003" w14:textId="3AD789E8" w:rsidR="00F719F9" w:rsidRDefault="00000000">
      <w:pPr>
        <w:spacing w:before="240" w:after="240"/>
      </w:pPr>
      <w:r>
        <w:t xml:space="preserve">A defining role of students in online courses is self-regulation. Unlike traditional classroom settings, self-paced online learning places responsibility for time management, goal setting, and persistence </w:t>
      </w:r>
      <w:r w:rsidR="00824BA8">
        <w:t>principally</w:t>
      </w:r>
      <w:r>
        <w:t xml:space="preserve"> on the </w:t>
      </w:r>
      <w:r w:rsidR="00824BA8">
        <w:t>student</w:t>
      </w:r>
      <w:r>
        <w:t xml:space="preserve">. From personal experience, the flexibility of online learning enables balancing study with </w:t>
      </w:r>
      <w:r w:rsidR="00824BA8">
        <w:t>career</w:t>
      </w:r>
      <w:r>
        <w:t xml:space="preserve"> and personal </w:t>
      </w:r>
      <w:r w:rsidR="00824BA8">
        <w:t>obligations, consequently</w:t>
      </w:r>
      <w:r>
        <w:t xml:space="preserve"> </w:t>
      </w:r>
      <w:r w:rsidR="00925B8B">
        <w:t>it demands</w:t>
      </w:r>
      <w:r>
        <w:t xml:space="preserve"> strong self-discipline to avoid procrastination. Recent research confirms that self-regulation is a critical </w:t>
      </w:r>
      <w:r w:rsidR="00824BA8">
        <w:t>factor</w:t>
      </w:r>
      <w:r>
        <w:t xml:space="preserve"> of success in online higher education, with students who actively plan, monitor, and reflect on their learning achieving better outcomes (van </w:t>
      </w:r>
      <w:proofErr w:type="spellStart"/>
      <w:r>
        <w:t>Dorresteijn</w:t>
      </w:r>
      <w:proofErr w:type="spellEnd"/>
      <w:r>
        <w:t xml:space="preserve"> </w:t>
      </w:r>
      <w:r>
        <w:rPr>
          <w:i/>
          <w:iCs/>
        </w:rPr>
        <w:t>et al.</w:t>
      </w:r>
      <w:r>
        <w:t xml:space="preserve">, 2024). Without these skills, </w:t>
      </w:r>
      <w:r w:rsidR="00925B8B">
        <w:t>students</w:t>
      </w:r>
      <w:r>
        <w:t xml:space="preserve"> may struggle to engage </w:t>
      </w:r>
      <w:r w:rsidR="00925B8B">
        <w:t>eloquently</w:t>
      </w:r>
      <w:r>
        <w:t xml:space="preserve"> with course content.</w:t>
      </w:r>
    </w:p>
    <w:p w14:paraId="00000004" w14:textId="174C6DA5" w:rsidR="00F719F9" w:rsidRDefault="00000000">
      <w:pPr>
        <w:spacing w:before="240" w:after="240"/>
      </w:pPr>
      <w:r>
        <w:t xml:space="preserve">Closely related to self-regulation is students’ responsibility to engage actively with learning materials. Online courses </w:t>
      </w:r>
      <w:r w:rsidR="00925B8B">
        <w:t>naturally</w:t>
      </w:r>
      <w:r>
        <w:t xml:space="preserve"> rely on multimedia resources, asynchronous discussions, and formative assessments that require students to interact with content rather than </w:t>
      </w:r>
      <w:r w:rsidR="00925B8B">
        <w:t>inactively</w:t>
      </w:r>
      <w:r>
        <w:t xml:space="preserve"> receive information. Reflecting on personal experience, learning was most effective when videos were paused for reflection, readings were annotated, and assessments were used as learning tools rather than merely evaluative </w:t>
      </w:r>
      <w:r w:rsidR="00925B8B">
        <w:t>assignments</w:t>
      </w:r>
      <w:r>
        <w:t>. Yu (2022) highlights that students in online environments adopt multiple cognitive and social roles, and that active engagement is strongly associated with higher learning achievement and sustained motivation.</w:t>
      </w:r>
    </w:p>
    <w:p w14:paraId="00000005" w14:textId="77B6A861" w:rsidR="00F719F9" w:rsidRDefault="00000000">
      <w:pPr>
        <w:spacing w:before="240" w:after="240"/>
      </w:pPr>
      <w:r>
        <w:t xml:space="preserve">Students also play a </w:t>
      </w:r>
      <w:r w:rsidR="00925B8B">
        <w:t>vital</w:t>
      </w:r>
      <w:r>
        <w:t xml:space="preserve"> role in maintaining motivation in online learning. Motivation can </w:t>
      </w:r>
      <w:r w:rsidR="00925B8B">
        <w:t>come and go</w:t>
      </w:r>
      <w:r>
        <w:t xml:space="preserve"> in self-paced courses due to </w:t>
      </w:r>
      <w:r w:rsidR="00925B8B">
        <w:t>remoteness</w:t>
      </w:r>
      <w:r>
        <w:t xml:space="preserve">, competing responsibilities, and </w:t>
      </w:r>
      <w:r w:rsidR="00925B8B">
        <w:t>less</w:t>
      </w:r>
      <w:r w:rsidR="002F64B6">
        <w:t>ened</w:t>
      </w:r>
      <w:r>
        <w:t xml:space="preserve"> external </w:t>
      </w:r>
      <w:r w:rsidR="002F64B6">
        <w:t>responsibility</w:t>
      </w:r>
      <w:r>
        <w:t xml:space="preserve">. </w:t>
      </w:r>
      <w:r w:rsidR="002F64B6">
        <w:t>Findings</w:t>
      </w:r>
      <w:r>
        <w:t xml:space="preserve"> show that digital literacy and confidence in using online tools </w:t>
      </w:r>
      <w:r w:rsidR="002F64B6">
        <w:t>extensively</w:t>
      </w:r>
      <w:r>
        <w:t xml:space="preserve"> </w:t>
      </w:r>
      <w:r w:rsidR="002F64B6">
        <w:t>have some bearing on</w:t>
      </w:r>
      <w:r>
        <w:t xml:space="preserve"> </w:t>
      </w:r>
      <w:r w:rsidR="002F64B6">
        <w:t>students’</w:t>
      </w:r>
      <w:r>
        <w:t xml:space="preserve"> motivation and </w:t>
      </w:r>
      <w:r w:rsidR="002F64B6">
        <w:t>determination</w:t>
      </w:r>
      <w:r>
        <w:t xml:space="preserve"> (Yu, 2022). From experience, confidence with </w:t>
      </w:r>
      <w:r w:rsidR="002F64B6">
        <w:t xml:space="preserve">online </w:t>
      </w:r>
      <w:r>
        <w:t xml:space="preserve">learning platforms reduced frustration and allowed </w:t>
      </w:r>
      <w:r w:rsidR="002F64B6">
        <w:t>significant</w:t>
      </w:r>
      <w:r>
        <w:t xml:space="preserve"> focus on learning itself. </w:t>
      </w:r>
      <w:r w:rsidR="002F64B6">
        <w:t>On the other hand</w:t>
      </w:r>
      <w:r>
        <w:t xml:space="preserve">, limited </w:t>
      </w:r>
      <w:r w:rsidR="00045B3A">
        <w:t>computer skills</w:t>
      </w:r>
      <w:r>
        <w:t xml:space="preserve"> </w:t>
      </w:r>
      <w:r w:rsidR="00045B3A">
        <w:t>or internet</w:t>
      </w:r>
      <w:r w:rsidR="002F64B6">
        <w:t xml:space="preserve"> </w:t>
      </w:r>
      <w:r>
        <w:t xml:space="preserve">connectivity issues can </w:t>
      </w:r>
      <w:r w:rsidR="002F64B6">
        <w:t>chip away at</w:t>
      </w:r>
      <w:r>
        <w:t xml:space="preserve"> engagement and satisfaction, reinforcing the importance of students </w:t>
      </w:r>
      <w:r w:rsidR="00045B3A">
        <w:t>taking the initiative to</w:t>
      </w:r>
      <w:r>
        <w:t xml:space="preserve"> developing digital </w:t>
      </w:r>
      <w:r w:rsidR="00045B3A">
        <w:t>skills</w:t>
      </w:r>
      <w:r>
        <w:t>.</w:t>
      </w:r>
    </w:p>
    <w:p w14:paraId="00000006" w14:textId="65B689C1" w:rsidR="00F719F9" w:rsidRDefault="00000000">
      <w:pPr>
        <w:spacing w:before="240" w:after="240"/>
      </w:pPr>
      <w:r>
        <w:t xml:space="preserve">Beyond individual </w:t>
      </w:r>
      <w:r w:rsidR="00045B3A">
        <w:t>tasks</w:t>
      </w:r>
      <w:r>
        <w:t xml:space="preserve">, students </w:t>
      </w:r>
      <w:r w:rsidR="00045B3A">
        <w:t>play a role</w:t>
      </w:r>
      <w:r>
        <w:t xml:space="preserve"> to the social dimension of online learning by co-creating interactive and collaborative environments. </w:t>
      </w:r>
      <w:r w:rsidR="00045B3A">
        <w:t>Granting</w:t>
      </w:r>
      <w:r>
        <w:t xml:space="preserve"> online courses lack physical presence, they can support meaningful </w:t>
      </w:r>
      <w:r w:rsidR="00045B3A">
        <w:t>collaborations</w:t>
      </w:r>
      <w:r>
        <w:t xml:space="preserve"> through discussion forums, peer feedback, and group activities. </w:t>
      </w:r>
      <w:r w:rsidR="00045B3A">
        <w:t>Study</w:t>
      </w:r>
      <w:r>
        <w:t xml:space="preserve"> </w:t>
      </w:r>
      <w:r w:rsidR="00045B3A">
        <w:t>unswe</w:t>
      </w:r>
      <w:r w:rsidR="00491409">
        <w:t>rvingly</w:t>
      </w:r>
      <w:r>
        <w:t xml:space="preserve"> demonstrates that student participation in online discussions enhances engagement and academic achievement (Jarrah </w:t>
      </w:r>
      <w:r>
        <w:rPr>
          <w:i/>
          <w:iCs/>
        </w:rPr>
        <w:t>et al.</w:t>
      </w:r>
      <w:r>
        <w:t xml:space="preserve">, 2025). In </w:t>
      </w:r>
      <w:r>
        <w:lastRenderedPageBreak/>
        <w:t xml:space="preserve">practice, sharing </w:t>
      </w:r>
      <w:r w:rsidR="00491409">
        <w:t>angles</w:t>
      </w:r>
      <w:r>
        <w:t xml:space="preserve">, responding to </w:t>
      </w:r>
      <w:r w:rsidR="00491409">
        <w:t>other leaners in the program</w:t>
      </w:r>
      <w:r>
        <w:t xml:space="preserve">, and asking questions not only </w:t>
      </w:r>
      <w:r w:rsidR="00491409">
        <w:t>strengthens</w:t>
      </w:r>
      <w:r>
        <w:t xml:space="preserve"> understanding but also </w:t>
      </w:r>
      <w:r w:rsidR="00491409">
        <w:t xml:space="preserve">brings </w:t>
      </w:r>
      <w:r w:rsidR="00846A7B">
        <w:t>up a</w:t>
      </w:r>
      <w:r>
        <w:t xml:space="preserve"> sense of belonging and </w:t>
      </w:r>
      <w:r w:rsidR="00491409">
        <w:t>mutual</w:t>
      </w:r>
      <w:r>
        <w:t xml:space="preserve"> learning responsibility.</w:t>
      </w:r>
    </w:p>
    <w:p w14:paraId="00000007" w14:textId="11E42BA7" w:rsidR="00F719F9" w:rsidRDefault="00000000">
      <w:pPr>
        <w:spacing w:before="240" w:after="240"/>
      </w:pPr>
      <w:r>
        <w:t xml:space="preserve">Students can further co-create active learning environments by adopting </w:t>
      </w:r>
      <w:r w:rsidR="00491409">
        <w:t>comprehensive</w:t>
      </w:r>
      <w:r>
        <w:t xml:space="preserve"> and supportive practices. Online learning research highlights that accessibility and inclusivity are shared responsibilities, particularly for students with diverse needs (</w:t>
      </w:r>
      <w:proofErr w:type="spellStart"/>
      <w:r>
        <w:t>Aljedaani</w:t>
      </w:r>
      <w:proofErr w:type="spellEnd"/>
      <w:r>
        <w:t xml:space="preserve"> </w:t>
      </w:r>
      <w:r>
        <w:rPr>
          <w:i/>
          <w:iCs/>
        </w:rPr>
        <w:t>et al.</w:t>
      </w:r>
      <w:r>
        <w:t>, 2023). Simple actions such as using clear language, engaging respectfully in discussions, and being mindful of different learning needs contribute to a more inclusive environment. Personal experience suggests that inclusive peer interactions reduce feelings of isolation and enhance motivation in self-paced learning contexts.</w:t>
      </w:r>
    </w:p>
    <w:p w14:paraId="00000008" w14:textId="77777777" w:rsidR="00F719F9" w:rsidRDefault="00000000">
      <w:pPr>
        <w:spacing w:before="240" w:after="240"/>
      </w:pPr>
      <w:r>
        <w:t xml:space="preserve">Another important student role is providing feedback and engaging in reflective practice. Online learning environments often integrate continuous evaluation mechanisms that rely on student input. Chen and </w:t>
      </w:r>
      <w:proofErr w:type="spellStart"/>
      <w:r>
        <w:t>Thepnuan</w:t>
      </w:r>
      <w:proofErr w:type="spellEnd"/>
      <w:r>
        <w:t xml:space="preserve"> (2025) demonstrate that student feedback is essential for improving online course quality and satisfaction. Reflective activities, such as learning journals or self-assessments, also encourage deeper learning by prompting students to evaluate their progress and adapt strategies accordingly. Through reflection and feedback, students actively shape both their own learning journeys and the broader course experience.</w:t>
      </w:r>
    </w:p>
    <w:p w14:paraId="00000009" w14:textId="70F3B798" w:rsidR="00F719F9" w:rsidRDefault="00000000">
      <w:pPr>
        <w:spacing w:before="240" w:after="240"/>
      </w:pPr>
      <w:r>
        <w:t xml:space="preserve">In conclusion, students in online courses are not </w:t>
      </w:r>
      <w:r w:rsidR="00846A7B">
        <w:t>docile</w:t>
      </w:r>
      <w:r>
        <w:t xml:space="preserve"> recipients of instruction but active agents </w:t>
      </w:r>
      <w:r w:rsidR="00846A7B">
        <w:t>in charge</w:t>
      </w:r>
      <w:r>
        <w:t xml:space="preserve"> </w:t>
      </w:r>
      <w:r w:rsidR="00846A7B">
        <w:t>of</w:t>
      </w:r>
      <w:r>
        <w:t xml:space="preserve"> regulating their learning, engaging with content, collaborating with peers, and contributing to course improvement</w:t>
      </w:r>
      <w:r w:rsidR="00846A7B">
        <w:t>s</w:t>
      </w:r>
      <w:r>
        <w:t>. Evidence from recent literature and personal experience demonstrates that successful online learning depends heavily on students’ ability to assume these expanded roles. By cultivating self-regulation, digital literacy, collaboration, and reflective practices, students can co-create dynamic, inclusive, and effective online learning environments that enhance both achievement and satisfaction.</w:t>
      </w:r>
    </w:p>
    <w:p w14:paraId="0000000A" w14:textId="77777777" w:rsidR="00F719F9" w:rsidRDefault="00F719F9">
      <w:pPr>
        <w:spacing w:before="240" w:after="240"/>
      </w:pPr>
    </w:p>
    <w:p w14:paraId="0000000B" w14:textId="77777777" w:rsidR="00F719F9" w:rsidRDefault="00000000">
      <w:pPr>
        <w:pStyle w:val="Heading2"/>
        <w:keepNext w:val="0"/>
        <w:keepLines w:val="0"/>
        <w:spacing w:after="80"/>
        <w:rPr>
          <w:b/>
          <w:bCs/>
          <w:sz w:val="34"/>
          <w:szCs w:val="34"/>
        </w:rPr>
      </w:pPr>
      <w:bookmarkStart w:id="1" w:name="_ohd4x7jqp3mt" w:colFirst="0" w:colLast="0"/>
      <w:bookmarkEnd w:id="1"/>
      <w:r>
        <w:rPr>
          <w:b/>
          <w:bCs/>
          <w:sz w:val="34"/>
          <w:szCs w:val="34"/>
        </w:rPr>
        <w:t xml:space="preserve">References </w:t>
      </w:r>
    </w:p>
    <w:p w14:paraId="0000000C" w14:textId="77777777" w:rsidR="00F719F9" w:rsidRDefault="00000000">
      <w:pPr>
        <w:spacing w:before="240" w:after="240"/>
      </w:pPr>
      <w:proofErr w:type="spellStart"/>
      <w:r>
        <w:t>Aljedaani</w:t>
      </w:r>
      <w:proofErr w:type="spellEnd"/>
      <w:r>
        <w:t xml:space="preserve">, W., Krasniqi, R., </w:t>
      </w:r>
      <w:proofErr w:type="spellStart"/>
      <w:r>
        <w:t>Aljedaani</w:t>
      </w:r>
      <w:proofErr w:type="spellEnd"/>
      <w:r>
        <w:t xml:space="preserve">, S., </w:t>
      </w:r>
      <w:proofErr w:type="spellStart"/>
      <w:r>
        <w:t>Mkaouer</w:t>
      </w:r>
      <w:proofErr w:type="spellEnd"/>
      <w:r>
        <w:t>, M.W., Ludi, S. and Al-</w:t>
      </w:r>
      <w:proofErr w:type="spellStart"/>
      <w:r>
        <w:t>Raddah</w:t>
      </w:r>
      <w:proofErr w:type="spellEnd"/>
      <w:r>
        <w:t xml:space="preserve">, K. (2023) ‘Emerging challenges of online learning for deaf and hearing-impaired students during COVID-19: A literature review’, </w:t>
      </w:r>
      <w:r>
        <w:rPr>
          <w:i/>
          <w:iCs/>
        </w:rPr>
        <w:t>Universal Access in the Information Society</w:t>
      </w:r>
      <w:r>
        <w:t>, 22(4), pp. 1027–1046.</w:t>
      </w:r>
    </w:p>
    <w:p w14:paraId="0000000D" w14:textId="77777777" w:rsidR="00F719F9" w:rsidRDefault="00000000">
      <w:pPr>
        <w:spacing w:before="240" w:after="240"/>
      </w:pPr>
      <w:r>
        <w:t xml:space="preserve">Chen, N. and </w:t>
      </w:r>
      <w:proofErr w:type="spellStart"/>
      <w:r>
        <w:t>Thepnuan</w:t>
      </w:r>
      <w:proofErr w:type="spellEnd"/>
      <w:r>
        <w:t xml:space="preserve">, N. (2025) ‘Development of an online lesson on ideological and political theory courses for undergraduate students’, </w:t>
      </w:r>
      <w:r>
        <w:rPr>
          <w:i/>
          <w:iCs/>
        </w:rPr>
        <w:t>The Turkish Online Journal of Educational Technology</w:t>
      </w:r>
      <w:r>
        <w:t>, 24(4), pp. 32–40.</w:t>
      </w:r>
    </w:p>
    <w:p w14:paraId="0000000E" w14:textId="77777777" w:rsidR="00F719F9" w:rsidRDefault="00000000">
      <w:pPr>
        <w:spacing w:before="240" w:after="240"/>
      </w:pPr>
      <w:r>
        <w:t xml:space="preserve">Jarrah, M., </w:t>
      </w:r>
      <w:proofErr w:type="spellStart"/>
      <w:r>
        <w:t>Alghazo</w:t>
      </w:r>
      <w:proofErr w:type="spellEnd"/>
      <w:r>
        <w:t>, S., Al-</w:t>
      </w:r>
      <w:proofErr w:type="spellStart"/>
      <w:r>
        <w:t>Deaibes</w:t>
      </w:r>
      <w:proofErr w:type="spellEnd"/>
      <w:r>
        <w:t xml:space="preserve">, M. and </w:t>
      </w:r>
      <w:proofErr w:type="spellStart"/>
      <w:r>
        <w:t>Alhawamdeh</w:t>
      </w:r>
      <w:proofErr w:type="spellEnd"/>
      <w:r>
        <w:t xml:space="preserve">, H.A. (2025) ‘Real-world experiences of synchronous online learning and student engagement’, </w:t>
      </w:r>
      <w:r>
        <w:rPr>
          <w:i/>
          <w:iCs/>
        </w:rPr>
        <w:t>Humanities and Social Sciences Communications</w:t>
      </w:r>
      <w:r>
        <w:t>, 12, Article 575.</w:t>
      </w:r>
    </w:p>
    <w:p w14:paraId="0000000F" w14:textId="77777777" w:rsidR="00F719F9" w:rsidRDefault="00000000">
      <w:pPr>
        <w:spacing w:before="240" w:after="240"/>
      </w:pPr>
      <w:r>
        <w:lastRenderedPageBreak/>
        <w:t xml:space="preserve">van </w:t>
      </w:r>
      <w:proofErr w:type="spellStart"/>
      <w:r>
        <w:t>Dorresteijn</w:t>
      </w:r>
      <w:proofErr w:type="spellEnd"/>
      <w:r>
        <w:t xml:space="preserve">, C., Fajardo-Tovar, D., Pareja Roblin, N., Cornelissen, F., </w:t>
      </w:r>
      <w:proofErr w:type="spellStart"/>
      <w:r>
        <w:t>Meij</w:t>
      </w:r>
      <w:proofErr w:type="spellEnd"/>
      <w:r>
        <w:t xml:space="preserve">, M., Voogt, J. and Volman, M. (2024) ‘What factors contribute to effective online higher education? A meta-review’, </w:t>
      </w:r>
      <w:r>
        <w:rPr>
          <w:i/>
          <w:iCs/>
        </w:rPr>
        <w:t>Technology, Knowledge and Learning</w:t>
      </w:r>
      <w:r>
        <w:t>, 30, pp. 171–202.</w:t>
      </w:r>
    </w:p>
    <w:p w14:paraId="00000010" w14:textId="77777777" w:rsidR="00F719F9" w:rsidRDefault="00000000">
      <w:pPr>
        <w:spacing w:before="240" w:after="240"/>
      </w:pPr>
      <w:r>
        <w:t xml:space="preserve">Yu, Z. (2022) ‘Sustaining student roles, digital literacy, learning achievements, and motivation in online learning environments’, </w:t>
      </w:r>
      <w:r>
        <w:rPr>
          <w:i/>
          <w:iCs/>
        </w:rPr>
        <w:t>Sustainability</w:t>
      </w:r>
      <w:r>
        <w:t>, 14(8), 4388.</w:t>
      </w:r>
    </w:p>
    <w:p w14:paraId="00000011" w14:textId="77777777" w:rsidR="00F719F9" w:rsidRDefault="00F719F9">
      <w:pPr>
        <w:spacing w:before="240" w:after="240"/>
      </w:pPr>
    </w:p>
    <w:p w14:paraId="00000012" w14:textId="77777777" w:rsidR="00F719F9" w:rsidRDefault="00F719F9"/>
    <w:sectPr w:rsidR="00F719F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BBBEB56B-A730-C641-82DE-636344D0732E}"/>
    <w:embedBold r:id="rId2" w:fontKey="{7B539990-AB68-D64C-841D-C3543DBAED08}"/>
    <w:embedItalic r:id="rId3" w:fontKey="{64361FB0-EDE8-A64C-9AED-00F7B2E5B280}"/>
  </w:font>
  <w:font w:name="Times New Roman">
    <w:panose1 w:val="02020603050405020304"/>
    <w:charset w:val="00"/>
    <w:family w:val="roman"/>
    <w:pitch w:val="variable"/>
    <w:sig w:usb0="E0002EFF" w:usb1="C000785B" w:usb2="00000009" w:usb3="00000000" w:csb0="000001FF" w:csb1="00000000"/>
    <w:embedRegular r:id="rId4" w:fontKey="{754514C7-C51C-5641-A9E5-0789BD5B211B}"/>
  </w:font>
  <w:font w:name="Calibri">
    <w:panose1 w:val="020F0502020204030204"/>
    <w:charset w:val="00"/>
    <w:family w:val="modern"/>
    <w:pitch w:val="variable"/>
    <w:sig w:usb0="00000003" w:usb1="00000000" w:usb2="00000000" w:usb3="00000000" w:csb0="00000001" w:csb1="00000000"/>
    <w:embedRegular r:id="rId5" w:fontKey="{2CDF05E0-7D7C-A444-B159-A55C8FEFC267}"/>
  </w:font>
  <w:font w:name="Cambria">
    <w:panose1 w:val="02040503050406030204"/>
    <w:charset w:val="00"/>
    <w:family w:val="roman"/>
    <w:notTrueType/>
    <w:pitch w:val="default"/>
    <w:embedRegular r:id="rId6" w:fontKey="{E634A146-4804-9E40-94B9-FF0B0C824C2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9F9"/>
    <w:rsid w:val="00045B3A"/>
    <w:rsid w:val="002F64B6"/>
    <w:rsid w:val="003F4289"/>
    <w:rsid w:val="00491409"/>
    <w:rsid w:val="006B7DB4"/>
    <w:rsid w:val="00824BA8"/>
    <w:rsid w:val="00846A7B"/>
    <w:rsid w:val="00925B8B"/>
    <w:rsid w:val="00F719F9"/>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decimalSymbol w:val="."/>
  <w:listSeparator w:val=","/>
  <w14:docId w14:val="20D465BB"/>
  <w15:docId w15:val="{983C4E34-6954-3742-9229-B8F936544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979</Words>
  <Characters>5582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Diphale, Tlamelo</cp:lastModifiedBy>
  <cp:revision>2</cp:revision>
  <dcterms:created xsi:type="dcterms:W3CDTF">2026-02-02T07:11:00Z</dcterms:created>
  <dcterms:modified xsi:type="dcterms:W3CDTF">2026-02-02T08:52:00Z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16eec4e-c7b8-491d-b7d8-90a69632743d_Enabled">
    <vt:lpwstr>true</vt:lpwstr>
  </property>
  <property fmtid="{D5CDD505-2E9C-101B-9397-08002B2CF9AE}" pid="3" name="MSIP_Label_216eec4e-c7b8-491d-b7d8-90a69632743d_SetDate">
    <vt:lpwstr>2026-02-02T08:52:09Z</vt:lpwstr>
  </property>
  <property fmtid="{D5CDD505-2E9C-101B-9397-08002B2CF9AE}" pid="4" name="MSIP_Label_216eec4e-c7b8-491d-b7d8-90a69632743d_Method">
    <vt:lpwstr>Standard</vt:lpwstr>
  </property>
  <property fmtid="{D5CDD505-2E9C-101B-9397-08002B2CF9AE}" pid="5" name="MSIP_Label_216eec4e-c7b8-491d-b7d8-90a69632743d_Name">
    <vt:lpwstr>216eec4e-c7b8-491d-b7d8-90a69632743d</vt:lpwstr>
  </property>
  <property fmtid="{D5CDD505-2E9C-101B-9397-08002B2CF9AE}" pid="6" name="MSIP_Label_216eec4e-c7b8-491d-b7d8-90a69632743d_SiteId">
    <vt:lpwstr>4032514a-830a-4f20-9539-81bbc35b3cd9</vt:lpwstr>
  </property>
  <property fmtid="{D5CDD505-2E9C-101B-9397-08002B2CF9AE}" pid="7" name="MSIP_Label_216eec4e-c7b8-491d-b7d8-90a69632743d_ActionId">
    <vt:lpwstr>dae8aa0a-c512-40e4-9814-24020d3e0cf8</vt:lpwstr>
  </property>
  <property fmtid="{D5CDD505-2E9C-101B-9397-08002B2CF9AE}" pid="8" name="MSIP_Label_216eec4e-c7b8-491d-b7d8-90a69632743d_ContentBits">
    <vt:lpwstr>0</vt:lpwstr>
  </property>
  <property fmtid="{D5CDD505-2E9C-101B-9397-08002B2CF9AE}" pid="9" name="MSIP_Label_216eec4e-c7b8-491d-b7d8-90a69632743d_Tag">
    <vt:lpwstr>50, 3, 0, 1</vt:lpwstr>
  </property>
</Properties>
</file>