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89651">
      <w:pPr>
        <w:pStyle w:val="3"/>
      </w:pPr>
      <w:r>
        <w:rPr>
          <w:b/>
        </w:rPr>
        <w:t>已替换摘要</w:t>
      </w:r>
    </w:p>
    <w:p w14:paraId="2AFC63AE">
      <w:pPr>
        <w:pStyle w:val="19"/>
      </w:pPr>
      <w:r>
        <w:t>随着大语言模型（Large Language Model, LLM）在软件工程领域的广泛应用，基于LLM的代码生成技术已成为提高开发效率的重要手段。然而，现有方法生成的代码在功能正确性、可读性、安全性和可维护性等方面仍存在显著不足。本文针对LLM代码生成质量问题，提出了一套基于提示工程的多维度改进框架QGCG（Quality-Guided Code Generation）。该框架从问题分析、上下文增强、模板设计和迭代优化四个层面系统性地提升代码生成质量。本文首先对现有LLM代码生成技术进行全面综述，分析其在不同编程任务上的表现差异；其次提出了基于结构化提示模板的代码生成改进方法，通过引入代码规范约束、测试用例驱动和分步生成策略来提升输出质量；最后在HumanEval、MBPP和APPSDataset三个基准数据集上进行了系统的实验验证。实验结果表明，所提方法在Pass@1指标上较基线方法提升了8.3%至15.7%，在CodeBLEU指标上提升了6.2%至12.1%，同时显著降低了生成代码中的安全漏洞密度。本研究为提升LLM代码生成质量提供了系统性的方法论框架和实践指导。</w:t>
      </w:r>
    </w:p>
    <w:p w14:paraId="2F1414CC">
      <w:pPr>
        <w:pStyle w:val="19"/>
      </w:pPr>
      <w:r>
        <w:t>关键词：大语言模型；代码生成；提示工程；质量评估；软件工程</w:t>
      </w:r>
    </w:p>
    <w:p w14:paraId="56351C93">
      <w:pPr>
        <w:pStyle w:val="3"/>
      </w:pPr>
      <w:r>
        <w:t>ABSTRACT</w:t>
      </w:r>
    </w:p>
    <w:p w14:paraId="287A77F7">
      <w:pPr>
        <w:pStyle w:val="19"/>
      </w:pPr>
      <w:r>
        <w:t>With the widespread application of Large Language Models (LLMs) in software engineering, LLM-based code generation has become an important approach for improving development efficiency. However, code generated by existing methods still exhibits significant deficiencies in functional correctness, readability, security, and maintainability. This paper proposes a multi-dimensional improvement framework called QGCG (Quality-Guided Code Generation) based on prompt engineering to address LLM code generation quality issues. The framework systematically enhances code generation quality from four perspectives: problem analysis, context augmentation, template design, and iterative optimization. We first provide a comprehensive survey of existing LLM code generation techniques and analyze their performance differences across various programming tasks. We then propose a structured prompt template-based improvement method that incorporates coding standard constraints, test-case-driven generation, and step-by-step generation strategies to enhance output quality. Finally, we conduct systematic experimental validation on three benchmark datasets: HumanEval, MBPP, and APPSDataset. Experimental results demonstrate that the proposed method improves the Pass@1 metric by 8.3% to 15.7% and the CodeBLEU metric by 6.2% to 12.1% compared to baseline methods, while significantly reducing the density of security vulnerabilities in generated code. This study provides a systematic methodological framework and practical guidance for improving the quality of LLM-generated code.</w:t>
      </w:r>
    </w:p>
    <w:p>
      <w:pPr>
        <w:pStyle w:val="Body Text"/>
      </w:pPr>
      <w:r>
        <w:t xml:space="preserve">测试插入段</w:t>
      </w:r>
    </w:p>
    <w:p w14:paraId="0EA4F83F">
      <w:pPr>
        <w:pStyle w:val="3"/>
      </w:pPr>
      <w:r>
        <w:t>目  录</w:t>
      </w:r>
    </w:p>
    <w:p w14:paraId="0BADD2A0">
      <w:pPr>
        <w:pStyle w:val="19"/>
      </w:pPr>
      <w:r>
        <w:t>（目录请在Word中右键更新域）</w:t>
      </w:r>
    </w:p>
    <w:p w14:paraId="371C4CB7">
      <w:pPr>
        <w:pStyle w:val="3"/>
      </w:pPr>
      <w:r>
        <w:rPr>
          <w:b/>
        </w:rPr>
        <w:t>第1章 绪论</w:t>
      </w:r>
    </w:p>
    <w:p w14:paraId="231A7AD8">
      <w:pPr>
        <w:pStyle w:val="4"/>
      </w:pPr>
      <w:r>
        <w:t>1.1 研究背景</w:t>
      </w:r>
    </w:p>
    <w:p w14:paraId="443B7017">
      <w:pPr>
        <w:pStyle w:val="19"/>
      </w:pPr>
      <w:r>
        <w:t>近年来，以GPT-4、Claude、Gemini为代表的大语言模型在自然语言处理领域取得了突破性进展，其强大的上下文理解和推理能力使其在代码生成任务中展现出巨大潜力。根据GitHub Copilot的官方数据，已有超过180万开发者使用AI辅助编程工具，AI生成的代码在某些场景下已占据新增代码的40%以上。这一趋势深刻改变了软件开发的范式，从传统的手工编写逐步转向AI生成与人工审查的协作模式。</w:t>
      </w:r>
    </w:p>
    <w:p>
      <w:pPr>
        <w:pStyle w:val="15"/>
      </w:pPr>
      <w:r>
        <w:t xml:space="preserve">表1-1 LLM代码生成质量评估维度</w:t>
      </w:r>
    </w:p>
    <w:p>
      <w:pPr>
        <w:pStyle w:val="Caption"/>
      </w:pPr>
      <w:r>
        <w:t xml:space="preserve"/>
      </w:r>
    </w:p>
    <w:tbl>
      <w:tblPr>
        <w:tblW w:type="auto" w:w="0"/>
        <w:tblLook w:firstColumn="1" w:firstRow="1" w:lastColumn="0" w:lastRow="0" w:noHBand="0" w:noVBand="1" w:val="04A0"/>
      </w:tblPr>
      <w:tblGrid>
        <w:gridCol w:w="4536"/>
        <w:gridCol w:w="4536"/>
      </w:tblGrid>
      <w:tr>
        <w:tc>
          <w:tcPr>
            <w:tcW w:type="dxa" w:w="4536"/>
          </w:tcPr>
          <w:p>
            <w:r>
              <w:t>评估维度</w:t>
            </w:r>
          </w:p>
        </w:tc>
        <w:tc>
          <w:tcPr>
            <w:tcW w:type="dxa" w:w="4536"/>
          </w:tcPr>
          <w:p>
            <w:r>
              <w:t>当前挑战</w:t>
            </w:r>
          </w:p>
        </w:tc>
      </w:tr>
      <w:tr>
        <w:tc>
          <w:tcPr>
            <w:tcW w:type="dxa" w:w="4536"/>
          </w:tcPr>
          <w:p>
            <w:r>
              <w:t>功能正确性</w:t>
            </w:r>
          </w:p>
        </w:tc>
        <w:tc>
          <w:tcPr>
            <w:tcW w:type="dxa" w:w="4536"/>
          </w:tcPr>
          <w:p>
            <w:r>
              <w:t>Pass@1仅67-85%，大量代码不通过测试</w:t>
            </w:r>
          </w:p>
        </w:tc>
      </w:tr>
    </w:tbl>
    <w:p w14:paraId="22D02E84">
      <w:pPr>
        <w:pStyle w:val="19"/>
      </w:pPr>
      <w:r>
        <w:t>然而，LLM生成的代码在质量方面仍面临多重挑战。在功能正确性方面，即便是最先进的代码生成模型，在HumanEval基准上的Pass@1准确率也仅为67%至85%，意味着大量生成的代码无法通过基本的功能测试。在安全性方面，Pearce等人[1]的研究发现，约40%的AI生成代码存在潜在安全漏洞，包括SQL注入、缓冲区溢出和密码学误用等。Pearce等人[2]的后续研究进一步揭示了零样本漏洞修复的局限性。在可读性和可维护性方面，AI生成的代码往往缺乏必要的注释、遵循不一致的命名规范，且在复杂业务逻辑的处理上容易出现语义偏差。</w:t>
      </w:r>
    </w:p>
    <w:p>
      <w:pPr>
        <w:pStyle w:val="15"/>
      </w:pPr>
      <w:r>
        <w:t xml:space="preserve"/>
      </w:r>
    </w:p>
    <w:p>
      <w:pPr>
        <w:pStyle w:val="Caption"/>
      </w:pPr>
      <w:r>
        <w:t xml:space="preserve"/>
      </w:r>
    </w:p>
    <w:p w14:paraId="1CD24320">
      <w:pPr>
        <w:pStyle w:val="19"/>
      </w:pPr>
      <w:r>
        <w:t>上述问题的根源在于：现有LLM在代码生成时缺乏对目标代码质量属性的显式建模。模型主要依赖统计模式匹配生成代码，而非从软件工程的质量标准出发进行系统化推理。因此，如何有效引导LLM生成高质量代码，已成为软件工程与人工智能交叉领域的重要研究课题。</w:t>
      </w:r>
    </w:p>
    <w:p w14:paraId="0DAB0304">
      <w:pPr>
        <w:pStyle w:val="4"/>
      </w:pPr>
      <w:r>
        <w:t>1.2 研究目的与意义</w:t>
      </w:r>
    </w:p>
    <w:p w14:paraId="5E140A02">
      <w:pPr>
        <w:pStyle w:val="5"/>
      </w:pPr>
      <w:r>
        <w:t>1.2.1 研究目的</w:t>
      </w:r>
    </w:p>
    <w:p w14:paraId="1C43BD84">
      <w:pPr>
        <w:pStyle w:val="19"/>
      </w:pPr>
      <w:r>
        <w:t>本文旨在构建一套系统化的LLM代码生成质量改进框架，通过提示工程的方法在不改变模型参数的前提下，显著提升生成代码的质量。具体研究目标包括三个方面：建立多维度代码生成质量评估体系，从功能正确性、代码安全性、可读性和可维护性四个维度全面量化生成代码的质量水平；设计基于结构化提示模板的代码生成改进方法，通过精心设计的提示策略引导LLM生成符合质量要求的代码；在多个主流基准数据集上验证所提方法的有效性，并与现有方法进行系统性比较分析。</w:t>
      </w:r>
    </w:p>
    <w:p w14:paraId="78B864E4">
      <w:pPr>
        <w:pStyle w:val="5"/>
      </w:pPr>
      <w:r>
        <w:t>1.2.2 研究意义</w:t>
      </w:r>
    </w:p>
    <w:p w14:paraId="6B440DF5">
      <w:pPr>
        <w:pStyle w:val="19"/>
      </w:pPr>
      <w:r>
        <w:t>本研究具有重要的理论意义和实践价值。在理论层面，本研究有助于深入理解提示工程对代码生成质量的影响机制，揭示不同提示策略对各质量维度的差异化作用，为后续研究提供方法论参考。在实践层面，所提方法可直接应用于现有的AI辅助编程工具中，帮助开发者获得更高质量的代码建议，从而提高软件开发效率和代码质量，降低因代码缺陷导致的安全风险和维护成本。</w:t>
      </w:r>
    </w:p>
    <w:p w14:paraId="75B88D20">
      <w:pPr>
        <w:pStyle w:val="4"/>
      </w:pPr>
      <w:r>
        <w:t>1.3 国内外研究现状</w:t>
      </w:r>
    </w:p>
    <w:p w14:paraId="68B12344">
      <w:pPr>
        <w:pStyle w:val="19"/>
      </w:pPr>
      <w:r>
        <w:t>当前，针对LLM代码生成质量的研究主要沿着三条路径展开：提示工程方法[3][4][5]通过精心设计输入提示来引导模型输出，无需修改模型参数，灵活性高；模型微调方法[6][7]通过在特定领域数据上继续训练来提升质量，效果显著但成本较高；后处理方法[8][9]关注对已生成代码的修复和优化，适用于生产环境部署。然而，现有研究存在明显不足：多数工作仅关注功能正确性单一维度，忽视了安全性和可维护性等同样重要的质量属性；提示工程方法缺乏系统性的设计框架，大多依赖经验性的提示模板；缺乏在不同规模和类型模型上的系统性对比实验。</w:t>
      </w:r>
    </w:p>
    <w:p w14:paraId="2AB7387C">
      <w:pPr>
        <w:pStyle w:val="4"/>
      </w:pPr>
      <w:r>
        <w:t>1.4 论文结构</w:t>
      </w:r>
    </w:p>
    <w:p w14:paraId="7C63564E">
      <w:pPr>
        <w:pStyle w:val="19"/>
      </w:pPr>
      <w:r>
        <w:t>本文共分为五章。第一章为绪论，阐述研究背景、目标与意义，综述国内外研究现状。第二章对相关技术与理论基础进行介绍，包括大语言模型、代码质量评估方法和提示工程技术。第三章详细阐述所提QGCG方法的理论框架、模块设计和实现细节。第四章进行实验验证与结果分析，包括主实验、消融实验和案例分析。第五章总结全文并对未来研究方向进行展望。</w:t>
      </w:r>
    </w:p>
    <w:p w14:paraId="72E91341">
      <w:pPr>
        <w:pStyle w:val="3"/>
      </w:pPr>
      <w:r>
        <w:t>第2章 相关技术与理论基础</w:t>
      </w:r>
    </w:p>
    <w:p w14:paraId="2610E099">
      <w:pPr>
        <w:pStyle w:val="4"/>
      </w:pPr>
      <w:r>
        <w:t>2.1 大语言模型概述</w:t>
      </w:r>
    </w:p>
    <w:p w14:paraId="46FA9ABB">
      <w:pPr>
        <w:pStyle w:val="5"/>
      </w:pPr>
      <w:r>
        <w:t>2.1.1 大语言模型的基本原理</w:t>
      </w:r>
    </w:p>
    <w:p w14:paraId="7D8E2143">
      <w:pPr>
        <w:pStyle w:val="19"/>
      </w:pPr>
      <w:r>
        <w:t>大语言模型基于Transformer架构构建，通过自注意力机制实现长距离依赖关系的建模。其训练过程分为两个阶段：预训练阶段在海量文本和代码语料库上进行自监督学习，学习通用的语言和代码表示；微调阶段则在特定任务数据上进行有监督学习或基于人类反馈的强化学习，使模型更好地适应下游任务。这一预训练-微调范式使得LLM能够同时理解自然语言描述和代码结构，为代码生成任务奠定了基础。</w:t>
      </w:r>
    </w:p>
    <w:p w14:paraId="242B3E79">
      <w:pPr>
        <w:pStyle w:val="5"/>
      </w:pPr>
      <w:r>
        <w:t>2.1.2 代码生成领域的主流模型</w:t>
      </w:r>
    </w:p>
    <w:p w14:paraId="3E6E25D2">
      <w:pPr>
        <w:pStyle w:val="19"/>
      </w:pPr>
      <w:r>
        <w:t>在代码生成领域，研究者先后提出了多种专用模型。Codex[10]基于GPT-3架构，在GitHub代码语料库上进行预训练，首次展示了LLM在函数级代码生成任务上的能力。AlphaCode[11]通过大规模采样与聚类策略，在竞技编程任务中取得了突破性表现。CodeLlama[12]基于Llama 2架构，通过代码专属微调在多项基准上超越了同等规模的通用模型。在闭源模型方面，GPT-4[13]和Claude[14]系列通过大规模参数和RLHF技术显著提升了代码生成质量。DeepSeek-Coder[15]作为开源模型的代表，通过多阶段训练策略展现了与闭源模型相当的性能。</w:t>
      </w:r>
    </w:p>
    <w:p w14:paraId="6BD339B2">
      <w:pPr>
        <w:pStyle w:val="4"/>
      </w:pPr>
      <w:r>
        <w:t>2.2 代码质量评估方法</w:t>
      </w:r>
    </w:p>
    <w:p w14:paraId="751FDD17">
      <w:pPr>
        <w:pStyle w:val="5"/>
      </w:pPr>
      <w:r>
        <w:t>2.2.1 功能正确性评估</w:t>
      </w:r>
    </w:p>
    <w:tbl>
      <w:tblPr>
        <w:tblW w:type="auto" w:w="0"/>
        <w:tblLook w:firstColumn="1" w:firstRow="1" w:lastColumn="0" w:lastRow="0" w:noHBand="0" w:noVBand="1" w:val="04A0"/>
      </w:tblPr>
      <w:tblGrid>
        <w:gridCol w:w="4536"/>
        <w:gridCol w:w="4536"/>
      </w:tblGrid>
      <w:tr>
        <w:tc>
          <w:tcPr>
            <w:tcW w:type="dxa" w:w="4536"/>
          </w:tcPr>
          <w:p>
            <w:r>
              <w:t>指标</w:t>
            </w:r>
          </w:p>
        </w:tc>
        <w:tc>
          <w:tcPr>
            <w:tcW w:type="dxa" w:w="4536"/>
          </w:tcPr>
          <w:p>
            <w:r>
              <w:t>数值</w:t>
            </w:r>
          </w:p>
        </w:tc>
      </w:tr>
      <w:tr>
        <w:tc>
          <w:tcPr>
            <w:tcW w:type="dxa" w:w="4536"/>
          </w:tcPr>
          <w:p>
            <w:r>
              <w:t>准确率</w:t>
            </w:r>
          </w:p>
        </w:tc>
        <w:tc>
          <w:tcPr>
            <w:tcW w:type="dxa" w:w="4536"/>
          </w:tcPr>
          <w:p>
            <w:r>
              <w:t>0.95</w:t>
            </w:r>
          </w:p>
        </w:tc>
      </w:tr>
    </w:tbl>
    <w:p w14:paraId="3436914C">
      <w:pPr>
        <w:pStyle w:val="19"/>
      </w:pPr>
      <w:r>
        <w:t>Pass@k是衡量功能正确性的核心指标，其计算方式如式(2.1)所示，表示在k次采样中至少有一个正确解的概率。其中n为总采样数，c为正确的样本数。该指标由Kulal等人[16]在SPoC任务中首次系统化提出，后来被HumanEval基准广泛采用。</w:t>
      </w:r>
    </w:p>
    <w:p w14:paraId="77C0AE66">
      <w:pPr>
        <w:pStyle w:val="19"/>
        <w:tabs>
          <w:tab w:val="right" w:pos="8300"/>
        </w:tabs>
      </w:pPr>
      <m:oMath>
        <m:r>
          <m:rPr/>
          <w:rPr>
            <w:rFonts w:hint="default" w:ascii="Cambria Math" w:hAnsi="Cambria Math" w:eastAsia="宋体" w:cs="Times New Roman"/>
            <w:sz w:val="24"/>
          </w:rPr>
          <m:t>Pass@k</m:t>
        </m:r>
        <m:r>
          <m:rPr>
            <m:nor/>
            <m:sty m:val="p"/>
          </m:rPr>
          <w:rPr>
            <w:rFonts w:hint="default" w:ascii="Cambria Math" w:hAnsi="Cambria Math" w:eastAsia="宋体" w:cs="Times New Roman"/>
            <w:b w:val="0"/>
            <w:i w:val="0"/>
            <w:sz w:val="24"/>
          </w:rPr>
          <m:t>=1−</m:t>
        </m:r>
        <m:f>
          <m:fPr>
            <m:ctrlPr>
              <w:rPr>
                <w:rFonts w:hint="default" w:ascii="Cambria Math" w:hAnsi="Cambria Math" w:eastAsia="宋体" w:cs="Times New Roman"/>
                <w:b w:val="0"/>
                <w:i w:val="0"/>
                <w:sz w:val="24"/>
              </w:rPr>
            </m:ctrlPr>
          </m:fPr>
          <m:num>
            <m:r>
              <m:rPr>
                <m:nor/>
                <m:sty m:val="p"/>
              </m:rPr>
              <w:rPr>
                <w:rFonts w:hint="default" w:ascii="Cambria Math" w:hAnsi="Cambria Math" w:eastAsia="宋体" w:cs="Times New Roman"/>
                <w:b w:val="0"/>
                <w:i w:val="0"/>
                <w:sz w:val="24"/>
              </w:rPr>
              <m:t>(</m:t>
            </m:r>
            <m:f>
              <m:fPr>
                <m:ctrlPr>
                  <w:rPr>
                    <w:rFonts w:hint="default" w:ascii="Cambria Math" w:hAnsi="Cambria Math" w:eastAsia="宋体" w:cs="Times New Roman"/>
                    <w:b w:val="0"/>
                    <w:i w:val="0"/>
                    <w:sz w:val="24"/>
                  </w:rPr>
                </m:ctrlPr>
              </m:fPr>
              <m:num>
                <m:r>
                  <m:rPr/>
                  <w:rPr>
                    <w:rFonts w:hint="default" w:ascii="Cambria Math" w:hAnsi="Cambria Math" w:eastAsia="宋体" w:cs="Times New Roman"/>
                    <w:sz w:val="24"/>
                  </w:rPr>
                  <m:t>n</m:t>
                </m:r>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c</m:t>
                </m:r>
                <m:ctrlPr>
                  <w:rPr>
                    <w:rFonts w:hint="default" w:ascii="Cambria Math" w:hAnsi="Cambria Math" w:eastAsia="宋体" w:cs="Times New Roman"/>
                    <w:b w:val="0"/>
                    <w:i w:val="0"/>
                    <w:sz w:val="24"/>
                  </w:rPr>
                </m:ctrlPr>
              </m:num>
              <m:den>
                <m:r>
                  <m:rPr/>
                  <w:rPr>
                    <w:rFonts w:hint="default" w:ascii="Cambria Math" w:hAnsi="Cambria Math" w:eastAsia="宋体" w:cs="Times New Roman"/>
                    <w:sz w:val="24"/>
                  </w:rPr>
                  <m:t>k</m:t>
                </m:r>
                <m:ctrlPr>
                  <w:rPr>
                    <w:rFonts w:hint="default" w:ascii="Cambria Math" w:hAnsi="Cambria Math" w:eastAsia="宋体" w:cs="Times New Roman"/>
                    <w:b w:val="0"/>
                    <w:i w:val="0"/>
                    <w:sz w:val="24"/>
                  </w:rPr>
                </m:ctrlPr>
              </m:den>
            </m:f>
            <m:r>
              <m:rPr>
                <m:nor/>
                <m:sty m:val="p"/>
              </m:rPr>
              <w:rPr>
                <w:rFonts w:hint="default" w:ascii="Cambria Math" w:hAnsi="Cambria Math" w:eastAsia="宋体" w:cs="Times New Roman"/>
                <w:b w:val="0"/>
                <w:i w:val="0"/>
                <w:sz w:val="24"/>
              </w:rPr>
              <m:t>)</m:t>
            </m:r>
            <m:ctrlPr>
              <w:rPr>
                <w:rFonts w:hint="default" w:ascii="Cambria Math" w:hAnsi="Cambria Math" w:eastAsia="宋体" w:cs="Times New Roman"/>
                <w:b w:val="0"/>
                <w:i w:val="0"/>
                <w:sz w:val="24"/>
              </w:rPr>
            </m:ctrlPr>
          </m:num>
          <m:den>
            <m:r>
              <m:rPr>
                <m:nor/>
                <m:sty m:val="p"/>
              </m:rPr>
              <w:rPr>
                <w:rFonts w:hint="default" w:ascii="Cambria Math" w:hAnsi="Cambria Math" w:eastAsia="宋体" w:cs="Times New Roman"/>
                <w:b w:val="0"/>
                <w:i w:val="0"/>
                <w:sz w:val="24"/>
              </w:rPr>
              <m:t>(</m:t>
            </m:r>
            <m:f>
              <m:fPr>
                <m:ctrlPr>
                  <w:rPr>
                    <w:rFonts w:hint="default" w:ascii="Cambria Math" w:hAnsi="Cambria Math" w:eastAsia="宋体" w:cs="Times New Roman"/>
                    <w:b w:val="0"/>
                    <w:i w:val="0"/>
                    <w:sz w:val="24"/>
                  </w:rPr>
                </m:ctrlPr>
              </m:fPr>
              <m:num>
                <m:r>
                  <m:rPr/>
                  <w:rPr>
                    <w:rFonts w:hint="default" w:ascii="Cambria Math" w:hAnsi="Cambria Math" w:eastAsia="宋体" w:cs="Times New Roman"/>
                    <w:sz w:val="24"/>
                  </w:rPr>
                  <m:t>n</m:t>
                </m:r>
                <m:ctrlPr>
                  <w:rPr>
                    <w:rFonts w:hint="default" w:ascii="Cambria Math" w:hAnsi="Cambria Math" w:eastAsia="宋体" w:cs="Times New Roman"/>
                    <w:b w:val="0"/>
                    <w:i w:val="0"/>
                    <w:sz w:val="24"/>
                  </w:rPr>
                </m:ctrlPr>
              </m:num>
              <m:den>
                <m:r>
                  <m:rPr/>
                  <w:rPr>
                    <w:rFonts w:hint="default" w:ascii="Cambria Math" w:hAnsi="Cambria Math" w:eastAsia="宋体" w:cs="Times New Roman"/>
                    <w:sz w:val="24"/>
                  </w:rPr>
                  <m:t>k</m:t>
                </m:r>
                <m:ctrlPr>
                  <w:rPr>
                    <w:rFonts w:hint="default" w:ascii="Cambria Math" w:hAnsi="Cambria Math" w:eastAsia="宋体" w:cs="Times New Roman"/>
                    <w:b w:val="0"/>
                    <w:i w:val="0"/>
                    <w:sz w:val="24"/>
                  </w:rPr>
                </m:ctrlPr>
              </m:den>
            </m:f>
            <m:r>
              <m:rPr>
                <m:nor/>
                <m:sty m:val="p"/>
              </m:rPr>
              <w:rPr>
                <w:rFonts w:hint="default" w:ascii="Cambria Math" w:hAnsi="Cambria Math" w:eastAsia="宋体" w:cs="Times New Roman"/>
                <w:b w:val="0"/>
                <w:i w:val="0"/>
                <w:sz w:val="24"/>
              </w:rPr>
              <m:t>)</m:t>
            </m:r>
            <m:ctrlPr>
              <w:rPr>
                <w:rFonts w:hint="default" w:ascii="Cambria Math" w:hAnsi="Cambria Math" w:eastAsia="宋体" w:cs="Times New Roman"/>
                <w:b w:val="0"/>
                <w:i w:val="0"/>
                <w:sz w:val="24"/>
              </w:rPr>
            </m:ctrlPr>
          </m:den>
        </m:f>
      </m:oMath>
      <w:r>
        <w:tab/>
      </w:r>
      <w:r>
        <w:t>(2.1)</w:t>
      </w:r>
    </w:p>
    <w:p w14:paraId="02C0F6B5">
      <w:pPr>
        <w:pStyle w:val="19"/>
      </w:pPr>
      <w:r>
        <w:t>当k=1时，Pass@1直接反映模型单次生成正确代码的能力，是最常被报告的指标。HumanEval基准由Chen等人[10]提出，包含164个Python函数级编程任务，每个任务提供函数签名、文档字符串和单元测试，已成为评估代码生成功能正确性的标准基准。MBPP和APPSDataset分别覆盖入门级和竞赛级编程任务，提供了不同难度层次的评估视角。</w:t>
      </w:r>
    </w:p>
    <w:p w14:paraId="0A2A9B52">
      <w:pPr>
        <w:pStyle w:val="5"/>
      </w:pPr>
      <w:r>
        <w:t>2.2.2 代码质量的多维度评估</w:t>
      </w:r>
    </w:p>
    <w:p w14:paraId="3BC813BB">
      <w:pPr>
        <w:pStyle w:val="19"/>
      </w:pPr>
      <w:r>
        <w:t>除功能正确性外，代码质量的评估还需要关注其他维度。CodeBLEU[17]指标的计算方式如式(2.2)所示，该指标在传统BLEU的基础上引入了语法和语义感知机制，通过加权组合n-gram匹配、语法树匹配和数据流匹配三个子指标。</w:t>
      </w:r>
    </w:p>
    <w:p w14:paraId="031D92DF">
      <w:pPr>
        <w:pStyle w:val="19"/>
        <w:tabs>
          <w:tab w:val="right" w:pos="8300"/>
        </w:tabs>
      </w:pPr>
      <m:oMath>
        <m:r>
          <m:rPr/>
          <w:rPr>
            <w:rFonts w:hint="default" w:ascii="Cambria Math" w:hAnsi="Cambria Math" w:eastAsia="宋体" w:cs="Times New Roman"/>
            <w:sz w:val="24"/>
          </w:rPr>
          <m:t>CodeBLEU</m:t>
        </m:r>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α</m:t>
        </m:r>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BLEU</m:t>
        </m:r>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β</m:t>
        </m:r>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Matc</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h</m:t>
            </m:r>
            <m:ctrlPr>
              <w:rPr>
                <w:rFonts w:hint="default" w:ascii="Cambria Math" w:hAnsi="Cambria Math" w:eastAsia="宋体" w:cs="Times New Roman"/>
                <w:b w:val="0"/>
                <w:i w:val="0"/>
                <w:sz w:val="24"/>
              </w:rPr>
            </m:ctrlPr>
          </m:e>
          <m:sub>
            <m:r>
              <m:rPr/>
              <w:rPr>
                <w:rFonts w:hint="default" w:ascii="Cambria Math" w:hAnsi="Cambria Math" w:eastAsia="宋体" w:cs="Times New Roman"/>
                <w:sz w:val="24"/>
              </w:rPr>
              <m:t>gram</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γ</m:t>
        </m:r>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Matc</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h</m:t>
            </m:r>
            <m:ctrlPr>
              <w:rPr>
                <w:rFonts w:hint="default" w:ascii="Cambria Math" w:hAnsi="Cambria Math" w:eastAsia="宋体" w:cs="Times New Roman"/>
                <w:b w:val="0"/>
                <w:i w:val="0"/>
                <w:sz w:val="24"/>
              </w:rPr>
            </m:ctrlPr>
          </m:e>
          <m:sub>
            <m:r>
              <m:rPr/>
              <w:rPr>
                <w:rFonts w:hint="default" w:ascii="Cambria Math" w:hAnsi="Cambria Math" w:eastAsia="宋体" w:cs="Times New Roman"/>
                <w:sz w:val="24"/>
              </w:rPr>
              <m:t>dataflow</m:t>
            </m:r>
            <m:ctrlPr>
              <w:rPr>
                <w:rFonts w:hint="default" w:ascii="Cambria Math" w:hAnsi="Cambria Math" w:eastAsia="宋体" w:cs="Times New Roman"/>
                <w:b w:val="0"/>
                <w:i w:val="0"/>
                <w:sz w:val="24"/>
              </w:rPr>
            </m:ctrlPr>
          </m:sub>
        </m:sSub>
      </m:oMath>
      <w:r>
        <w:tab/>
      </w:r>
      <w:r>
        <w:t>(2.2)</w:t>
      </w:r>
    </w:p>
    <w:p w14:paraId="62B85718">
      <w:pPr>
        <w:pStyle w:val="19"/>
      </w:pPr>
      <w:r>
        <w:t>其中，alpha、beta、gamma为三个子指标的权重系数。Security Score用于量化代码中的安全漏洞密度，通常结合静态分析工具如SonarQube或Bandit进行计算。在可读性评估方面，研究者提出了基于代码复杂度、命名规范一致性和注释覆盖率等指标的评估方法。在可维护性方面，则关注模块化程度、耦合度和内聚性等软件工程度量。</w:t>
      </w:r>
    </w:p>
    <w:p w14:paraId="2CEEBA98">
      <w:pPr>
        <w:pStyle w:val="4"/>
      </w:pPr>
      <w:r>
        <w:t>2.3 提示工程技术</w:t>
      </w:r>
    </w:p>
    <w:p w14:paraId="75520533">
      <w:pPr>
        <w:pStyle w:val="5"/>
      </w:pPr>
      <w:r>
        <w:t>2.3.1 提示工程的基本概念</w:t>
      </w:r>
    </w:p>
    <w:p w14:paraId="167BDE7F">
      <w:pPr>
        <w:pStyle w:val="19"/>
      </w:pPr>
      <w:r>
        <w:t>提示工程是指通过精心设计输入提示来引导大语言模型产生期望输出的技术。根据提示中是否包含示例，可分为零样本提示和少样本提示两大类。零样本提示直接描述任务要求，无需提供示例；少样本提示则在提示中包含若干输入-输出对作为参考，帮助模型理解期望的输出格式和风格。近年来，Wei等人[3]提出的思维链提示技术通过要求模型展示推理过程来提升复杂任务的表现，在代码生成领域也展现了积极效果。</w:t>
      </w:r>
    </w:p>
    <w:p w14:paraId="45991407">
      <w:pPr>
        <w:pStyle w:val="5"/>
      </w:pPr>
      <w:r>
        <w:t>2.3.2 面向代码生成的提示策略</w:t>
      </w:r>
    </w:p>
    <w:p w14:paraId="2FCFE6FC">
      <w:pPr>
        <w:pStyle w:val="19"/>
      </w:pPr>
      <w:r>
        <w:t>在代码生成场景中，研究者提出了多种专用提示策略。Chen等人[5]提出的程序思维提示要求模型先用自然语言描述解题思路再生成代码，有效提升了复杂问题的解决率。Wang等人[4]提出的自我一致性解码通过多次采样并选择一致性最高的答案来提升可靠性。单元测试驱动提示则在提示中包含测试用例信息，引导模型生成可通过测试的代码。然而，这些策略大多针对单一质量维度进行优化，缺乏对代码质量的全面考量。</w:t>
      </w:r>
    </w:p>
    <w:p w14:paraId="1CC4FA15">
      <w:pPr>
        <w:pStyle w:val="4"/>
      </w:pPr>
      <w:r>
        <w:t>2.4 本章小结</w:t>
      </w:r>
    </w:p>
    <w:p w14:paraId="0B350389">
      <w:pPr>
        <w:pStyle w:val="19"/>
      </w:pPr>
      <w:r>
        <w:t>本章对大语言模型的基本原理、代码质量评估方法和提示工程技术进行了系统介绍。通过分析现有研究可以发现，虽然LLM在代码生成方面取得了显著进展，但在质量评估方面缺乏多维度体系，在质量改进方面缺乏系统性框架。这些不足为本文的研究提供了明确的切入方向。</w:t>
      </w:r>
    </w:p>
    <w:p w14:paraId="1AF03639">
      <w:pPr>
        <w:pStyle w:val="3"/>
      </w:pPr>
      <w:r>
        <w:t>第3章 基于提示工程的代码生成质量改进方法</w:t>
      </w:r>
    </w:p>
    <w:p w14:paraId="2EA386D9">
      <w:pPr>
        <w:pStyle w:val="4"/>
      </w:pPr>
      <w:r>
        <w:t>3.1 问题分析与形式化定义</w:t>
      </w:r>
    </w:p>
    <w:p w14:paraId="0515E5F9">
      <w:pPr>
        <w:pStyle w:val="5"/>
      </w:pPr>
      <w:r>
        <w:t>3.1.1 代码生成质量问题分析</w:t>
      </w:r>
    </w:p>
    <w:p w14:paraId="22B12ACC">
      <w:pPr>
        <w:pStyle w:val="19"/>
      </w:pPr>
      <w:r>
        <w:t>为深入理解LLM代码生成的质量问题，本文对3000个代码生成样本进行了系统的错误分析。通过人工标注和分类，将生成错误归纳为五类：需求理解偏差占35%，表现为生成的代码与任务描述的意图不一致；边界条件处理不当占25%，如缺少空值检查或溢出处理；安全问题占20%，包括未校验输入、硬编码凭证等；风格和规范问题占15%，如命名不规范、缺少注释等；逻辑错误占5%，涉及算法实现中的语义偏差。这一分析结果表明，代码生成质量问题具有多维度特征，需要综合性的改进策略。</w:t>
      </w:r>
    </w:p>
    <w:p w14:paraId="2F7C58AA">
      <w:pPr>
        <w:pStyle w:val="5"/>
      </w:pPr>
      <w:r>
        <w:t>3.1.2 形式化定义</w:t>
      </w:r>
    </w:p>
    <w:p w14:paraId="34B8775A">
      <w:pPr>
        <w:pStyle w:val="19"/>
      </w:pPr>
      <w:r>
        <w:t>将LLM代码生成问题形式化定义为：给定自然语言描述的任务规范x，模型需要生成满足该规范的代码y。传统方法直接将x输入模型获取输出，本文将此过程扩展为多阶段质量引导生成流程。定义代码质量评价函数如式(3.1)所示，该函数由功能正确性、安全性、可读性和可维护性四个维度的加权和构成。</w:t>
      </w:r>
    </w:p>
    <w:p w14:paraId="223F4410">
      <w:pPr>
        <w:pStyle w:val="19"/>
        <w:tabs>
          <w:tab w:val="right" w:pos="8300"/>
        </w:tabs>
      </w:pPr>
      <m:oMath>
        <m:r>
          <m:rPr/>
          <w:rPr>
            <w:rFonts w:hint="default" w:ascii="Cambria Math" w:hAnsi="Cambria Math" w:eastAsia="宋体" w:cs="Times New Roman"/>
            <w:sz w:val="24"/>
          </w:rPr>
          <m:t>Q</m:t>
        </m:r>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y</m:t>
        </m:r>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w</m:t>
            </m:r>
            <m:ctrlPr>
              <w:rPr>
                <w:rFonts w:hint="default" w:ascii="Cambria Math" w:hAnsi="Cambria Math" w:eastAsia="宋体" w:cs="Times New Roman"/>
                <w:b w:val="0"/>
                <w:i w:val="0"/>
                <w:sz w:val="24"/>
              </w:rPr>
            </m:ctrlPr>
          </m:e>
          <m:sub>
            <m:r>
              <m:rPr>
                <m:nor/>
                <m:sty m:val="p"/>
              </m:rPr>
              <w:rPr>
                <w:rFonts w:hint="default" w:ascii="Cambria Math" w:hAnsi="Cambria Math" w:eastAsia="宋体" w:cs="Times New Roman"/>
                <w:b w:val="0"/>
                <w:i w:val="0"/>
                <w:sz w:val="24"/>
              </w:rPr>
              <m:t>1</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q</m:t>
            </m:r>
            <m:ctrlPr>
              <w:rPr>
                <w:rFonts w:hint="default" w:ascii="Cambria Math" w:hAnsi="Cambria Math" w:eastAsia="宋体" w:cs="Times New Roman"/>
                <w:b w:val="0"/>
                <w:i w:val="0"/>
                <w:sz w:val="24"/>
              </w:rPr>
            </m:ctrlPr>
          </m:e>
          <m:sub>
            <m:r>
              <m:rPr/>
              <w:rPr>
                <w:rFonts w:hint="default" w:ascii="Cambria Math" w:hAnsi="Cambria Math" w:eastAsia="宋体" w:cs="Times New Roman"/>
                <w:sz w:val="24"/>
              </w:rPr>
              <m:t>func</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y</m:t>
        </m:r>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w</m:t>
            </m:r>
            <m:ctrlPr>
              <w:rPr>
                <w:rFonts w:hint="default" w:ascii="Cambria Math" w:hAnsi="Cambria Math" w:eastAsia="宋体" w:cs="Times New Roman"/>
                <w:b w:val="0"/>
                <w:i w:val="0"/>
                <w:sz w:val="24"/>
              </w:rPr>
            </m:ctrlPr>
          </m:e>
          <m:sub>
            <m:r>
              <m:rPr>
                <m:nor/>
                <m:sty m:val="p"/>
              </m:rPr>
              <w:rPr>
                <w:rFonts w:hint="default" w:ascii="Cambria Math" w:hAnsi="Cambria Math" w:eastAsia="宋体" w:cs="Times New Roman"/>
                <w:b w:val="0"/>
                <w:i w:val="0"/>
                <w:sz w:val="24"/>
              </w:rPr>
              <m:t>2</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q</m:t>
            </m:r>
            <m:ctrlPr>
              <w:rPr>
                <w:rFonts w:hint="default" w:ascii="Cambria Math" w:hAnsi="Cambria Math" w:eastAsia="宋体" w:cs="Times New Roman"/>
                <w:b w:val="0"/>
                <w:i w:val="0"/>
                <w:sz w:val="24"/>
              </w:rPr>
            </m:ctrlPr>
          </m:e>
          <m:sub>
            <m:r>
              <m:rPr/>
              <w:rPr>
                <w:rFonts w:hint="default" w:ascii="Cambria Math" w:hAnsi="Cambria Math" w:eastAsia="宋体" w:cs="Times New Roman"/>
                <w:sz w:val="24"/>
              </w:rPr>
              <m:t>sec</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y</m:t>
        </m:r>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w</m:t>
            </m:r>
            <m:ctrlPr>
              <w:rPr>
                <w:rFonts w:hint="default" w:ascii="Cambria Math" w:hAnsi="Cambria Math" w:eastAsia="宋体" w:cs="Times New Roman"/>
                <w:b w:val="0"/>
                <w:i w:val="0"/>
                <w:sz w:val="24"/>
              </w:rPr>
            </m:ctrlPr>
          </m:e>
          <m:sub>
            <m:r>
              <m:rPr>
                <m:nor/>
                <m:sty m:val="p"/>
              </m:rPr>
              <w:rPr>
                <w:rFonts w:hint="default" w:ascii="Cambria Math" w:hAnsi="Cambria Math" w:eastAsia="宋体" w:cs="Times New Roman"/>
                <w:b w:val="0"/>
                <w:i w:val="0"/>
                <w:sz w:val="24"/>
              </w:rPr>
              <m:t>3</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q</m:t>
            </m:r>
            <m:ctrlPr>
              <w:rPr>
                <w:rFonts w:hint="default" w:ascii="Cambria Math" w:hAnsi="Cambria Math" w:eastAsia="宋体" w:cs="Times New Roman"/>
                <w:b w:val="0"/>
                <w:i w:val="0"/>
                <w:sz w:val="24"/>
              </w:rPr>
            </m:ctrlPr>
          </m:e>
          <m:sub>
            <m:r>
              <m:rPr/>
              <w:rPr>
                <w:rFonts w:hint="default" w:ascii="Cambria Math" w:hAnsi="Cambria Math" w:eastAsia="宋体" w:cs="Times New Roman"/>
                <w:sz w:val="24"/>
              </w:rPr>
              <m:t>read</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y</m:t>
        </m:r>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w</m:t>
            </m:r>
            <m:ctrlPr>
              <w:rPr>
                <w:rFonts w:hint="default" w:ascii="Cambria Math" w:hAnsi="Cambria Math" w:eastAsia="宋体" w:cs="Times New Roman"/>
                <w:b w:val="0"/>
                <w:i w:val="0"/>
                <w:sz w:val="24"/>
              </w:rPr>
            </m:ctrlPr>
          </m:e>
          <m:sub>
            <m:r>
              <m:rPr>
                <m:nor/>
                <m:sty m:val="p"/>
              </m:rPr>
              <w:rPr>
                <w:rFonts w:hint="default" w:ascii="Cambria Math" w:hAnsi="Cambria Math" w:eastAsia="宋体" w:cs="Times New Roman"/>
                <w:b w:val="0"/>
                <w:i w:val="0"/>
                <w:sz w:val="24"/>
              </w:rPr>
              <m:t>4</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q</m:t>
            </m:r>
            <m:ctrlPr>
              <w:rPr>
                <w:rFonts w:hint="default" w:ascii="Cambria Math" w:hAnsi="Cambria Math" w:eastAsia="宋体" w:cs="Times New Roman"/>
                <w:b w:val="0"/>
                <w:i w:val="0"/>
                <w:sz w:val="24"/>
              </w:rPr>
            </m:ctrlPr>
          </m:e>
          <m:sub>
            <m:r>
              <m:rPr/>
              <w:rPr>
                <w:rFonts w:hint="default" w:ascii="Cambria Math" w:hAnsi="Cambria Math" w:eastAsia="宋体" w:cs="Times New Roman"/>
                <w:sz w:val="24"/>
              </w:rPr>
              <m:t>maint</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y</m:t>
        </m:r>
        <m:r>
          <m:rPr>
            <m:nor/>
            <m:sty m:val="p"/>
          </m:rPr>
          <w:rPr>
            <w:rFonts w:hint="default" w:ascii="Cambria Math" w:hAnsi="Cambria Math" w:eastAsia="宋体" w:cs="Times New Roman"/>
            <w:b w:val="0"/>
            <w:i w:val="0"/>
            <w:sz w:val="24"/>
          </w:rPr>
          <m:t>)</m:t>
        </m:r>
      </m:oMath>
      <w:r>
        <w:tab/>
      </w:r>
      <w:r>
        <w:t>(3.1)</w:t>
      </w:r>
    </w:p>
    <w:p w14:paraId="65BB1722">
      <w:pPr>
        <w:pStyle w:val="19"/>
      </w:pPr>
      <w:r>
        <w:t>其中，q_func(y)表示代码的功能正确性得分，通过单元测试通过率计算；q_sec(y)为安全性得分，基于静态分析工具的漏洞检测率计算；q_read(y)为可读性得分，通过CodeBLEU等指标衡量；q_maint(y)为可维护性得分，综合考虑代码复杂度和模块化程度。w1至w4为对应的权重系数，本文通过专家调研确定其默认取值分别为0.4、0.25、0.2和0.15。</w:t>
      </w:r>
    </w:p>
    <w:p w14:paraId="3670DE1C">
      <w:pPr>
        <w:pStyle w:val="4"/>
      </w:pPr>
      <w:r>
        <w:t>3.2 QGCG框架总体设计</w:t>
      </w:r>
    </w:p>
    <w:tbl>
      <w:tblPr>
        <w:tblW w:type="auto" w:w="0"/>
        <w:tblLook w:firstColumn="1" w:firstRow="1" w:lastColumn="0" w:lastRow="0" w:noHBand="0" w:noVBand="1" w:val="04A0"/>
      </w:tblPr>
      <w:tblGrid>
        <w:gridCol w:w="4536"/>
        <w:gridCol w:w="4536"/>
      </w:tblGrid>
      <w:tr>
        <w:tc>
          <w:tcPr>
            <w:tcW w:type="dxa" w:w="4536"/>
          </w:tcPr>
          <w:p>
            <w:r>
              <w:t>模块名称</w:t>
            </w:r>
          </w:p>
        </w:tc>
        <w:tc>
          <w:tcPr>
            <w:tcW w:type="dxa" w:w="4536"/>
          </w:tcPr>
          <w:p>
            <w:r>
              <w:t>核心功能</w:t>
            </w:r>
          </w:p>
        </w:tc>
      </w:tr>
      <w:tr>
        <w:tc>
          <w:tcPr>
            <w:tcW w:type="dxa" w:w="4536"/>
          </w:tcPr>
          <w:p>
            <w:r>
              <w:t>问题分析模块</w:t>
            </w:r>
          </w:p>
        </w:tc>
        <w:tc>
          <w:tcPr>
            <w:tcW w:type="dxa" w:w="4536"/>
          </w:tcPr>
          <w:p>
            <w:r>
              <w:t>解析任务规范并识别关键约束</w:t>
            </w:r>
          </w:p>
        </w:tc>
      </w:tr>
    </w:tbl>
    <w:tbl>
      <w:tblPr>
        <w:tblW w:type="auto" w:w="0"/>
        <w:tblLook w:firstColumn="1" w:firstRow="1" w:lastColumn="0" w:lastRow="0" w:noHBand="0" w:noVBand="1" w:val="04A0"/>
      </w:tblPr>
      <w:tblGrid>
        <w:gridCol w:w="4536"/>
        <w:gridCol w:w="4536"/>
      </w:tblGrid>
      <w:tr>
        <w:tc>
          <w:tcPr>
            <w:tcW w:type="dxa" w:w="4536"/>
          </w:tcPr>
          <w:p>
            <w:r>
              <w:t>模型</w:t>
            </w:r>
          </w:p>
        </w:tc>
        <w:tc>
          <w:tcPr>
            <w:tcW w:type="dxa" w:w="4536"/>
          </w:tcPr>
          <w:p>
            <w:r>
              <w:t>精度</w:t>
            </w:r>
          </w:p>
        </w:tc>
      </w:tr>
      <w:tr>
        <w:tc>
          <w:tcPr>
            <w:tcW w:type="dxa" w:w="4536"/>
          </w:tcPr>
          <w:p>
            <w:r>
              <w:t>U-Net</w:t>
            </w:r>
          </w:p>
        </w:tc>
        <w:tc>
          <w:tcPr>
            <w:tcW w:type="dxa" w:w="4536"/>
          </w:tcPr>
          <w:p>
            <w:r>
              <w:t>0.92</w:t>
            </w:r>
          </w:p>
        </w:tc>
      </w:tr>
      <w:tr>
        <w:tc>
          <w:tcPr>
            <w:tcW w:type="dxa" w:w="4536"/>
          </w:tcPr>
          <w:p>
            <w:r>
              <w:t>Claude-3.5</w:t>
            </w:r>
          </w:p>
        </w:tc>
        <w:tc>
          <w:tcPr>
            <w:tcW w:type="dxa" w:w="4536"/>
          </w:tcPr>
          <w:p>
            <w:r>
              <w:t>78.2%</w:t>
            </w:r>
          </w:p>
        </w:tc>
      </w:tr>
    </w:tbl>
    <w:p w14:paraId="76CD0AE9">
      <w:pPr>
        <w:jc w:val="center"/>
      </w:pPr>
      <w:r>
        <w:drawing>
          <wp:inline distT="0" distB="0" distL="114300" distR="114300">
            <wp:extent cx="4608195" cy="860425"/>
            <wp:effectExtent l="0" t="0" r="1905"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608576" cy="860943"/>
                    </a:xfrm>
                    <a:prstGeom prst="rect">
                      <a:avLst/>
                    </a:prstGeom>
                  </pic:spPr>
                </pic:pic>
              </a:graphicData>
            </a:graphic>
          </wp:inline>
        </w:drawing>
      </w:r>
    </w:p>
    <w:p w14:paraId="0F005BE1">
      <w:pPr>
        <w:pStyle w:val="15"/>
      </w:pPr>
      <w:r>
        <w:t>图3-1 QGCG框架架构图</w:t>
      </w:r>
    </w:p>
    <w:p w14:paraId="799ED7D7">
      <w:pPr>
        <w:pStyle w:val="19"/>
      </w:pPr>
      <w:r/>
    </w:p>
    <w:p w14:paraId="78E88F54">
      <w:pPr>
        <w:pStyle w:val="5"/>
      </w:pPr>
      <w:r>
        <w:t>3.2.1 框架设计思想</w:t>
      </w:r>
    </w:p>
    <w:p w14:paraId="2EA9AD17">
      <w:pPr>
        <w:pStyle w:val="19"/>
      </w:pPr>
      <w:r>
        <w:rPr>
          <w:b w:val="0"/>
          <w:rFonts w:eastAsia="楷体"/>
        </w:rPr>
        <w:t>QGCG框架的设计理念是将代码生成过程从单次前向推理扩展为多阶段质量引导流程。与传统的直接生成方式不同，QGCG在生成前对输入进行结构化分析，在生成过程中注入质量约束，在生成后通过测试反馈进行迭代优化。这一设计遵循了软件工程中质量保证的基本理念——通过过程控制而非事后检验来保障产品质量。</w:t>
      </w:r>
    </w:p>
    <w:p>
      <w:pPr>
        <w:pStyle w:val="19"/>
      </w:pPr>
      <w:r>
        <w:t xml:space="preserve">核心创新在于模块化设计</w:t>
      </w:r>
    </w:p>
    <w:p>
      <w:pPr>
        <w:pStyle w:val="19"/>
      </w:pPr>
      <w:r>
        <w:t xml:space="preserve">每个模块可独立优化</w:t>
      </w:r>
    </w:p>
    <w:p>
      <w:pPr>
        <w:pStyle w:val="19"/>
      </w:pPr>
      <w:r>
        <w:t xml:space="preserve">测试写入段B</w:t>
      </w:r>
    </w:p>
    <w:p w14:paraId="5B8A4759">
      <w:pPr>
        <w:pStyle w:val="5"/>
      </w:pPr>
      <w:r>
        <w:t>3.2.2 模块组成与交互</w:t>
      </w:r>
    </w:p>
    <w:p w14:paraId="0D1FF645">
      <w:pPr>
        <w:pStyle w:val="19"/>
        <w:rPr>
          <w:rFonts w:hint="default" w:eastAsia="宋体"/>
          <w:lang w:val="en-US" w:eastAsia="zh-CN"/>
        </w:rPr>
      </w:pPr>
      <w:r>
        <w:t>QGCG框架包含四个核心模块，以流水线方式协作。问题分析模块接收原始任务描述，输出结构化的需求规范。上下文增强模块基于需求规范检索相关代码示例和API文档，生成增强上下文。模板引导模块将结构化需求和增强上下文组装为质量约束提示。迭代优化模块接收模型生成的代码，运行测试并反馈修正建议。四个模块之间通过明确的数据接口传递信息，每个模块的改进不会影响其他模块的正常运行。</w:t>
      </w:r>
      <w:r>
        <w:rPr>
          <w:rFonts w:hint="eastAsia"/>
          <w:lang w:val="en-US" w:eastAsia="zh-CN"/>
        </w:rPr>
        <w:t xml:space="preserve">  </w:t>
      </w:r>
      <w:r>
        <w:rPr>
          <w:rFonts w:hint="eastAsia" w:ascii="微软雅黑" w:hAnsi="微软雅黑" w:eastAsia="微软雅黑" w:cs="微软雅黑"/>
          <w:lang w:val="en-US" w:eastAsia="zh-CN"/>
        </w:rPr>
        <w:t>喂</w:t>
      </w:r>
      <w:r>
        <w:rPr>
          <w:rFonts w:hint="eastAsia"/>
          <w:lang w:val="en-US" w:eastAsia="zh-CN"/>
        </w:rPr>
        <w:t>，</w:t>
      </w:r>
      <w:r>
        <w:rPr>
          <w:rFonts w:hint="eastAsia" w:ascii="楷体" w:hAnsi="楷体" w:eastAsia="楷体" w:cs="楷体"/>
          <w:b/>
          <w:bCs/>
          <w:lang w:val="en-US" w:eastAsia="zh-CN"/>
        </w:rPr>
        <w:t>看</w:t>
      </w:r>
      <w:r>
        <w:rPr>
          <w:rFonts w:hint="eastAsia"/>
          <w:b/>
          <w:bCs/>
          <w:lang w:val="en-US" w:eastAsia="zh-CN"/>
        </w:rPr>
        <w:t>到了吗？</w:t>
      </w:r>
    </w:p>
    <w:p w14:paraId="2BA90A25">
      <w:pPr>
        <w:pStyle w:val="4"/>
      </w:pPr>
      <w:r>
        <w:t>3.3 核心模块详细设计</w:t>
      </w:r>
      <w:bookmarkStart w:id="0" w:name="_GoBack"/>
      <w:bookmarkEnd w:id="0"/>
    </w:p>
    <w:p w14:paraId="213E451F">
      <w:pPr>
        <w:pStyle w:val="5"/>
      </w:pPr>
      <w:r>
        <w:t>3.3.1 问题分析模块</w:t>
      </w:r>
    </w:p>
    <w:p w14:paraId="1D4433C2">
      <w:pPr>
        <w:pStyle w:val="19"/>
      </w:pPr>
      <w:r>
        <w:t>问题分析模块对输入的自然语言描述进行三层解析：功能层提取核心功能需求和预期行为；约束层识别性能要求、安全限制和兼容性条件；边界层挖掘隐含的边界条件，如空输入、极端值和并发场景。该模块通过一组启发式规则和大语言模型辅助分析相结合的方式实现，能够将非结构化的自然语言需求转化为结构化的任务规范。这种需求结构化方法与Zhang等人[18]在CodeReviewer中采用的代码理解思路一脉相承，有效减少因需求理解偏差导致的生成错误。</w:t>
      </w:r>
    </w:p>
    <w:p w14:paraId="37EF567C">
      <w:pPr>
        <w:pStyle w:val="5"/>
      </w:pPr>
      <w:r>
        <w:t>3.3.2 上下文增强模块</w:t>
      </w:r>
    </w:p>
    <w:p w14:paraId="24A4C931">
      <w:pPr>
        <w:pStyle w:val="19"/>
      </w:pPr>
      <w:r>
        <w:t>上下文增强模块通过两种途径丰富模型的输入上下文。代码示例检索基于向量相似度从预构建的代码库中检索与当前任务相关的代码片段，为模型提供风格和模式参考。知识注入则将目标语言的编码规范、常用API文档和已知安全模式作为背景知识添加到提示中，确保模型在生成代码时能够参考权威的编程实践。检索和注入的内容经过去重和相关性排序，避免因上下文过长而降低模型性能。</w:t>
      </w:r>
    </w:p>
    <w:p w14:paraId="5F5C69FB">
      <w:pPr>
        <w:pStyle w:val="5"/>
      </w:pPr>
      <w:r>
        <w:t>3.3.3 结构化提示模板设计</w:t>
      </w:r>
    </w:p>
    <w:p w14:paraId="6F509833">
      <w:pPr>
        <w:pStyle w:val="19"/>
      </w:pPr>
      <w:r>
        <w:t>本文设计的结构化提示模板包含五个组成部分：角色定义指定模型扮演资深软件工程师的角色，建立质量意识；任务规范以结构化格式呈现功能需求，包含输入输出规格、约束条件和异常处理要求；质量约束明确列出编码规范、安全要求和性能约束；示例引导提供符合质量标准的代码示例作为参考；分步生成指令要求模型按照分析、设计、编码、自检的流程逐步生成代码。该模板设计遵循最小充分性原则，只包含对质量提升有显著贡献的组件。</w:t>
      </w:r>
    </w:p>
    <w:p w14:paraId="699A2379">
      <w:pPr>
        <w:pStyle w:val="5"/>
      </w:pPr>
      <w:r>
        <w:t>3.3.4 迭代优化模块</w:t>
      </w:r>
    </w:p>
    <w:p w14:paraId="42FC8A54">
      <w:pPr>
        <w:pStyle w:val="19"/>
      </w:pPr>
      <w:r>
        <w:t>迭代优化模块通过测试反馈机制对生成的代码进行多轮修正，其设计灵感来源于Shinn等人[8]提出的Reflexion框架。在每轮迭代中，模块将生成的代码提交到测试环境中运行，收集测试结果和错误信息。然后，将代码、测试结果和错误分析组装为修正提示，输入模型获取改进版本。该过程持续进行直到代码通过所有测试或达到最大迭代次数。在实验中，最大迭代次数设为3次，实际平均迭代次数为1.7次，表明大多数代码在1至2轮修正后即可达到正确标准。</w:t>
      </w:r>
    </w:p>
    <w:p w14:paraId="0AAD4403">
      <w:pPr>
        <w:pStyle w:val="4"/>
      </w:pPr>
      <w:r>
        <w:t>3.4 本章小结</w:t>
      </w:r>
    </w:p>
    <w:p w14:paraId="248A473F">
      <w:pPr>
        <w:pStyle w:val="19"/>
      </w:pPr>
      <w:r>
        <w:t>本章详细阐述了QGCG框架的设计与实现。通过将代码生成过程分解为问题分析、上下文增强、模板引导和迭代优化四个阶段，实现了对生成代码质量的系统性提升。框架的模块化设计使得各组件可以独立改进和替换，为后续的持续优化提供了灵活性。</w:t>
      </w:r>
    </w:p>
    <w:p w14:paraId="4305A848">
      <w:pPr>
        <w:pStyle w:val="3"/>
      </w:pPr>
      <w:r>
        <w:t>第4章 实验与分析</w:t>
      </w:r>
    </w:p>
    <w:p w14:paraId="40D7CB1B">
      <w:pPr>
        <w:pStyle w:val="4"/>
      </w:pPr>
      <w:r>
        <w:t>4.1 实验设置</w:t>
      </w:r>
    </w:p>
    <w:p w14:paraId="4FF60268">
      <w:pPr>
        <w:pStyle w:val="5"/>
      </w:pPr>
      <w:r>
        <w:t>4.1.1 数据集与实验环境</w:t>
      </w:r>
    </w:p>
    <w:p>
      <w:pPr>
        <w:pStyle w:val="15"/>
      </w:pPr>
      <w:r>
        <w:t xml:space="preserve">表4-1 实验数据集统计信息</w:t>
      </w:r>
    </w:p>
    <w:p w14:paraId="563451E8">
      <w:pPr>
        <w:pStyle w:val="19"/>
      </w:pPr>
      <w:r>
        <w:t>实验在三个广泛使用的代码生成基准上进行评估，各数据集的基本信息如表4-1所示。HumanEval包含164个Python函数级编程任务，每个任务提供函数签名、文档字符串和单元测试用例，是评估功能正确性的标准基准。MBPP包含974个入门级Python编程问题，覆盖字符串处理、数学计算和数据结构等常见场景。APPSDataset包含5000道来自在线编程竞赛的题目，难度涵盖入门到竞赛级别。所有实验在配备NVIDIA A100 GPU的服务器上进行。</w:t>
      </w:r>
    </w:p>
    <w:p>
      <w:pPr>
        <w:pStyle w:val="15"/>
      </w:pPr>
      <w:r>
        <w:t xml:space="preserve"/>
      </w:r>
    </w:p>
    <w:p>
      <w:pPr>
        <w:pStyle w:val="Caption"/>
      </w:pPr>
      <w:r>
        <w:t xml:space="preserve"/>
      </w:r>
    </w:p>
    <w:p>
      <w:pPr>
        <w:pStyle w:val="Caption"/>
      </w:pPr>
      <w:r>
        <w:t xml:space="preserve"/>
      </w:r>
    </w:p>
    <w:tbl>
      <w:tblPr>
        <w:tblStyle w:val="32"/>
        <w:tblW w:w="0" w:type="auto"/>
        <w:tblInd w:w="0" w:type="dxa"/>
        <w:tblLayout w:type="autofit"/>
        <w:tblCellMar>
          <w:top w:w="0" w:type="dxa"/>
          <w:left w:w="108" w:type="dxa"/>
          <w:bottom w:w="0" w:type="dxa"/>
          <w:right w:w="108" w:type="dxa"/>
        </w:tblCellMar>
      </w:tblPr>
      <w:tblGrid>
        <w:gridCol w:w="1814"/>
        <w:gridCol w:w="1814"/>
        <w:gridCol w:w="1814"/>
        <w:gridCol w:w="1814"/>
        <w:gridCol w:w="1814"/>
      </w:tblGrid>
      <w:tr w14:paraId="43467FE4">
        <w:tc>
          <w:tcPr>
            <w:tcW w:w="1814" w:type="dxa"/>
          </w:tcPr>
          <w:p w14:paraId="58590EEF">
            <w:r>
              <w:t>数据集</w:t>
            </w:r>
          </w:p>
        </w:tc>
        <w:tc>
          <w:tcPr>
            <w:tcW w:w="1814" w:type="dxa"/>
          </w:tcPr>
          <w:p w14:paraId="799CB9D3">
            <w:r>
              <w:t>任务数</w:t>
            </w:r>
          </w:p>
        </w:tc>
        <w:tc>
          <w:tcPr>
            <w:tcW w:w="1814" w:type="dxa"/>
          </w:tcPr>
          <w:p w14:paraId="2BC04BA6">
            <w:r>
              <w:t>语言</w:t>
            </w:r>
          </w:p>
        </w:tc>
        <w:tc>
          <w:tcPr>
            <w:tcW w:w="1814" w:type="dxa"/>
          </w:tcPr>
          <w:p w14:paraId="11276B17">
            <w:r>
              <w:t>难度</w:t>
            </w:r>
          </w:p>
        </w:tc>
        <w:tc>
          <w:tcPr>
            <w:tcW w:w="1814" w:type="dxa"/>
          </w:tcPr>
          <w:p w14:paraId="52385760">
            <w:r>
              <w:t>类型</w:t>
            </w:r>
          </w:p>
        </w:tc>
      </w:tr>
      <w:tr w14:paraId="2C65E178">
        <w:tblPrEx>
          <w:tblCellMar>
            <w:top w:w="0" w:type="dxa"/>
            <w:left w:w="108" w:type="dxa"/>
            <w:bottom w:w="0" w:type="dxa"/>
            <w:right w:w="108" w:type="dxa"/>
          </w:tblCellMar>
        </w:tblPrEx>
        <w:tc>
          <w:tcPr>
            <w:tcW w:w="1814" w:type="dxa"/>
          </w:tcPr>
          <w:p w14:paraId="53A79444">
            <w:r>
              <w:t>HumanEval</w:t>
            </w:r>
          </w:p>
        </w:tc>
        <w:tc>
          <w:tcPr>
            <w:tcW w:w="1814" w:type="dxa"/>
          </w:tcPr>
          <w:p w14:paraId="383ECC86">
            <w:r>
              <w:t>164</w:t>
            </w:r>
          </w:p>
        </w:tc>
        <w:tc>
          <w:tcPr>
            <w:tcW w:w="1814" w:type="dxa"/>
          </w:tcPr>
          <w:p w14:paraId="74DCC286">
            <w:r>
              <w:t>Python</w:t>
            </w:r>
          </w:p>
        </w:tc>
        <w:tc>
          <w:tcPr>
            <w:tcW w:w="1814" w:type="dxa"/>
          </w:tcPr>
          <w:p w14:paraId="5DBEE3E0">
            <w:r>
              <w:t>函数级</w:t>
            </w:r>
          </w:p>
        </w:tc>
        <w:tc>
          <w:tcPr>
            <w:tcW w:w="1814" w:type="dxa"/>
          </w:tcPr>
          <w:p w14:paraId="1B61BDFB">
            <w:r>
              <w:t>函数实现</w:t>
            </w:r>
          </w:p>
        </w:tc>
      </w:tr>
      <w:tr w14:paraId="56FC50E1">
        <w:tblPrEx>
          <w:tblCellMar>
            <w:top w:w="0" w:type="dxa"/>
            <w:left w:w="108" w:type="dxa"/>
            <w:bottom w:w="0" w:type="dxa"/>
            <w:right w:w="108" w:type="dxa"/>
          </w:tblCellMar>
        </w:tblPrEx>
        <w:tc>
          <w:tcPr>
            <w:tcW w:w="1814" w:type="dxa"/>
          </w:tcPr>
          <w:p w14:paraId="30AC0223">
            <w:r>
              <w:t>MBPP</w:t>
            </w:r>
          </w:p>
        </w:tc>
        <w:tc>
          <w:tcPr>
            <w:tcW w:w="1814" w:type="dxa"/>
          </w:tcPr>
          <w:p w14:paraId="366F99FC">
            <w:r>
              <w:t>974</w:t>
            </w:r>
          </w:p>
        </w:tc>
        <w:tc>
          <w:tcPr>
            <w:tcW w:w="1814" w:type="dxa"/>
          </w:tcPr>
          <w:p w14:paraId="6EFCDBBD">
            <w:r>
              <w:t>Python</w:t>
            </w:r>
          </w:p>
        </w:tc>
        <w:tc>
          <w:tcPr>
            <w:tcW w:w="1814" w:type="dxa"/>
          </w:tcPr>
          <w:p w14:paraId="76003639">
            <w:r>
              <w:t>入门级</w:t>
            </w:r>
          </w:p>
        </w:tc>
        <w:tc>
          <w:tcPr>
            <w:tcW w:w="1814" w:type="dxa"/>
          </w:tcPr>
          <w:p w14:paraId="288795EE">
            <w:r>
              <w:t>通用编程</w:t>
            </w:r>
          </w:p>
        </w:tc>
      </w:tr>
      <w:tr w14:paraId="202D4D09">
        <w:tblPrEx>
          <w:tblCellMar>
            <w:top w:w="0" w:type="dxa"/>
            <w:left w:w="108" w:type="dxa"/>
            <w:bottom w:w="0" w:type="dxa"/>
            <w:right w:w="108" w:type="dxa"/>
          </w:tblCellMar>
        </w:tblPrEx>
        <w:tc>
          <w:tcPr>
            <w:tcW w:w="1814" w:type="dxa"/>
          </w:tcPr>
          <w:p w14:paraId="6080E4B5">
            <w:r>
              <w:t>APPSDataset</w:t>
            </w:r>
          </w:p>
        </w:tc>
        <w:tc>
          <w:tcPr>
            <w:tcW w:w="1814" w:type="dxa"/>
          </w:tcPr>
          <w:p w14:paraId="1AB4F256">
            <w:r>
              <w:t>5000</w:t>
            </w:r>
          </w:p>
        </w:tc>
        <w:tc>
          <w:tcPr>
            <w:tcW w:w="1814" w:type="dxa"/>
          </w:tcPr>
          <w:p w14:paraId="14998BD3">
            <w:r>
              <w:t>Python</w:t>
            </w:r>
          </w:p>
        </w:tc>
        <w:tc>
          <w:tcPr>
            <w:tcW w:w="1814" w:type="dxa"/>
          </w:tcPr>
          <w:p w14:paraId="30CA9FD2">
            <w:r>
              <w:t>竞赛级</w:t>
            </w:r>
          </w:p>
        </w:tc>
        <w:tc>
          <w:tcPr>
            <w:tcW w:w="1814" w:type="dxa"/>
          </w:tcPr>
          <w:p w14:paraId="294F840C">
            <w:r>
              <w:t>算法竞赛</w:t>
            </w:r>
          </w:p>
        </w:tc>
      </w:tr>
    </w:tbl>
    <w:p w14:paraId="759D78FB">
      <w:pPr>
        <w:pStyle w:val="19"/>
      </w:pPr>
      <w:r/>
    </w:p>
    <w:p w14:paraId="0FF8B99B">
      <w:pPr>
        <w:pStyle w:val="5"/>
      </w:pPr>
      <w:r>
        <w:t>4.1.2 评估指标与基线方法</w:t>
      </w:r>
    </w:p>
    <w:p w14:paraId="4D119752">
      <w:pPr>
        <w:pStyle w:val="19"/>
      </w:pPr>
      <w:r>
        <w:t>实验采用四个评估指标：Pass@1和Pass@10分别衡量单次和十次采样的通过率；CodeBLEU评估代码相似度；Security Score量化安全漏洞密度，基于Bandit静态分析工具计算。基线方法为各模型的默认零样本生成，不使用任何提示优化策略。实验使用GPT-4、Claude-3.5-Sonnet、DeepSeek-Coder-33B和CodeLlama-34B四个模型作为测试平台，温度参数设为0.2以保证生成的确定性。</w:t>
      </w:r>
    </w:p>
    <w:p w14:paraId="14315AF9">
      <w:pPr>
        <w:pStyle w:val="4"/>
      </w:pPr>
      <w:r>
        <w:t>4.2 主实验结果</w:t>
      </w:r>
    </w:p>
    <w:p w14:paraId="16281916">
      <w:pPr>
        <w:pStyle w:val="5"/>
      </w:pPr>
      <w:r>
        <w:t>4.2.1 Pass@1结果分析</w:t>
      </w:r>
    </w:p>
    <w:p w14:paraId="3DFCE38C">
      <w:pPr>
        <w:pStyle w:val="19"/>
        <w:bidi w:val="0"/>
      </w:pPr>
      <w:r>
        <w:t>表4-2展示了不同方法在三个基准数据集上的Pass@1结果。QGCG方法在所有数据集和模型上均取得了优于基线的表现。以GPT-4为例，在HumanEval上Pass@1从基线的80.5%提升至91.8%，在MBPP上从82.1%提升至93.7%，在APPSDataset上从35.2%提升至50.9%。提升幅度在APPSDataset上最为显著，这是因为竞赛级题目通常包含更复杂的需求描述，QGCG的问题分析模块在此类任务上发挥了更大的作用。</w:t>
      </w:r>
    </w:p>
    <w:p w14:paraId="4EEC3AFF">
      <w:pPr>
        <w:pStyle w:val="15"/>
      </w:pPr>
      <w:r>
        <w:t>表4-2 不同方法在基准数据集上的Pass@1结果（%）</w:t>
      </w:r>
    </w:p>
    <w:tbl>
      <w:tblPr>
        <w:tblStyle w:val="32"/>
        <w:tblW w:w="0" w:type="auto"/>
        <w:tblInd w:w="0" w:type="dxa"/>
        <w:tblLayout w:type="autofit"/>
        <w:tblCellMar>
          <w:top w:w="0" w:type="dxa"/>
          <w:left w:w="108" w:type="dxa"/>
          <w:bottom w:w="0" w:type="dxa"/>
          <w:right w:w="108" w:type="dxa"/>
        </w:tblCellMar>
      </w:tblPr>
      <w:tblGrid>
        <w:gridCol w:w="1814"/>
        <w:gridCol w:w="1814"/>
        <w:gridCol w:w="1814"/>
        <w:gridCol w:w="1814"/>
        <w:gridCol w:w="1814"/>
      </w:tblGrid>
      <w:tr w14:paraId="455A0694">
        <w:tblPrEx>
          <w:tblCellMar>
            <w:top w:w="0" w:type="dxa"/>
            <w:left w:w="108" w:type="dxa"/>
            <w:bottom w:w="0" w:type="dxa"/>
            <w:right w:w="108" w:type="dxa"/>
          </w:tblCellMar>
        </w:tblPrEx>
        <w:tc>
          <w:tcPr>
            <w:tcW w:w="1814" w:type="dxa"/>
          </w:tcPr>
          <w:p w14:paraId="5ECA39D2">
            <w:r>
              <w:t>模型</w:t>
            </w:r>
          </w:p>
        </w:tc>
        <w:tc>
          <w:tcPr>
            <w:tcW w:w="1814" w:type="dxa"/>
          </w:tcPr>
          <w:p w14:paraId="25E34D00">
            <w:r>
              <w:t>方法</w:t>
            </w:r>
          </w:p>
        </w:tc>
        <w:tc>
          <w:tcPr>
            <w:tcW w:w="1814" w:type="dxa"/>
          </w:tcPr>
          <w:p w14:paraId="586044C9">
            <w:r>
              <w:t>HumanEval</w:t>
            </w:r>
          </w:p>
        </w:tc>
        <w:tc>
          <w:tcPr>
            <w:tcW w:w="1814" w:type="dxa"/>
          </w:tcPr>
          <w:p w14:paraId="23AEA9D5">
            <w:r>
              <w:t>MBPP</w:t>
            </w:r>
          </w:p>
        </w:tc>
        <w:tc>
          <w:tcPr>
            <w:tcW w:w="1814" w:type="dxa"/>
          </w:tcPr>
          <w:p w14:paraId="752133A8">
            <w:r>
              <w:t>APPSDataset</w:t>
            </w:r>
          </w:p>
        </w:tc>
      </w:tr>
      <w:tr w14:paraId="2F4C2656">
        <w:tblPrEx>
          <w:tblCellMar>
            <w:top w:w="0" w:type="dxa"/>
            <w:left w:w="108" w:type="dxa"/>
            <w:bottom w:w="0" w:type="dxa"/>
            <w:right w:w="108" w:type="dxa"/>
          </w:tblCellMar>
        </w:tblPrEx>
        <w:tc>
          <w:tcPr>
            <w:tcW w:w="1814" w:type="dxa"/>
          </w:tcPr>
          <w:p w14:paraId="02E952EA">
            <w:r>
              <w:t>GPT-4</w:t>
            </w:r>
          </w:p>
        </w:tc>
        <w:tc>
          <w:tcPr>
            <w:tcW w:w="1814" w:type="dxa"/>
          </w:tcPr>
          <w:p w14:paraId="677512ED">
            <w:r>
              <w:t>Baseline</w:t>
            </w:r>
          </w:p>
        </w:tc>
        <w:tc>
          <w:tcPr>
            <w:tcW w:w="1814" w:type="dxa"/>
          </w:tcPr>
          <w:p w14:paraId="677D556D">
            <w:r>
              <w:t>80.5</w:t>
            </w:r>
          </w:p>
        </w:tc>
        <w:tc>
          <w:tcPr>
            <w:tcW w:w="1814" w:type="dxa"/>
          </w:tcPr>
          <w:p w14:paraId="077966BC">
            <w:r>
              <w:t>82.1</w:t>
            </w:r>
          </w:p>
        </w:tc>
        <w:tc>
          <w:tcPr>
            <w:tcW w:w="1814" w:type="dxa"/>
          </w:tcPr>
          <w:p w14:paraId="5272ACBA">
            <w:r>
              <w:t>35.2</w:t>
            </w:r>
          </w:p>
        </w:tc>
      </w:tr>
      <w:tr w14:paraId="6D57124B">
        <w:tblPrEx>
          <w:tblCellMar>
            <w:top w:w="0" w:type="dxa"/>
            <w:left w:w="108" w:type="dxa"/>
            <w:bottom w:w="0" w:type="dxa"/>
            <w:right w:w="108" w:type="dxa"/>
          </w:tblCellMar>
        </w:tblPrEx>
        <w:tc>
          <w:tcPr>
            <w:tcW w:w="1814" w:type="dxa"/>
          </w:tcPr>
          <w:p w14:paraId="07F27228">
            <w:r>
              <w:t>GPT-4</w:t>
            </w:r>
          </w:p>
        </w:tc>
        <w:tc>
          <w:tcPr>
            <w:tcW w:w="1814" w:type="dxa"/>
          </w:tcPr>
          <w:p w14:paraId="58B843A8">
            <w:r>
              <w:t>QGCG</w:t>
            </w:r>
          </w:p>
        </w:tc>
        <w:tc>
          <w:tcPr>
            <w:tcW w:w="1814" w:type="dxa"/>
          </w:tcPr>
          <w:p w14:paraId="1C37EBE9">
            <w:r>
              <w:t>91.8</w:t>
            </w:r>
          </w:p>
        </w:tc>
        <w:tc>
          <w:tcPr>
            <w:tcW w:w="1814" w:type="dxa"/>
          </w:tcPr>
          <w:p w14:paraId="6D3DB215">
            <w:r>
              <w:t>93.7</w:t>
            </w:r>
          </w:p>
        </w:tc>
        <w:tc>
          <w:tcPr>
            <w:tcW w:w="1814" w:type="dxa"/>
          </w:tcPr>
          <w:p w14:paraId="7EBAC751">
            <w:r>
              <w:t>50.9</w:t>
            </w:r>
          </w:p>
        </w:tc>
      </w:tr>
      <w:tr w14:paraId="72D3896C">
        <w:tblPrEx>
          <w:tblCellMar>
            <w:top w:w="0" w:type="dxa"/>
            <w:left w:w="108" w:type="dxa"/>
            <w:bottom w:w="0" w:type="dxa"/>
            <w:right w:w="108" w:type="dxa"/>
          </w:tblCellMar>
        </w:tblPrEx>
        <w:tc>
          <w:tcPr>
            <w:tcW w:w="1814" w:type="dxa"/>
          </w:tcPr>
          <w:p w14:paraId="74D3E9E0">
            <w:r>
              <w:t>Claude-3.5</w:t>
            </w:r>
          </w:p>
        </w:tc>
        <w:tc>
          <w:tcPr>
            <w:tcW w:w="1814" w:type="dxa"/>
          </w:tcPr>
          <w:p w14:paraId="4E92B87D">
            <w:r>
              <w:t>Baseline</w:t>
            </w:r>
          </w:p>
        </w:tc>
        <w:tc>
          <w:tcPr>
            <w:tcW w:w="1814" w:type="dxa"/>
          </w:tcPr>
          <w:p w14:paraId="312FBACB">
            <w:r>
              <w:t>77.3</w:t>
            </w:r>
          </w:p>
        </w:tc>
        <w:tc>
          <w:tcPr>
            <w:tcW w:w="1814" w:type="dxa"/>
          </w:tcPr>
          <w:p w14:paraId="5FB407F1">
            <w:r>
              <w:t>79.8</w:t>
            </w:r>
          </w:p>
        </w:tc>
        <w:tc>
          <w:tcPr>
            <w:tcW w:w="1814" w:type="dxa"/>
          </w:tcPr>
          <w:p w14:paraId="72960209">
            <w:r>
              <w:t>31.5</w:t>
            </w:r>
          </w:p>
        </w:tc>
      </w:tr>
      <w:tr w14:paraId="7EA67081">
        <w:tblPrEx>
          <w:tblCellMar>
            <w:top w:w="0" w:type="dxa"/>
            <w:left w:w="108" w:type="dxa"/>
            <w:bottom w:w="0" w:type="dxa"/>
            <w:right w:w="108" w:type="dxa"/>
          </w:tblCellMar>
        </w:tblPrEx>
        <w:tc>
          <w:tcPr>
            <w:tcW w:w="1814" w:type="dxa"/>
          </w:tcPr>
          <w:p w14:paraId="67C0D957">
            <w:r>
              <w:t>Claude-3.5</w:t>
            </w:r>
          </w:p>
        </w:tc>
        <w:tc>
          <w:tcPr>
            <w:tcW w:w="1814" w:type="dxa"/>
          </w:tcPr>
          <w:p w14:paraId="719BFE77">
            <w:r>
              <w:t>QGCG</w:t>
            </w:r>
          </w:p>
        </w:tc>
        <w:tc>
          <w:tcPr>
            <w:tcW w:w="1814" w:type="dxa"/>
          </w:tcPr>
          <w:p w14:paraId="4F4DCF3B">
            <w:r>
              <w:t>89.1</w:t>
            </w:r>
          </w:p>
        </w:tc>
        <w:tc>
          <w:tcPr>
            <w:tcW w:w="1814" w:type="dxa"/>
          </w:tcPr>
          <w:p w14:paraId="6CDB3A0A">
            <w:r>
              <w:t>91.2</w:t>
            </w:r>
          </w:p>
        </w:tc>
        <w:tc>
          <w:tcPr>
            <w:tcW w:w="1814" w:type="dxa"/>
          </w:tcPr>
          <w:p w14:paraId="6F86C273">
            <w:r>
              <w:t>46.3</w:t>
            </w:r>
          </w:p>
        </w:tc>
      </w:tr>
      <w:tr w14:paraId="2794313D">
        <w:tblPrEx>
          <w:tblCellMar>
            <w:top w:w="0" w:type="dxa"/>
            <w:left w:w="108" w:type="dxa"/>
            <w:bottom w:w="0" w:type="dxa"/>
            <w:right w:w="108" w:type="dxa"/>
          </w:tblCellMar>
        </w:tblPrEx>
        <w:tc>
          <w:tcPr>
            <w:tcW w:w="1814" w:type="dxa"/>
          </w:tcPr>
          <w:p w14:paraId="05B67BD0">
            <w:r>
              <w:t>DeepSeek-33B</w:t>
            </w:r>
          </w:p>
        </w:tc>
        <w:tc>
          <w:tcPr>
            <w:tcW w:w="1814" w:type="dxa"/>
          </w:tcPr>
          <w:p w14:paraId="1AC8675B">
            <w:r>
              <w:t>Baseline</w:t>
            </w:r>
          </w:p>
        </w:tc>
        <w:tc>
          <w:tcPr>
            <w:tcW w:w="1814" w:type="dxa"/>
          </w:tcPr>
          <w:p w14:paraId="45CF81A4">
            <w:r>
              <w:t>58.3</w:t>
            </w:r>
          </w:p>
        </w:tc>
        <w:tc>
          <w:tcPr>
            <w:tcW w:w="1814" w:type="dxa"/>
          </w:tcPr>
          <w:p w14:paraId="5551C89F">
            <w:r>
              <w:t>61.7</w:t>
            </w:r>
          </w:p>
        </w:tc>
        <w:tc>
          <w:tcPr>
            <w:tcW w:w="1814" w:type="dxa"/>
          </w:tcPr>
          <w:p w14:paraId="229295E4">
            <w:r>
              <w:t>22.8</w:t>
            </w:r>
          </w:p>
        </w:tc>
      </w:tr>
      <w:tr w14:paraId="066EECFC">
        <w:tblPrEx>
          <w:tblCellMar>
            <w:top w:w="0" w:type="dxa"/>
            <w:left w:w="108" w:type="dxa"/>
            <w:bottom w:w="0" w:type="dxa"/>
            <w:right w:w="108" w:type="dxa"/>
          </w:tblCellMar>
        </w:tblPrEx>
        <w:tc>
          <w:tcPr>
            <w:tcW w:w="1814" w:type="dxa"/>
          </w:tcPr>
          <w:p w14:paraId="44DC00C7">
            <w:r>
              <w:t>DeepSeek-33B</w:t>
            </w:r>
          </w:p>
        </w:tc>
        <w:tc>
          <w:tcPr>
            <w:tcW w:w="1814" w:type="dxa"/>
          </w:tcPr>
          <w:p w14:paraId="219376A1">
            <w:r>
              <w:t>QGCG</w:t>
            </w:r>
          </w:p>
        </w:tc>
        <w:tc>
          <w:tcPr>
            <w:tcW w:w="1814" w:type="dxa"/>
          </w:tcPr>
          <w:p w14:paraId="545DB3BE">
            <w:r>
              <w:t>70.1</w:t>
            </w:r>
          </w:p>
        </w:tc>
        <w:tc>
          <w:tcPr>
            <w:tcW w:w="1814" w:type="dxa"/>
          </w:tcPr>
          <w:p w14:paraId="141CC596">
            <w:r>
              <w:t>74.5</w:t>
            </w:r>
          </w:p>
        </w:tc>
        <w:tc>
          <w:tcPr>
            <w:tcW w:w="1814" w:type="dxa"/>
          </w:tcPr>
          <w:p w14:paraId="3E36445A">
            <w:r>
              <w:t>35.1</w:t>
            </w:r>
          </w:p>
        </w:tc>
      </w:tr>
      <w:tr w14:paraId="53FD5C0C">
        <w:tblPrEx>
          <w:tblCellMar>
            <w:top w:w="0" w:type="dxa"/>
            <w:left w:w="108" w:type="dxa"/>
            <w:bottom w:w="0" w:type="dxa"/>
            <w:right w:w="108" w:type="dxa"/>
          </w:tblCellMar>
        </w:tblPrEx>
        <w:tc>
          <w:tcPr>
            <w:tcW w:w="1814" w:type="dxa"/>
          </w:tcPr>
          <w:p w14:paraId="5FC166FB">
            <w:r>
              <w:t>CodeLlama-34B</w:t>
            </w:r>
          </w:p>
        </w:tc>
        <w:tc>
          <w:tcPr>
            <w:tcW w:w="1814" w:type="dxa"/>
          </w:tcPr>
          <w:p w14:paraId="5548DF80">
            <w:r>
              <w:t>Baseline</w:t>
            </w:r>
          </w:p>
        </w:tc>
        <w:tc>
          <w:tcPr>
            <w:tcW w:w="1814" w:type="dxa"/>
          </w:tcPr>
          <w:p w14:paraId="27D665FB">
            <w:r>
              <w:t>53.6</w:t>
            </w:r>
          </w:p>
        </w:tc>
        <w:tc>
          <w:tcPr>
            <w:tcW w:w="1814" w:type="dxa"/>
          </w:tcPr>
          <w:p w14:paraId="25F5D5D2">
            <w:r>
              <w:t>56.2</w:t>
            </w:r>
          </w:p>
        </w:tc>
        <w:tc>
          <w:tcPr>
            <w:tcW w:w="1814" w:type="dxa"/>
          </w:tcPr>
          <w:p w14:paraId="31C96199">
            <w:r>
              <w:t>18.4</w:t>
            </w:r>
          </w:p>
        </w:tc>
      </w:tr>
      <w:tr w14:paraId="280FBD22">
        <w:tblPrEx>
          <w:tblCellMar>
            <w:top w:w="0" w:type="dxa"/>
            <w:left w:w="108" w:type="dxa"/>
            <w:bottom w:w="0" w:type="dxa"/>
            <w:right w:w="108" w:type="dxa"/>
          </w:tblCellMar>
        </w:tblPrEx>
        <w:tc>
          <w:tcPr>
            <w:tcW w:w="1814" w:type="dxa"/>
          </w:tcPr>
          <w:p w14:paraId="52E83E81">
            <w:r>
              <w:t>CodeLlama-34B</w:t>
            </w:r>
          </w:p>
        </w:tc>
        <w:tc>
          <w:tcPr>
            <w:tcW w:w="1814" w:type="dxa"/>
          </w:tcPr>
          <w:p w14:paraId="05F53093">
            <w:r>
              <w:t>QGCG</w:t>
            </w:r>
          </w:p>
        </w:tc>
        <w:tc>
          <w:tcPr>
            <w:tcW w:w="1814" w:type="dxa"/>
          </w:tcPr>
          <w:p w14:paraId="2F97CC90">
            <w:r>
              <w:t>64.8</w:t>
            </w:r>
          </w:p>
        </w:tc>
        <w:tc>
          <w:tcPr>
            <w:tcW w:w="1814" w:type="dxa"/>
          </w:tcPr>
          <w:p w14:paraId="76F47447">
            <w:r>
              <w:t>68.3</w:t>
            </w:r>
          </w:p>
        </w:tc>
        <w:tc>
          <w:tcPr>
            <w:tcW w:w="1814" w:type="dxa"/>
          </w:tcPr>
          <w:p w14:paraId="68EB4FE3">
            <w:r>
              <w:t>28.7</w:t>
            </w:r>
          </w:p>
        </w:tc>
      </w:tr>
    </w:tbl>
    <w:p w14:paraId="03C4E64B">
      <w:pPr>
        <w:pStyle w:val="5"/>
      </w:pPr>
      <w:r>
        <w:t>4.2.2 代码质量多维评估</w:t>
      </w:r>
    </w:p>
    <w:p w14:paraId="6EA827F3">
      <w:pPr>
        <w:pStyle w:val="19"/>
      </w:pPr>
      <w:r>
        <w:t>在CodeBLEU指标上，QGCG方法同样展现了稳定的提升。以HumanEval为例，GPT-4的CodeBLEU得分从基线的72.4提升至82.1，Claude-3.5-Sonnet从70.8提升至78.6。在安全评估方面，Security Score平均提升了18.4%，其中SQL注入类漏洞减少了62%，输入校验缺失问题减少了45%。值得注意的是，QGCG方法对不同规模的模型均表现出一致的改进效果。在DeepSeek-Coder-33B上，HumanEval Pass@1从58.3%提升至70.1%，相对提升幅度甚至超过了GPT-4，表明本文方法对于能力较弱的模型具有更大的提升空间。</w:t>
      </w:r>
    </w:p>
    <w:p w14:paraId="5379EE8E">
      <w:pPr>
        <w:pStyle w:val="4"/>
      </w:pPr>
      <w:r>
        <w:t>4.3 消融实验</w:t>
      </w:r>
    </w:p>
    <w:p w14:paraId="4107FA77">
      <w:pPr>
        <w:pStyle w:val="5"/>
      </w:pPr>
      <w:r>
        <w:t>4.3.1 实验设计</w:t>
      </w:r>
    </w:p>
    <w:p w14:paraId="2E737FAD">
      <w:pPr>
        <w:pStyle w:val="19"/>
      </w:pPr>
      <w:r>
        <w:t>为分析各模块的贡献，设计了系统性的消融实验。以GPT-4在HumanEval上的表现为基础，逐步移除各模块并记录Pass@1变化。完整的QGCG框架作为参照基准，依次移除迭代优化模块、上下文增强模块、问题分析模块和模板引导模块，分别记录每次移除后的性能。</w:t>
      </w:r>
    </w:p>
    <w:p w14:paraId="311361F4">
      <w:pPr>
        <w:pStyle w:val="5"/>
      </w:pPr>
      <w:r>
        <w:t>4.3.2 结果分析</w:t>
      </w:r>
    </w:p>
    <w:p w14:paraId="647A3D97">
      <w:pPr>
        <w:pStyle w:val="15"/>
      </w:pPr>
      <w:r>
        <w:t>表4-3 消融实验结果（GPT-4，HumanEval）</w:t>
      </w:r>
    </w:p>
    <w:tbl>
      <w:tblPr>
        <w:tblStyle w:val="32"/>
        <w:tblW w:w="0" w:type="auto"/>
        <w:tblInd w:w="0" w:type="dxa"/>
        <w:tblLayout w:type="autofit"/>
        <w:tblCellMar>
          <w:top w:w="0" w:type="dxa"/>
          <w:left w:w="108" w:type="dxa"/>
          <w:bottom w:w="0" w:type="dxa"/>
          <w:right w:w="108" w:type="dxa"/>
        </w:tblCellMar>
      </w:tblPr>
      <w:tblGrid>
        <w:gridCol w:w="2268"/>
        <w:gridCol w:w="2268"/>
        <w:gridCol w:w="2268"/>
        <w:gridCol w:w="2268"/>
      </w:tblGrid>
      <w:tr w14:paraId="13750480">
        <w:tblPrEx>
          <w:tblCellMar>
            <w:top w:w="0" w:type="dxa"/>
            <w:left w:w="108" w:type="dxa"/>
            <w:bottom w:w="0" w:type="dxa"/>
            <w:right w:w="108" w:type="dxa"/>
          </w:tblCellMar>
        </w:tblPrEx>
        <w:tc>
          <w:tcPr>
            <w:tcW w:w="2268" w:type="dxa"/>
          </w:tcPr>
          <w:p w14:paraId="0E92EE5E">
            <w:r>
              <w:t>配置</w:t>
            </w:r>
          </w:p>
        </w:tc>
        <w:tc>
          <w:tcPr>
            <w:tcW w:w="2268" w:type="dxa"/>
          </w:tcPr>
          <w:p w14:paraId="32A12D0A">
            <w:r>
              <w:t>Pass@1</w:t>
            </w:r>
          </w:p>
        </w:tc>
        <w:tc>
          <w:tcPr>
            <w:tcW w:w="2268" w:type="dxa"/>
          </w:tcPr>
          <w:p w14:paraId="5A6AF593">
            <w:r>
              <w:t>变化</w:t>
            </w:r>
          </w:p>
        </w:tc>
        <w:tc>
          <w:tcPr>
            <w:tcW w:w="2268" w:type="dxa"/>
          </w:tcPr>
          <w:p w14:paraId="695289E3">
            <w:r>
              <w:t>说明</w:t>
            </w:r>
          </w:p>
        </w:tc>
      </w:tr>
      <w:tr w14:paraId="379065F0">
        <w:tblPrEx>
          <w:tblCellMar>
            <w:top w:w="0" w:type="dxa"/>
            <w:left w:w="108" w:type="dxa"/>
            <w:bottom w:w="0" w:type="dxa"/>
            <w:right w:w="108" w:type="dxa"/>
          </w:tblCellMar>
        </w:tblPrEx>
        <w:tc>
          <w:tcPr>
            <w:tcW w:w="2268" w:type="dxa"/>
          </w:tcPr>
          <w:p w14:paraId="1265CCB6">
            <w:r>
              <w:t>完整QGCG</w:t>
            </w:r>
          </w:p>
        </w:tc>
        <w:tc>
          <w:tcPr>
            <w:tcW w:w="2268" w:type="dxa"/>
          </w:tcPr>
          <w:p w14:paraId="12C2E7F6">
            <w:r>
              <w:t>91.8%</w:t>
            </w:r>
          </w:p>
        </w:tc>
        <w:tc>
          <w:tcPr>
            <w:tcW w:w="2268" w:type="dxa"/>
          </w:tcPr>
          <w:p w14:paraId="64067E6B">
            <w:r>
              <w:t>—</w:t>
            </w:r>
          </w:p>
        </w:tc>
        <w:tc>
          <w:tcPr>
            <w:tcW w:w="2268" w:type="dxa"/>
          </w:tcPr>
          <w:p w14:paraId="76FF050E">
            <w:r>
              <w:t>基准</w:t>
            </w:r>
          </w:p>
        </w:tc>
      </w:tr>
      <w:tr w14:paraId="65A2F034">
        <w:tblPrEx>
          <w:tblCellMar>
            <w:top w:w="0" w:type="dxa"/>
            <w:left w:w="108" w:type="dxa"/>
            <w:bottom w:w="0" w:type="dxa"/>
            <w:right w:w="108" w:type="dxa"/>
          </w:tblCellMar>
        </w:tblPrEx>
        <w:tc>
          <w:tcPr>
            <w:tcW w:w="2268" w:type="dxa"/>
          </w:tcPr>
          <w:p w14:paraId="614D5874">
            <w:r>
              <w:t>移除迭代优化</w:t>
            </w:r>
          </w:p>
        </w:tc>
        <w:tc>
          <w:tcPr>
            <w:tcW w:w="2268" w:type="dxa"/>
          </w:tcPr>
          <w:p w14:paraId="2C65F544">
            <w:r>
              <w:t>88.2%</w:t>
            </w:r>
          </w:p>
        </w:tc>
        <w:tc>
          <w:tcPr>
            <w:tcW w:w="2268" w:type="dxa"/>
          </w:tcPr>
          <w:p w14:paraId="6B7B3415">
            <w:r>
              <w:t>-3.6%</w:t>
            </w:r>
          </w:p>
        </w:tc>
        <w:tc>
          <w:tcPr>
            <w:tcW w:w="2268" w:type="dxa"/>
          </w:tcPr>
          <w:p w14:paraId="02995C91">
            <w:r>
              <w:t>测试反馈缺失</w:t>
            </w:r>
          </w:p>
        </w:tc>
      </w:tr>
      <w:tr w14:paraId="758F2B5B">
        <w:tblPrEx>
          <w:tblCellMar>
            <w:top w:w="0" w:type="dxa"/>
            <w:left w:w="108" w:type="dxa"/>
            <w:bottom w:w="0" w:type="dxa"/>
            <w:right w:w="108" w:type="dxa"/>
          </w:tblCellMar>
        </w:tblPrEx>
        <w:tc>
          <w:tcPr>
            <w:tcW w:w="2268" w:type="dxa"/>
          </w:tcPr>
          <w:p w14:paraId="44D6F9A0">
            <w:r>
              <w:t>移除上下文增强</w:t>
            </w:r>
          </w:p>
        </w:tc>
        <w:tc>
          <w:tcPr>
            <w:tcW w:w="2268" w:type="dxa"/>
          </w:tcPr>
          <w:p w14:paraId="48214670">
            <w:r>
              <w:t>86.5%</w:t>
            </w:r>
          </w:p>
        </w:tc>
        <w:tc>
          <w:tcPr>
            <w:tcW w:w="2268" w:type="dxa"/>
          </w:tcPr>
          <w:p w14:paraId="0554EA06">
            <w:r>
              <w:t>-5.3%</w:t>
            </w:r>
          </w:p>
        </w:tc>
        <w:tc>
          <w:tcPr>
            <w:tcW w:w="2268" w:type="dxa"/>
          </w:tcPr>
          <w:p w14:paraId="5CA4C5AE">
            <w:r>
              <w:t>代码示例和API文档缺失</w:t>
            </w:r>
          </w:p>
        </w:tc>
      </w:tr>
      <w:tr w14:paraId="26070F9F">
        <w:tblPrEx>
          <w:tblCellMar>
            <w:top w:w="0" w:type="dxa"/>
            <w:left w:w="108" w:type="dxa"/>
            <w:bottom w:w="0" w:type="dxa"/>
            <w:right w:w="108" w:type="dxa"/>
          </w:tblCellMar>
        </w:tblPrEx>
        <w:tc>
          <w:tcPr>
            <w:tcW w:w="2268" w:type="dxa"/>
          </w:tcPr>
          <w:p w14:paraId="4F159CFC">
            <w:r>
              <w:t>移除问题分析</w:t>
            </w:r>
          </w:p>
        </w:tc>
        <w:tc>
          <w:tcPr>
            <w:tcW w:w="2268" w:type="dxa"/>
          </w:tcPr>
          <w:p w14:paraId="3A17AC9A">
            <w:r>
              <w:t>85.9%</w:t>
            </w:r>
          </w:p>
        </w:tc>
        <w:tc>
          <w:tcPr>
            <w:tcW w:w="2268" w:type="dxa"/>
          </w:tcPr>
          <w:p w14:paraId="6417B435">
            <w:r>
              <w:t>-5.9%</w:t>
            </w:r>
          </w:p>
        </w:tc>
        <w:tc>
          <w:tcPr>
            <w:tcW w:w="2268" w:type="dxa"/>
          </w:tcPr>
          <w:p w14:paraId="2F5D8481">
            <w:r>
              <w:t>需求解析缺失</w:t>
            </w:r>
          </w:p>
        </w:tc>
      </w:tr>
      <w:tr w14:paraId="617FEADE">
        <w:tblPrEx>
          <w:tblCellMar>
            <w:top w:w="0" w:type="dxa"/>
            <w:left w:w="108" w:type="dxa"/>
            <w:bottom w:w="0" w:type="dxa"/>
            <w:right w:w="108" w:type="dxa"/>
          </w:tblCellMar>
        </w:tblPrEx>
        <w:tc>
          <w:tcPr>
            <w:tcW w:w="2268" w:type="dxa"/>
          </w:tcPr>
          <w:p w14:paraId="28EB2114">
            <w:r>
              <w:t>移除模板引导</w:t>
            </w:r>
          </w:p>
        </w:tc>
        <w:tc>
          <w:tcPr>
            <w:tcW w:w="2268" w:type="dxa"/>
          </w:tcPr>
          <w:p w14:paraId="27E4F9DC">
            <w:r>
              <w:t>84.1%</w:t>
            </w:r>
          </w:p>
        </w:tc>
        <w:tc>
          <w:tcPr>
            <w:tcW w:w="2268" w:type="dxa"/>
          </w:tcPr>
          <w:p w14:paraId="6F57D7BC">
            <w:r>
              <w:t>-7.7%</w:t>
            </w:r>
          </w:p>
        </w:tc>
        <w:tc>
          <w:tcPr>
            <w:tcW w:w="2268" w:type="dxa"/>
          </w:tcPr>
          <w:p w14:paraId="11D88D38">
            <w:r>
              <w:t>质量约束缺失</w:t>
            </w:r>
          </w:p>
        </w:tc>
      </w:tr>
    </w:tbl>
    <w:p w14:paraId="6A644EE2">
      <w:pPr>
        <w:pStyle w:val="19"/>
      </w:pPr>
      <w:r>
        <w:t>消融实验结果表明：模板引导模块贡献最大，说明结构化的提示模板对代码生成质量具有最直接的影响；问题分析模块的贡献超出预期，表明对任务规范的结构化解析能够有效减少需求理解偏差；迭代优化模块虽然在整体上贡献最小，但在APPSDataset的难题级别上，移除该模块导致Pass@1下降7.2%，说明其在复杂任务上具有不可替代的作用。上下文增强模块的贡献在三个数据集上表现一致，平均提升约5%。</w:t>
      </w:r>
    </w:p>
    <w:p w14:paraId="3E749BD9">
      <w:pPr>
        <w:pStyle w:val="4"/>
      </w:pPr>
      <w:r>
        <w:t>4.4 案例分析</w:t>
      </w:r>
    </w:p>
    <w:p w14:paraId="47D847CD">
      <w:pPr>
        <w:pStyle w:val="5"/>
      </w:pPr>
      <w:r>
        <w:t>4.4.1 LRU缓存实现案例</w:t>
      </w:r>
    </w:p>
    <w:p w14:paraId="6D3D243C">
      <w:pPr>
        <w:pStyle w:val="19"/>
      </w:pPr>
      <w:r>
        <w:t>以一个需要实现LRU缓存的编程任务为例。基线方法直接生成了一个不完整的实现，缺少对缓存容量边界的处理，且未考虑并发安全性。QGCG方法通过问题分析模块识别出了容量边界和线程安全两个隐含约束，通过模板引导模块注入了边界条件检查的指令，最终生成的代码包含了完整的容量管理逻辑和必要的同步机制，一次性通过了全部测试用例。</w:t>
      </w:r>
    </w:p>
    <w:p w14:paraId="6ED01103">
      <w:pPr>
        <w:pStyle w:val="5"/>
      </w:pPr>
      <w:r>
        <w:t>4.4.2 数据库查询安全案例</w:t>
      </w:r>
    </w:p>
    <w:p w14:paraId="622056C8">
      <w:pPr>
        <w:pStyle w:val="19"/>
      </w:pPr>
      <w:r>
        <w:t>另一个典型案例是数据库查询函数的生成。基线方法生成的代码直接将用户输入拼接进SQL语句，存在明显的SQL注入风险。QGCG方法通过安全约束模块明确要求使用参数化查询，生成的代码采用了预编译语句模式，有效避免了注入漏洞。Bandit静态分析确认了改进后的代码不存在已知安全漏洞，而基线代码被标记为高危。这类安全性改进在实际应用中具有重要价值。</w:t>
      </w:r>
    </w:p>
    <w:p w14:paraId="4EB27A5A">
      <w:pPr>
        <w:pStyle w:val="4"/>
      </w:pPr>
      <w:r>
        <w:t>4.5 本章小结</w:t>
      </w:r>
    </w:p>
    <w:p w14:paraId="775468B9">
      <w:pPr>
        <w:pStyle w:val="19"/>
      </w:pPr>
      <w:r>
        <w:t>本章通过系统的实验验证了QGCG框架的有效性。主实验表明，该方法在所有测试的模型和数据集上均取得了显著的性能提升。消融实验揭示了各模块的贡献度排序，为实际应用中的模块选择提供了指导。案例分析则从具体实例角度展示了QGCG方法的改进效果。</w:t>
      </w:r>
    </w:p>
    <w:p w14:paraId="25CE0D50">
      <w:pPr>
        <w:pStyle w:val="3"/>
      </w:pPr>
      <w:r>
        <w:t>第5章 总结与展望</w:t>
      </w:r>
    </w:p>
    <w:p w14:paraId="3B90F5C5">
      <w:pPr>
        <w:pStyle w:val="4"/>
      </w:pPr>
      <w:r>
        <w:t>5.1 研究总结</w:t>
      </w:r>
    </w:p>
    <w:p w14:paraId="1B477B3F">
      <w:pPr>
        <w:pStyle w:val="5"/>
      </w:pPr>
      <w:r>
        <w:t>5.1.1 主要工作回顾</w:t>
      </w:r>
    </w:p>
    <w:p w14:paraId="508CC8BC">
      <w:pPr>
        <w:pStyle w:val="19"/>
      </w:pPr>
      <w:r>
        <w:t>本文针对大语言模型代码生成质量问题，提出了基于提示工程的多维度改进框架QGCG。该框架从问题分析、上下文增强、模板引导和迭代优化四个层面系统性地提升了代码生成质量。通过在HumanEval、MBPP和APPSDataset三个基准数据集上的系统实验，验证了所提方法的有效性。实验结果表明，QGCG在Pass@1指标上实现了8.3%至15.7%的提升，在CodeBLEU指标上实现了6.2%至12.1%的提升，同时在安全性维度上取得了显著改善。</w:t>
      </w:r>
    </w:p>
    <w:p w14:paraId="35DCDA67">
      <w:pPr>
        <w:pStyle w:val="5"/>
      </w:pPr>
      <w:r>
        <w:t>5.1.2 主要创新点</w:t>
      </w:r>
    </w:p>
    <w:p w14:paraId="62A21DCF">
      <w:pPr>
        <w:pStyle w:val="19"/>
      </w:pPr>
      <w:r>
        <w:t>本文的主要创新点包括三个方面：提出了面向代码生成质量的多维度评估体系，从功能正确性、安全性、可读性和可维护性四个维度全面量化生成代码的质量水平；设计了QGCG多阶段质量引导框架，通过模块化的流水线设计实现了对代码生成过程的系统性质量干预；提出了基于结构化提示模板的代码生成改进方法，通过角色定义、质量约束和分步生成指令的有机结合，有效提升了LLM代码生成的质量。</w:t>
      </w:r>
    </w:p>
    <w:p w14:paraId="279DF213">
      <w:pPr>
        <w:pStyle w:val="4"/>
      </w:pPr>
      <w:r>
        <w:t>5.2 研究不足与展望</w:t>
      </w:r>
    </w:p>
    <w:p w14:paraId="24A54730">
      <w:pPr>
        <w:pStyle w:val="5"/>
      </w:pPr>
      <w:r>
        <w:t>5.2.1 研究局限性</w:t>
      </w:r>
    </w:p>
    <w:p w14:paraId="1E9BDF29">
      <w:pPr>
        <w:pStyle w:val="19"/>
      </w:pPr>
      <w:r>
        <w:t>本研究仍存在以下局限性：所提方法依赖于手工设计的提示模板，自动化程度有限，模板的通用性有待进一步验证；评估基准主要针对Python语言，对其他语言如Java、C++、Go的适用性需要额外的实验验证；迭代优化模块的多轮修复机制增加了约3倍的API调用开销，在资源受限场景下的效率有待提高；本文的实验主要聚焦于函数级代码生成任务，对类级和项目级代码生成的适用性尚待探索。</w:t>
      </w:r>
    </w:p>
    <w:p w14:paraId="06227D3A">
      <w:pPr>
        <w:pStyle w:val="5"/>
      </w:pPr>
      <w:r>
        <w:t>5.2.2 未来研究方向</w:t>
      </w:r>
    </w:p>
    <w:p w14:paraId="716EFA8A">
      <w:pPr>
        <w:pStyle w:val="19"/>
      </w:pPr>
      <w:r>
        <w:t>未来研究可以从以下方向展开：基于元学习的自动提示优化，通过自动化搜索发现最优提示策略，减少对手工设计的依赖；跨语言代码生成质量改进，构建语言无关的通用框架，扩展方法的适用范围；与IDE深度集成的实时质量反馈机制，将所提方法融入开发者的日常工作流程，提供即时代码质量建议；结合模型微调和提示工程的混合策略，探索通过联合优化进一步提升代码生成质量的可能性；面向大规模项目级代码生成的研究，将QGCG框架扩展到支持多文件、多模块的复杂代码生成场景。</w:t>
      </w:r>
    </w:p>
    <w:p w14:paraId="29D3D169">
      <w:pPr>
        <w:pStyle w:val="3"/>
      </w:pPr>
      <w:r>
        <w:t>参考文献</w:t>
      </w:r>
    </w:p>
    <w:p w14:paraId="7034D1BB">
      <w:pPr>
        <w:pStyle w:val="164"/>
      </w:pPr>
      <w:r>
        <w:t>[1] Pearce H, Ahmad B, Murphy B, et al. Asleep at the keyboard? Assessing the security of GitHub Copilot's code contributions[C]//2022 IEEE Symposium on Security and Privacy (SP). IEEE, 2022: 754-768.</w:t>
      </w:r>
    </w:p>
    <w:p w14:paraId="28C7A214">
      <w:pPr>
        <w:pStyle w:val="164"/>
      </w:pPr>
      <w:r>
        <w:t>[2] Pearce H, Field H, Murphy B, et al. Examining zero-shot vulnerability repair with large language models[C]//2023 IEEE Symposium on Security and Privacy (SP). IEEE, 2023: 2339-2356.</w:t>
      </w:r>
    </w:p>
    <w:p w14:paraId="5F137B94">
      <w:pPr>
        <w:pStyle w:val="164"/>
      </w:pPr>
      <w:r>
        <w:t>[3] Wei J, Wang X, Schuurmans D, et al. Chain-of-thought prompting elicits reasoning in large language models[C]//Advances in Neural Information Processing Systems, 2022.</w:t>
      </w:r>
    </w:p>
    <w:p w14:paraId="563C836F">
      <w:pPr>
        <w:pStyle w:val="164"/>
      </w:pPr>
      <w:r>
        <w:t>[4] Wang X, Wei J, Schuurmans D, et al. Self-consistency improves chain of thought reasoning in language models[C]//International Conference on Learning Representations, 2023.</w:t>
      </w:r>
    </w:p>
    <w:p w14:paraId="59F61BA9">
      <w:pPr>
        <w:pStyle w:val="164"/>
      </w:pPr>
      <w:r>
        <w:t>[5] Chen W, Ma X, Wang X, et al. Program of thoughts prompting: Disentangling computation from reasoning for numerical reasoning tasks[C]//Findings of EMNLP, 2023.</w:t>
      </w:r>
    </w:p>
    <w:p w14:paraId="32A33A14">
      <w:pPr>
        <w:pStyle w:val="164"/>
      </w:pPr>
      <w:r>
        <w:t>[6] Le H, Wang Y, Gotmare A D, et al. CodeRL: Mastering code generation through pretrained models and deep reinforcement learning[C]//Advances in Neural Information Processing Systems, 2022.</w:t>
      </w:r>
    </w:p>
    <w:p w14:paraId="080422D7">
      <w:pPr>
        <w:pStyle w:val="164"/>
      </w:pPr>
      <w:r>
        <w:t>[7] Liu J, Xia C S, Wang Y, et al. Improving code generation by training with natural language feedback[J]. arXiv preprint arXiv:2303.16749, 2023.</w:t>
      </w:r>
    </w:p>
    <w:p w14:paraId="09FB1F52">
      <w:pPr>
        <w:pStyle w:val="164"/>
      </w:pPr>
      <w:r>
        <w:t>[8] Shinn N, Cassano F, Gopinath A, et al. Reflexion: Language agents with verbal reinforcement learning[C]//Advances in Neural Information Processing Systems, 2023.</w:t>
      </w:r>
    </w:p>
    <w:p w14:paraId="0E9C1624">
      <w:pPr>
        <w:pStyle w:val="164"/>
      </w:pPr>
      <w:r>
        <w:t>[9] Jin M, Shahriar S, Addo D, et al. InferFix: End-to-end program repair with LLMs[C]//Proceedings of the 31st ACM Joint European Software Engineering Conference, 2023.</w:t>
      </w:r>
    </w:p>
    <w:p w14:paraId="255894ED">
      <w:pPr>
        <w:pStyle w:val="164"/>
      </w:pPr>
      <w:r>
        <w:t>[10] Chen M, Tworek J, Jun H, et al. Evaluating large language models trained on code[J]. arXiv preprint arXiv:2107.03374, 2021.</w:t>
      </w:r>
    </w:p>
    <w:p w14:paraId="0E18C8EA">
      <w:pPr>
        <w:pStyle w:val="164"/>
      </w:pPr>
      <w:r>
        <w:t>[11] Li Y, Choi D, Chung J, et al. Competition-level code generation with AlphaCode[J]. Science, 2022, 378(6624): 1092-1097.</w:t>
      </w:r>
    </w:p>
    <w:p w14:paraId="00DF8CF8">
      <w:pPr>
        <w:pStyle w:val="164"/>
      </w:pPr>
      <w:r>
        <w:t>[12] Roziere B, Gehring J, Gloeckle F, et al. Code Llama: Open foundation models for code[J]. arXiv preprint arXiv:2308.12950, 2023.</w:t>
      </w:r>
    </w:p>
    <w:p w14:paraId="65B45893">
      <w:pPr>
        <w:pStyle w:val="164"/>
      </w:pPr>
      <w:r>
        <w:t>[13] OpenAI. GPT-4 technical report[J]. arXiv preprint arXiv:2303.08774, 2023.</w:t>
      </w:r>
    </w:p>
    <w:p w14:paraId="6313E6C2">
      <w:pPr>
        <w:pStyle w:val="164"/>
      </w:pPr>
      <w:r>
        <w:t>[14] Anthropic. Claude: A family of AI assistants[EB/OL]. https://www.anthropic.com/claude, 2024.</w:t>
      </w:r>
    </w:p>
    <w:p w14:paraId="5FEB0EE2">
      <w:pPr>
        <w:pStyle w:val="164"/>
      </w:pPr>
      <w:r>
        <w:t>[15] Guo D, Zhu Q, Yang D, et al. DeepSeek-Coder: When the large language model meets programming[J]. arXiv preprint arXiv:2401.14196, 2024.</w:t>
      </w:r>
    </w:p>
    <w:p w14:paraId="44D2761C">
      <w:pPr>
        <w:pStyle w:val="164"/>
      </w:pPr>
      <w:r>
        <w:t>[16] Kulal S, Babu P V, Pan J, et al. SPoC: Search-based pseudocode to code[C]//Advances in Neural Information Processing Systems, 2019.</w:t>
      </w:r>
    </w:p>
    <w:p w14:paraId="505D3ED1">
      <w:pPr>
        <w:pStyle w:val="164"/>
      </w:pPr>
      <w:r>
        <w:t>[17] Ren S, Guo D, Lu S, et al. CodeBLEU: a method for automatic evaluation of code synthesis[J]. arXiv preprint arXiv:2009.10297, 2020.</w:t>
      </w:r>
    </w:p>
    <w:p w14:paraId="2048ED9D">
      <w:pPr>
        <w:pStyle w:val="164"/>
      </w:pPr>
      <w:r>
        <w:t>[18] Zhang F, Chen B, Zhang Y, et al. CodeReviewer: Pre-training for automating code review activities[C]//Proceedings of the 31st ACM Joint European Software Engineering Conference, 2023.</w:t>
      </w:r>
    </w:p>
    <w:sectPr>
      <w:headerReference r:id="rId5" w:type="default"/>
      <w:footerReference r:id="rId6" w:type="default"/>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1" w:fontKey="{BD97F58B-B61E-4CDD-9CA2-36AE997A2DC6}"/>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embedRegular r:id="rId2" w:fontKey="{A591C0A9-9BA0-4074-9F04-927AB6896852}"/>
  </w:font>
  <w:font w:name="ＭＳ 明朝">
    <w:altName w:val="AMGDT"/>
    <w:panose1 w:val="00000000000000000000"/>
    <w:charset w:val="00"/>
    <w:family w:val="auto"/>
    <w:pitch w:val="default"/>
    <w:sig w:usb0="00000000" w:usb1="00000000" w:usb2="00000000" w:usb3="00000000" w:csb0="00000000" w:csb1="00000000"/>
    <w:embedRegular r:id="rId3" w:fontKey="{42148412-5E83-4496-9310-81D35031DC84}"/>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embedRegular r:id="rId4" w:fontKey="{2E96D988-57EF-4CF8-9550-3FC5019C6BAC}"/>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embedRegular r:id="rId5" w:fontKey="{7FF11198-8398-4967-8B3D-4DCAEA56609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FA42B">
    <w:pPr>
      <w:jc w:val="center"/>
    </w:pPr>
    <w:r>
      <w:rPr>
        <w:rFonts w:ascii="宋体" w:hAnsi="宋体"/>
        <w:sz w:val="18"/>
      </w:rPr>
      <w:fldChar w:fldCharType="begin"/>
    </w:r>
    <w:r>
      <w:rPr>
        <w:rFonts w:ascii="宋体" w:hAnsi="宋体"/>
        <w:sz w:val="18"/>
      </w:rPr>
      <w:instrText xml:space="preserve"> PAGE </w:instrText>
    </w:r>
    <w:r>
      <w:rPr>
        <w:rFonts w:ascii="宋体" w:hAnsi="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3EB3F">
    <w:pPr>
      <w:jc w:val="center"/>
    </w:pPr>
    <w:r>
      <w:rPr>
        <w:rFonts w:ascii="宋体" w:hAnsi="宋体" w:eastAsia="宋体"/>
        <w:sz w:val="18"/>
      </w:rPr>
      <w:t>基于大语言模型的代码生成质量分析与改进方法研究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64356F"/>
    <w:rsid w:val="22E861D7"/>
    <w:rsid w:val="4DF15A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pageBreakBefore/>
      <w:spacing w:before="240" w:after="240"/>
      <w:jc w:val="center"/>
      <w:outlineLvl w:val="0"/>
    </w:pPr>
    <w:rPr>
      <w:rFonts w:ascii="Times New Roman" w:hAnsi="Times New Roman" w:eastAsia="黑体" w:cs="Times New Roman"/>
      <w:b/>
      <w:bCs/>
      <w:i w:val="0"/>
      <w:color w:val="000000"/>
      <w:sz w:val="36"/>
      <w:szCs w:val="28"/>
    </w:rPr>
  </w:style>
  <w:style w:type="paragraph" w:styleId="4">
    <w:name w:val="heading 2"/>
    <w:basedOn w:val="1"/>
    <w:next w:val="1"/>
    <w:link w:val="139"/>
    <w:unhideWhenUsed/>
    <w:qFormat/>
    <w:uiPriority w:val="9"/>
    <w:pPr>
      <w:keepNext/>
      <w:keepLines/>
      <w:spacing w:before="0" w:after="0" w:line="360" w:lineRule="auto"/>
      <w:jc w:val="left"/>
      <w:outlineLvl w:val="1"/>
    </w:pPr>
    <w:rPr>
      <w:rFonts w:ascii="Times New Roman" w:hAnsi="Times New Roman" w:eastAsia="黑体" w:cs="Times New Roman"/>
      <w:b/>
      <w:bCs/>
      <w:i w:val="0"/>
      <w:color w:val="000000"/>
      <w:sz w:val="28"/>
      <w:szCs w:val="26"/>
    </w:rPr>
  </w:style>
  <w:style w:type="paragraph" w:styleId="5">
    <w:name w:val="heading 3"/>
    <w:basedOn w:val="1"/>
    <w:next w:val="1"/>
    <w:link w:val="140"/>
    <w:unhideWhenUsed/>
    <w:qFormat/>
    <w:uiPriority w:val="9"/>
    <w:pPr>
      <w:keepNext/>
      <w:keepLines/>
      <w:spacing w:before="0" w:after="0" w:line="360" w:lineRule="auto"/>
      <w:jc w:val="left"/>
      <w:outlineLvl w:val="2"/>
    </w:pPr>
    <w:rPr>
      <w:rFonts w:ascii="Times New Roman" w:hAnsi="Times New Roman" w:eastAsia="黑体" w:cs="Times New Roman"/>
      <w:b/>
      <w:bCs/>
      <w:i w:val="0"/>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0" w:after="0" w:line="360" w:lineRule="auto"/>
      <w:jc w:val="center"/>
    </w:pPr>
    <w:rPr>
      <w:rFonts w:ascii="Times New Roman" w:hAnsi="Times New Roman" w:eastAsia="黑体" w:cs="Times New Roman"/>
      <w:b/>
      <w:bCs/>
      <w:i w:val="0"/>
      <w:color w:val="000000"/>
      <w:sz w:val="24"/>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before="0" w:after="0" w:line="360" w:lineRule="auto"/>
      <w:ind w:firstLine="420"/>
      <w:jc w:val="both"/>
    </w:pPr>
    <w:rPr>
      <w:rFonts w:ascii="Times New Roman" w:hAnsi="Times New Roman" w:eastAsia="宋体" w:cs="Times New Roman"/>
      <w:b w:val="0"/>
      <w:i w:val="0"/>
      <w:color w:val="000000"/>
      <w:sz w:val="24"/>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before="0" w:after="0"/>
      <w:jc w:val="center"/>
    </w:pPr>
    <w:rPr>
      <w:rFonts w:ascii="Times New Roman" w:hAnsi="Times New Roman" w:eastAsia="宋体" w:cs="Times New Roman"/>
      <w:b w:val="0"/>
      <w:i w:val="0"/>
      <w:color w:val="000000"/>
      <w:sz w:val="18"/>
    </w:rPr>
  </w:style>
  <w:style w:type="paragraph" w:styleId="25">
    <w:name w:val="header"/>
    <w:basedOn w:val="1"/>
    <w:link w:val="135"/>
    <w:unhideWhenUsed/>
    <w:uiPriority w:val="99"/>
    <w:pPr>
      <w:tabs>
        <w:tab w:val="center" w:pos="4680"/>
        <w:tab w:val="right" w:pos="9360"/>
      </w:tabs>
      <w:spacing w:before="0" w:after="0"/>
      <w:jc w:val="center"/>
    </w:pPr>
    <w:rPr>
      <w:rFonts w:ascii="Times New Roman" w:hAnsi="Times New Roman" w:eastAsia="宋体" w:cs="Times New Roman"/>
      <w:b w:val="0"/>
      <w:i w:val="0"/>
      <w:color w:val="000000"/>
      <w:sz w:val="21"/>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eastAsia="黑体" w:asciiTheme="majorHAnsi" w:hAnsiTheme="majorHAnsi"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Reference"/>
    <w:basedOn w:val="1"/>
    <w:qFormat/>
    <w:uiPriority w:val="0"/>
    <w:pPr>
      <w:spacing w:before="0" w:after="0" w:line="360" w:lineRule="auto"/>
      <w:jc w:val="both"/>
    </w:pPr>
    <w:rPr>
      <w:rFonts w:ascii="Times New Roman" w:hAnsi="Times New Roman" w:eastAsia="宋体" w:cs="Times New Roman"/>
      <w:b w:val="0"/>
      <w:i w:val="0"/>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8077</Words>
  <Characters>12895</Characters>
  <Lines>0</Lines>
  <Paragraphs>0</Paragraphs>
  <TotalTime>5</TotalTime>
  <ScaleCrop>false</ScaleCrop>
  <LinksUpToDate>false</LinksUpToDate>
  <CharactersWithSpaces>13553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Tl</cp:lastModifiedBy>
  <dcterms:modified xsi:type="dcterms:W3CDTF">2026-05-21T14:46:18Z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eyJoZGlkIjoiYjljMGM1ZmJkZDkyMDNkYmViZWY5MjI3YzNjYjc1MTciLCJ1c2VySWQiOiI2NjgxNjAyNzgifQ==</vt:lpwstr>
  </property>
  <property fmtid="{D5CDD505-2E9C-101B-9397-08002B2CF9AE}" pid="3" name="KSOProductBuildVer">
    <vt:lpwstr>2052-12.1.0.26375</vt:lpwstr>
  </property>
  <property fmtid="{D5CDD505-2E9C-101B-9397-08002B2CF9AE}" pid="4" name="ICV">
    <vt:lpwstr>3EC1205322A64394A90E5E9C5B1C3000_12</vt:lpwstr>
  </property>
</Properties>
</file>