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8"/>
        </w:rPr>
        <w:t>SkillsForge Hackathon Build Documentary</w:t>
      </w:r>
    </w:p>
    <w:p>
      <w:pPr>
        <w:spacing w:after="240"/>
      </w:pPr>
      <w:r>
        <w:rPr>
          <w:color w:val="555555"/>
          <w:sz w:val="22"/>
        </w:rPr>
        <w:t>From trust idea to shipped universal AI CLI skill workbench - 2026-07-18</w:t>
      </w:r>
    </w:p>
    <w:tbl>
      <w:tblPr>
        <w:tblStyle w:val="TableGrid"/>
        <w:tblW w:type="auto" w:w="0"/>
        <w:jc w:val="left"/>
        <w:tblLook w:firstColumn="1" w:firstRow="1" w:lastColumn="0" w:lastRow="0" w:noHBand="0" w:noVBand="1" w:val="04A0"/>
      </w:tblPr>
      <w:tblGrid>
        <w:gridCol w:w="4680"/>
        <w:gridCol w:w="4680"/>
      </w:tblGrid>
      <w:tr>
        <w:tc>
          <w:tcPr>
            <w:tcW w:type="dxa" w:w="2592"/>
            <w:shd w:fill="E8EEF5"/>
            <w:tcMar>
              <w:top w:w="80" w:type="dxa"/>
              <w:start w:w="120" w:type="dxa"/>
              <w:bottom w:w="80" w:type="dxa"/>
              <w:end w:w="120" w:type="dxa"/>
            </w:tcMar>
            <w:vAlign w:val="center"/>
          </w:tcPr>
          <w:p>
            <w:r>
              <w:rPr>
                <w:b/>
              </w:rPr>
              <w:t>Field</w:t>
            </w:r>
          </w:p>
        </w:tc>
        <w:tc>
          <w:tcPr>
            <w:tcW w:type="dxa" w:w="6768"/>
            <w:shd w:fill="E8EEF5"/>
            <w:tcMar>
              <w:top w:w="80" w:type="dxa"/>
              <w:start w:w="120" w:type="dxa"/>
              <w:bottom w:w="80" w:type="dxa"/>
              <w:end w:w="120" w:type="dxa"/>
            </w:tcMar>
            <w:vAlign w:val="center"/>
          </w:tcPr>
          <w:p>
            <w:r>
              <w:rPr>
                <w:b/>
              </w:rPr>
              <w:t>Value</w:t>
            </w:r>
          </w:p>
        </w:tc>
      </w:tr>
      <w:tr>
        <w:tc>
          <w:tcPr>
            <w:tcW w:type="dxa" w:w="2592"/>
            <w:tcMar>
              <w:top w:w="80" w:type="dxa"/>
              <w:start w:w="120" w:type="dxa"/>
              <w:bottom w:w="80" w:type="dxa"/>
              <w:end w:w="120" w:type="dxa"/>
            </w:tcMar>
            <w:vAlign w:val="center"/>
          </w:tcPr>
          <w:p>
            <w:r>
              <w:t>Repository</w:t>
            </w:r>
          </w:p>
        </w:tc>
        <w:tc>
          <w:tcPr>
            <w:tcW w:type="dxa" w:w="6768"/>
            <w:tcMar>
              <w:top w:w="80" w:type="dxa"/>
              <w:start w:w="120" w:type="dxa"/>
              <w:bottom w:w="80" w:type="dxa"/>
              <w:end w:w="120" w:type="dxa"/>
            </w:tcMar>
            <w:vAlign w:val="center"/>
          </w:tcPr>
          <w:p>
            <w:r>
              <w:t>C:\Users\USER\Desktop\vibecoded\skillsforge</w:t>
            </w:r>
          </w:p>
        </w:tc>
      </w:tr>
      <w:tr>
        <w:tc>
          <w:tcPr>
            <w:tcW w:type="dxa" w:w="2592"/>
            <w:tcMar>
              <w:top w:w="80" w:type="dxa"/>
              <w:start w:w="120" w:type="dxa"/>
              <w:bottom w:w="80" w:type="dxa"/>
              <w:end w:w="120" w:type="dxa"/>
            </w:tcMar>
            <w:vAlign w:val="center"/>
          </w:tcPr>
          <w:p>
            <w:r>
              <w:t>Branch</w:t>
            </w:r>
          </w:p>
        </w:tc>
        <w:tc>
          <w:tcPr>
            <w:tcW w:type="dxa" w:w="6768"/>
            <w:tcMar>
              <w:top w:w="80" w:type="dxa"/>
              <w:start w:w="120" w:type="dxa"/>
              <w:bottom w:w="80" w:type="dxa"/>
              <w:end w:w="120" w:type="dxa"/>
            </w:tcMar>
            <w:vAlign w:val="center"/>
          </w:tcPr>
          <w:p>
            <w:r>
              <w:t>codex/hackathon-hardening-architecture</w:t>
            </w:r>
          </w:p>
        </w:tc>
      </w:tr>
      <w:tr>
        <w:tc>
          <w:tcPr>
            <w:tcW w:type="dxa" w:w="2592"/>
            <w:tcMar>
              <w:top w:w="80" w:type="dxa"/>
              <w:start w:w="120" w:type="dxa"/>
              <w:bottom w:w="80" w:type="dxa"/>
              <w:end w:w="120" w:type="dxa"/>
            </w:tcMar>
            <w:vAlign w:val="center"/>
          </w:tcPr>
          <w:p>
            <w:r>
              <w:t>Version</w:t>
            </w:r>
          </w:p>
        </w:tc>
        <w:tc>
          <w:tcPr>
            <w:tcW w:type="dxa" w:w="6768"/>
            <w:tcMar>
              <w:top w:w="80" w:type="dxa"/>
              <w:start w:w="120" w:type="dxa"/>
              <w:bottom w:w="80" w:type="dxa"/>
              <w:end w:w="120" w:type="dxa"/>
            </w:tcMar>
            <w:vAlign w:val="center"/>
          </w:tcPr>
          <w:p>
            <w:r>
              <w:t>0.4.0</w:t>
            </w:r>
          </w:p>
        </w:tc>
      </w:tr>
      <w:tr>
        <w:tc>
          <w:tcPr>
            <w:tcW w:type="dxa" w:w="2592"/>
            <w:tcMar>
              <w:top w:w="80" w:type="dxa"/>
              <w:start w:w="120" w:type="dxa"/>
              <w:bottom w:w="80" w:type="dxa"/>
              <w:end w:w="120" w:type="dxa"/>
            </w:tcMar>
            <w:vAlign w:val="center"/>
          </w:tcPr>
          <w:p>
            <w:r>
              <w:t>Design preset</w:t>
            </w:r>
          </w:p>
        </w:tc>
        <w:tc>
          <w:tcPr>
            <w:tcW w:type="dxa" w:w="6768"/>
            <w:tcMar>
              <w:top w:w="80" w:type="dxa"/>
              <w:start w:w="120" w:type="dxa"/>
              <w:bottom w:w="80" w:type="dxa"/>
              <w:end w:w="120" w:type="dxa"/>
            </w:tcMar>
            <w:vAlign w:val="center"/>
          </w:tcPr>
          <w:p>
            <w:r>
              <w:t>compact_reference_guide</w:t>
            </w:r>
          </w:p>
        </w:tc>
      </w:tr>
      <w:tr>
        <w:tc>
          <w:tcPr>
            <w:tcW w:type="dxa" w:w="2592"/>
            <w:tcMar>
              <w:top w:w="80" w:type="dxa"/>
              <w:start w:w="120" w:type="dxa"/>
              <w:bottom w:w="80" w:type="dxa"/>
              <w:end w:w="120" w:type="dxa"/>
            </w:tcMar>
            <w:vAlign w:val="center"/>
          </w:tcPr>
          <w:p>
            <w:r>
              <w:t>Primary target</w:t>
            </w:r>
          </w:p>
        </w:tc>
        <w:tc>
          <w:tcPr>
            <w:tcW w:type="dxa" w:w="6768"/>
            <w:tcMar>
              <w:top w:w="80" w:type="dxa"/>
              <w:start w:w="120" w:type="dxa"/>
              <w:bottom w:w="80" w:type="dxa"/>
              <w:end w:w="120" w:type="dxa"/>
            </w:tcMar>
            <w:vAlign w:val="center"/>
          </w:tcPr>
          <w:p>
            <w:r>
              <w:t>Codex native plugin and guarded package path</w:t>
            </w:r>
          </w:p>
        </w:tc>
      </w:tr>
      <w:tr>
        <w:tc>
          <w:tcPr>
            <w:tcW w:type="dxa" w:w="2592"/>
            <w:tcMar>
              <w:top w:w="80" w:type="dxa"/>
              <w:start w:w="120" w:type="dxa"/>
              <w:bottom w:w="80" w:type="dxa"/>
              <w:end w:w="120" w:type="dxa"/>
            </w:tcMar>
            <w:vAlign w:val="center"/>
          </w:tcPr>
          <w:p>
            <w:r>
              <w:t>Second target</w:t>
            </w:r>
          </w:p>
        </w:tc>
        <w:tc>
          <w:tcPr>
            <w:tcW w:type="dxa" w:w="6768"/>
            <w:tcMar>
              <w:top w:w="80" w:type="dxa"/>
              <w:start w:w="120" w:type="dxa"/>
              <w:bottom w:w="80" w:type="dxa"/>
              <w:end w:w="120" w:type="dxa"/>
            </w:tcMar>
            <w:vAlign w:val="center"/>
          </w:tcPr>
          <w:p>
            <w:r>
              <w:t>Claude Code full-fidelity install</w:t>
            </w:r>
          </w:p>
        </w:tc>
      </w:tr>
    </w:tbl>
    <w:p/>
    <w:p>
      <w:pPr>
        <w:pStyle w:val="Heading1"/>
      </w:pPr>
      <w:r>
        <w:t>1. Executive Brief</w:t>
      </w:r>
    </w:p>
    <w:p>
      <w:r>
        <w:t>SkillsForge is a trust and routing layer for portable Agent Skills. The product validates skill structure, scans declared capabilities, blocks unsafe examples before execution, packages safe skills into guarded Codex plugin trees, installs package-fidelity skills across local AI CLI hosts, and emits evidence receipts for packaged bytes.</w:t>
      </w:r>
    </w:p>
    <w:p>
      <w:r>
        <w:t>This hardening pass expanded the project from a Codex-first trust demo into a universal local developer tool for AI agents and vibecoders. It kept the runtime in Node 20 ESM, avoided Rust and heavyweight frontend frameworks, and focused on compact PowerShell-friendly commands, local library indexing, workflow recommendation, and honest trust boundaries.</w:t>
      </w:r>
    </w:p>
    <w:tbl>
      <w:tblPr>
        <w:tblStyle w:val="TableGrid"/>
        <w:tblW w:type="auto" w:w="0"/>
        <w:jc w:val="left"/>
        <w:tblLook w:firstColumn="1" w:firstRow="1" w:lastColumn="0" w:lastRow="0" w:noHBand="0" w:noVBand="1" w:val="04A0"/>
      </w:tblPr>
      <w:tblGrid>
        <w:gridCol w:w="4680"/>
        <w:gridCol w:w="4680"/>
      </w:tblGrid>
      <w:tr>
        <w:tc>
          <w:tcPr>
            <w:tcW w:type="dxa" w:w="3168"/>
            <w:shd w:fill="E8EEF5"/>
            <w:tcMar>
              <w:top w:w="80" w:type="dxa"/>
              <w:start w:w="120" w:type="dxa"/>
              <w:bottom w:w="80" w:type="dxa"/>
              <w:end w:w="120" w:type="dxa"/>
            </w:tcMar>
            <w:vAlign w:val="center"/>
          </w:tcPr>
          <w:p>
            <w:r>
              <w:rPr>
                <w:b/>
              </w:rPr>
              <w:t>Inventory</w:t>
            </w:r>
          </w:p>
        </w:tc>
        <w:tc>
          <w:tcPr>
            <w:tcW w:type="dxa" w:w="6192"/>
            <w:shd w:fill="E8EEF5"/>
            <w:tcMar>
              <w:top w:w="80" w:type="dxa"/>
              <w:start w:w="120" w:type="dxa"/>
              <w:bottom w:w="80" w:type="dxa"/>
              <w:end w:w="120" w:type="dxa"/>
            </w:tcMar>
            <w:vAlign w:val="center"/>
          </w:tcPr>
          <w:p>
            <w:r>
              <w:rPr>
                <w:b/>
              </w:rPr>
              <w:t>Verified local value</w:t>
            </w:r>
          </w:p>
        </w:tc>
      </w:tr>
      <w:tr>
        <w:tc>
          <w:tcPr>
            <w:tcW w:type="dxa" w:w="3168"/>
            <w:tcMar>
              <w:top w:w="80" w:type="dxa"/>
              <w:start w:w="120" w:type="dxa"/>
              <w:bottom w:w="80" w:type="dxa"/>
              <w:end w:w="120" w:type="dxa"/>
            </w:tcMar>
            <w:vAlign w:val="center"/>
          </w:tcPr>
          <w:p>
            <w:r>
              <w:t>Skills</w:t>
            </w:r>
          </w:p>
        </w:tc>
        <w:tc>
          <w:tcPr>
            <w:tcW w:type="dxa" w:w="6192"/>
            <w:tcMar>
              <w:top w:w="80" w:type="dxa"/>
              <w:start w:w="120" w:type="dxa"/>
              <w:bottom w:w="80" w:type="dxa"/>
              <w:end w:w="120" w:type="dxa"/>
            </w:tcMar>
            <w:vAlign w:val="center"/>
          </w:tcPr>
          <w:p>
            <w:r>
              <w:t>366</w:t>
            </w:r>
          </w:p>
        </w:tc>
      </w:tr>
      <w:tr>
        <w:tc>
          <w:tcPr>
            <w:tcW w:type="dxa" w:w="3168"/>
            <w:tcMar>
              <w:top w:w="80" w:type="dxa"/>
              <w:start w:w="120" w:type="dxa"/>
              <w:bottom w:w="80" w:type="dxa"/>
              <w:end w:w="120" w:type="dxa"/>
            </w:tcMar>
            <w:vAlign w:val="center"/>
          </w:tcPr>
          <w:p>
            <w:r>
              <w:t>Packs</w:t>
            </w:r>
          </w:p>
        </w:tc>
        <w:tc>
          <w:tcPr>
            <w:tcW w:type="dxa" w:w="6192"/>
            <w:tcMar>
              <w:top w:w="80" w:type="dxa"/>
              <w:start w:w="120" w:type="dxa"/>
              <w:bottom w:w="80" w:type="dxa"/>
              <w:end w:w="120" w:type="dxa"/>
            </w:tcMar>
            <w:vAlign w:val="center"/>
          </w:tcPr>
          <w:p>
            <w:r>
              <w:t>26</w:t>
            </w:r>
          </w:p>
        </w:tc>
      </w:tr>
      <w:tr>
        <w:tc>
          <w:tcPr>
            <w:tcW w:type="dxa" w:w="3168"/>
            <w:tcMar>
              <w:top w:w="80" w:type="dxa"/>
              <w:start w:w="120" w:type="dxa"/>
              <w:bottom w:w="80" w:type="dxa"/>
              <w:end w:w="120" w:type="dxa"/>
            </w:tcMar>
            <w:vAlign w:val="center"/>
          </w:tcPr>
          <w:p>
            <w:r>
              <w:t>Profiles</w:t>
            </w:r>
          </w:p>
        </w:tc>
        <w:tc>
          <w:tcPr>
            <w:tcW w:type="dxa" w:w="6192"/>
            <w:tcMar>
              <w:top w:w="80" w:type="dxa"/>
              <w:start w:w="120" w:type="dxa"/>
              <w:bottom w:w="80" w:type="dxa"/>
              <w:end w:w="120" w:type="dxa"/>
            </w:tcMar>
            <w:vAlign w:val="center"/>
          </w:tcPr>
          <w:p>
            <w:r>
              <w:t>10</w:t>
            </w:r>
          </w:p>
        </w:tc>
      </w:tr>
      <w:tr>
        <w:tc>
          <w:tcPr>
            <w:tcW w:type="dxa" w:w="3168"/>
            <w:tcMar>
              <w:top w:w="80" w:type="dxa"/>
              <w:start w:w="120" w:type="dxa"/>
              <w:bottom w:w="80" w:type="dxa"/>
              <w:end w:w="120" w:type="dxa"/>
            </w:tcMar>
            <w:vAlign w:val="center"/>
          </w:tcPr>
          <w:p>
            <w:r>
              <w:t>Agents</w:t>
            </w:r>
          </w:p>
        </w:tc>
        <w:tc>
          <w:tcPr>
            <w:tcW w:type="dxa" w:w="6192"/>
            <w:tcMar>
              <w:top w:w="80" w:type="dxa"/>
              <w:start w:w="120" w:type="dxa"/>
              <w:bottom w:w="80" w:type="dxa"/>
              <w:end w:w="120" w:type="dxa"/>
            </w:tcMar>
            <w:vAlign w:val="center"/>
          </w:tcPr>
          <w:p>
            <w:r>
              <w:t>98</w:t>
            </w:r>
          </w:p>
        </w:tc>
      </w:tr>
      <w:tr>
        <w:tc>
          <w:tcPr>
            <w:tcW w:type="dxa" w:w="3168"/>
            <w:tcMar>
              <w:top w:w="80" w:type="dxa"/>
              <w:start w:w="120" w:type="dxa"/>
              <w:bottom w:w="80" w:type="dxa"/>
              <w:end w:w="120" w:type="dxa"/>
            </w:tcMar>
            <w:vAlign w:val="center"/>
          </w:tcPr>
          <w:p>
            <w:r>
              <w:t>Commands</w:t>
            </w:r>
          </w:p>
        </w:tc>
        <w:tc>
          <w:tcPr>
            <w:tcW w:type="dxa" w:w="6192"/>
            <w:tcMar>
              <w:top w:w="80" w:type="dxa"/>
              <w:start w:w="120" w:type="dxa"/>
              <w:bottom w:w="80" w:type="dxa"/>
              <w:end w:w="120" w:type="dxa"/>
            </w:tcMar>
            <w:vAlign w:val="center"/>
          </w:tcPr>
          <w:p>
            <w:r>
              <w:t>124</w:t>
            </w:r>
          </w:p>
        </w:tc>
      </w:tr>
      <w:tr>
        <w:tc>
          <w:tcPr>
            <w:tcW w:type="dxa" w:w="3168"/>
            <w:tcMar>
              <w:top w:w="80" w:type="dxa"/>
              <w:start w:w="120" w:type="dxa"/>
              <w:bottom w:w="80" w:type="dxa"/>
              <w:end w:w="120" w:type="dxa"/>
            </w:tcMar>
            <w:vAlign w:val="center"/>
          </w:tcPr>
          <w:p>
            <w:r>
              <w:t>Workflows</w:t>
            </w:r>
          </w:p>
        </w:tc>
        <w:tc>
          <w:tcPr>
            <w:tcW w:type="dxa" w:w="6192"/>
            <w:tcMar>
              <w:top w:w="80" w:type="dxa"/>
              <w:start w:w="120" w:type="dxa"/>
              <w:bottom w:w="80" w:type="dxa"/>
              <w:end w:w="120" w:type="dxa"/>
            </w:tcMar>
            <w:vAlign w:val="center"/>
          </w:tcPr>
          <w:p>
            <w:r>
              <w:t>100</w:t>
            </w:r>
          </w:p>
        </w:tc>
      </w:tr>
      <w:tr>
        <w:tc>
          <w:tcPr>
            <w:tcW w:type="dxa" w:w="3168"/>
            <w:tcMar>
              <w:top w:w="80" w:type="dxa"/>
              <w:start w:w="120" w:type="dxa"/>
              <w:bottom w:w="80" w:type="dxa"/>
              <w:end w:w="120" w:type="dxa"/>
            </w:tcMar>
            <w:vAlign w:val="center"/>
          </w:tcPr>
          <w:p>
            <w:r>
              <w:t>Known host targets</w:t>
            </w:r>
          </w:p>
        </w:tc>
        <w:tc>
          <w:tcPr>
            <w:tcW w:type="dxa" w:w="6192"/>
            <w:tcMar>
              <w:top w:w="80" w:type="dxa"/>
              <w:start w:w="120" w:type="dxa"/>
              <w:bottom w:w="80" w:type="dxa"/>
              <w:end w:w="120" w:type="dxa"/>
            </w:tcMar>
            <w:vAlign w:val="center"/>
          </w:tcPr>
          <w:p>
            <w:r>
              <w:t>7</w:t>
            </w:r>
          </w:p>
        </w:tc>
      </w:tr>
    </w:tbl>
    <w:p/>
    <w:p>
      <w:pPr>
        <w:pStyle w:val="Heading1"/>
      </w:pPr>
      <w:r>
        <w:t>2. Problem And Product Decision</w:t>
      </w:r>
    </w:p>
    <w:p>
      <w:r>
        <w:t>Agent Skills are valuable because they package repeatable work. The risk is that a skill can also carry undeclared shell commands, network references, write paths, scripts, or opaque files. A large catalog can look impressive while still leaving operators unable to answer what a skill can do, whether it can be safely installed, and whether packaged bytes changed later.</w:t>
      </w:r>
    </w:p>
    <w:p>
      <w:r>
        <w:t>The product choice was to solve the trust gap rather than clone swarm orchestration or claim OS sandboxing. SkillsForge makes skill packages reviewable, least-privilege, packageable, routed, and tamper-evident. Runtime enforcement is claimed only when a host honors the generated hook or equivalent policy decision.</w:t>
      </w:r>
    </w:p>
    <w:p>
      <w:pPr>
        <w:pStyle w:val="Heading1"/>
      </w:pPr>
      <w:r>
        <w:t>3. Architecture Shipped</w:t>
      </w:r>
    </w:p>
    <w:tbl>
      <w:tblPr>
        <w:tblStyle w:val="TableGrid"/>
        <w:tblW w:type="auto" w:w="0"/>
        <w:jc w:val="left"/>
        <w:tblLook w:firstColumn="1" w:firstRow="1" w:lastColumn="0" w:lastRow="0" w:noHBand="0" w:noVBand="1" w:val="04A0"/>
      </w:tblPr>
      <w:tblGrid>
        <w:gridCol w:w="4680"/>
        <w:gridCol w:w="4680"/>
      </w:tblGrid>
      <w:tr>
        <w:tc>
          <w:tcPr>
            <w:tcW w:type="dxa" w:w="2592"/>
            <w:shd w:fill="E8EEF5"/>
            <w:tcMar>
              <w:top w:w="80" w:type="dxa"/>
              <w:start w:w="120" w:type="dxa"/>
              <w:bottom w:w="80" w:type="dxa"/>
              <w:end w:w="120" w:type="dxa"/>
            </w:tcMar>
            <w:vAlign w:val="center"/>
          </w:tcPr>
          <w:p>
            <w:r>
              <w:rPr>
                <w:b/>
              </w:rPr>
              <w:t>Layer</w:t>
            </w:r>
          </w:p>
        </w:tc>
        <w:tc>
          <w:tcPr>
            <w:tcW w:type="dxa" w:w="6768"/>
            <w:shd w:fill="E8EEF5"/>
            <w:tcMar>
              <w:top w:w="80" w:type="dxa"/>
              <w:start w:w="120" w:type="dxa"/>
              <w:bottom w:w="80" w:type="dxa"/>
              <w:end w:w="120" w:type="dxa"/>
            </w:tcMar>
            <w:vAlign w:val="center"/>
          </w:tcPr>
          <w:p>
            <w:r>
              <w:rPr>
                <w:b/>
              </w:rPr>
              <w:t>Implementation</w:t>
            </w:r>
          </w:p>
        </w:tc>
      </w:tr>
      <w:tr>
        <w:tc>
          <w:tcPr>
            <w:tcW w:type="dxa" w:w="2592"/>
            <w:tcMar>
              <w:top w:w="80" w:type="dxa"/>
              <w:start w:w="120" w:type="dxa"/>
              <w:bottom w:w="80" w:type="dxa"/>
              <w:end w:w="120" w:type="dxa"/>
            </w:tcMar>
            <w:vAlign w:val="center"/>
          </w:tcPr>
          <w:p>
            <w:r>
              <w:t>Trust spine</w:t>
            </w:r>
          </w:p>
        </w:tc>
        <w:tc>
          <w:tcPr>
            <w:tcW w:type="dxa" w:w="6768"/>
            <w:tcMar>
              <w:top w:w="80" w:type="dxa"/>
              <w:start w:w="120" w:type="dxa"/>
              <w:bottom w:w="80" w:type="dxa"/>
              <w:end w:w="120" w:type="dxa"/>
            </w:tcMar>
            <w:vAlign w:val="center"/>
          </w:tcPr>
          <w:p>
            <w:r>
              <w:t>validate, skillshield, package --host codex, receipt, verify-receipt, evidence</w:t>
            </w:r>
          </w:p>
        </w:tc>
      </w:tr>
      <w:tr>
        <w:tc>
          <w:tcPr>
            <w:tcW w:type="dxa" w:w="2592"/>
            <w:tcMar>
              <w:top w:w="80" w:type="dxa"/>
              <w:start w:w="120" w:type="dxa"/>
              <w:bottom w:w="80" w:type="dxa"/>
              <w:end w:w="120" w:type="dxa"/>
            </w:tcMar>
            <w:vAlign w:val="center"/>
          </w:tcPr>
          <w:p>
            <w:r>
              <w:t>Universal hosts</w:t>
            </w:r>
          </w:p>
        </w:tc>
        <w:tc>
          <w:tcPr>
            <w:tcW w:type="dxa" w:w="6768"/>
            <w:tcMar>
              <w:top w:w="80" w:type="dxa"/>
              <w:start w:w="120" w:type="dxa"/>
              <w:bottom w:w="80" w:type="dxa"/>
              <w:end w:w="120" w:type="dxa"/>
            </w:tcMar>
            <w:vAlign w:val="center"/>
          </w:tcPr>
          <w:p>
            <w:r>
              <w:t>Codex, Claude Code, Cursor, OpenCode, ZCode, Hermes, Gemini, plus custom host paths under home</w:t>
            </w:r>
          </w:p>
        </w:tc>
      </w:tr>
      <w:tr>
        <w:tc>
          <w:tcPr>
            <w:tcW w:type="dxa" w:w="2592"/>
            <w:tcMar>
              <w:top w:w="80" w:type="dxa"/>
              <w:start w:w="120" w:type="dxa"/>
              <w:bottom w:w="80" w:type="dxa"/>
              <w:end w:w="120" w:type="dxa"/>
            </w:tcMar>
            <w:vAlign w:val="center"/>
          </w:tcPr>
          <w:p>
            <w:r>
              <w:t>Workbench CLI</w:t>
            </w:r>
          </w:p>
        </w:tc>
        <w:tc>
          <w:tcPr>
            <w:tcW w:type="dxa" w:w="6768"/>
            <w:tcMar>
              <w:top w:w="80" w:type="dxa"/>
              <w:start w:w="120" w:type="dxa"/>
              <w:bottom w:w="80" w:type="dxa"/>
              <w:end w:w="120" w:type="dxa"/>
            </w:tcMar>
            <w:vAlign w:val="center"/>
          </w:tcPr>
          <w:p>
            <w:r>
              <w:t>wb status/tree/find/grep/diff/errors/bigfiles/recent/proof with --json, --limit, and --full</w:t>
            </w:r>
          </w:p>
        </w:tc>
      </w:tr>
      <w:tr>
        <w:tc>
          <w:tcPr>
            <w:tcW w:type="dxa" w:w="2592"/>
            <w:tcMar>
              <w:top w:w="80" w:type="dxa"/>
              <w:start w:w="120" w:type="dxa"/>
              <w:bottom w:w="80" w:type="dxa"/>
              <w:end w:w="120" w:type="dxa"/>
            </w:tcMar>
            <w:vAlign w:val="center"/>
          </w:tcPr>
          <w:p>
            <w:r>
              <w:t>PowerShell helpers</w:t>
            </w:r>
          </w:p>
        </w:tc>
        <w:tc>
          <w:tcPr>
            <w:tcW w:type="dxa" w:w="6768"/>
            <w:tcMar>
              <w:top w:w="80" w:type="dxa"/>
              <w:start w:w="120" w:type="dxa"/>
              <w:bottom w:w="80" w:type="dxa"/>
              <w:end w:w="120" w:type="dxa"/>
            </w:tcMar>
            <w:vAlign w:val="center"/>
          </w:tcPr>
          <w:p>
            <w:r>
              <w:t>ps export writes sf-status, sf-tree, sf-find, sf-grep, sf-diff, sf-errors, sf-bigfiles, sf-recent, sf-ports, sf-proof</w:t>
            </w:r>
          </w:p>
        </w:tc>
      </w:tr>
      <w:tr>
        <w:tc>
          <w:tcPr>
            <w:tcW w:type="dxa" w:w="2592"/>
            <w:tcMar>
              <w:top w:w="80" w:type="dxa"/>
              <w:start w:w="120" w:type="dxa"/>
              <w:bottom w:w="80" w:type="dxa"/>
              <w:end w:w="120" w:type="dxa"/>
            </w:tcMar>
            <w:vAlign w:val="center"/>
          </w:tcPr>
          <w:p>
            <w:r>
              <w:t>Local library</w:t>
            </w:r>
          </w:p>
        </w:tc>
        <w:tc>
          <w:tcPr>
            <w:tcW w:type="dxa" w:w="6768"/>
            <w:tcMar>
              <w:top w:w="80" w:type="dxa"/>
              <w:start w:w="120" w:type="dxa"/>
              <w:bottom w:w="80" w:type="dxa"/>
              <w:end w:w="120" w:type="dxa"/>
            </w:tcMar>
            <w:vAlign w:val="center"/>
          </w:tcPr>
          <w:p>
            <w:r>
              <w:t>lib build emits JSON, skillsforge-library.html, and skillsforge-ai-index.html</w:t>
            </w:r>
          </w:p>
        </w:tc>
      </w:tr>
      <w:tr>
        <w:tc>
          <w:tcPr>
            <w:tcW w:type="dxa" w:w="2592"/>
            <w:tcMar>
              <w:top w:w="80" w:type="dxa"/>
              <w:start w:w="120" w:type="dxa"/>
              <w:bottom w:w="80" w:type="dxa"/>
              <w:end w:w="120" w:type="dxa"/>
            </w:tcMar>
            <w:vAlign w:val="center"/>
          </w:tcPr>
          <w:p>
            <w:r>
              <w:t>Local UI</w:t>
            </w:r>
          </w:p>
        </w:tc>
        <w:tc>
          <w:tcPr>
            <w:tcW w:type="dxa" w:w="6768"/>
            <w:tcMar>
              <w:top w:w="80" w:type="dxa"/>
              <w:start w:w="120" w:type="dxa"/>
              <w:bottom w:w="80" w:type="dxa"/>
              <w:end w:w="120" w:type="dxa"/>
            </w:tcMar>
            <w:vAlign w:val="center"/>
          </w:tcPr>
          <w:p>
            <w:r>
              <w:t>lib serve binds to 127.0.0.1; read-only by default; removal requires explicit mutation flags and confirmation</w:t>
            </w:r>
          </w:p>
        </w:tc>
      </w:tr>
      <w:tr>
        <w:tc>
          <w:tcPr>
            <w:tcW w:type="dxa" w:w="2592"/>
            <w:tcMar>
              <w:top w:w="80" w:type="dxa"/>
              <w:start w:w="120" w:type="dxa"/>
              <w:bottom w:w="80" w:type="dxa"/>
              <w:end w:w="120" w:type="dxa"/>
            </w:tcMar>
            <w:vAlign w:val="center"/>
          </w:tcPr>
          <w:p>
            <w:r>
              <w:t>Workflow catalog</w:t>
            </w:r>
          </w:p>
        </w:tc>
        <w:tc>
          <w:tcPr>
            <w:tcW w:type="dxa" w:w="6768"/>
            <w:tcMar>
              <w:top w:w="80" w:type="dxa"/>
              <w:start w:w="120" w:type="dxa"/>
              <w:bottom w:w="80" w:type="dxa"/>
              <w:end w:w="120" w:type="dxa"/>
            </w:tcMar>
            <w:vAlign w:val="center"/>
          </w:tcPr>
          <w:p>
            <w:r>
              <w:t>100 JSON workflows with category, goal, inputs, steps, skills, agents, commands, stop gates, token budget, quality gate, and risk</w:t>
            </w:r>
          </w:p>
        </w:tc>
      </w:tr>
      <w:tr>
        <w:tc>
          <w:tcPr>
            <w:tcW w:type="dxa" w:w="2592"/>
            <w:tcMar>
              <w:top w:w="80" w:type="dxa"/>
              <w:start w:w="120" w:type="dxa"/>
              <w:bottom w:w="80" w:type="dxa"/>
              <w:end w:w="120" w:type="dxa"/>
            </w:tcMar>
            <w:vAlign w:val="center"/>
          </w:tcPr>
          <w:p>
            <w:r>
              <w:t>Auto router</w:t>
            </w:r>
          </w:p>
        </w:tc>
        <w:tc>
          <w:tcPr>
            <w:tcW w:type="dxa" w:w="6768"/>
            <w:tcMar>
              <w:top w:w="80" w:type="dxa"/>
              <w:start w:w="120" w:type="dxa"/>
              <w:bottom w:w="80" w:type="dxa"/>
              <w:end w:w="120" w:type="dxa"/>
            </w:tcMar>
            <w:vAlign w:val="center"/>
          </w:tcPr>
          <w:p>
            <w:r>
              <w:t>auto plan and auto run --read-only combine skill routing and workflow dry-run recommendation</w:t>
            </w:r>
          </w:p>
        </w:tc>
      </w:tr>
      <w:tr>
        <w:tc>
          <w:tcPr>
            <w:tcW w:type="dxa" w:w="2592"/>
            <w:tcMar>
              <w:top w:w="80" w:type="dxa"/>
              <w:start w:w="120" w:type="dxa"/>
              <w:bottom w:w="80" w:type="dxa"/>
              <w:end w:w="120" w:type="dxa"/>
            </w:tcMar>
            <w:vAlign w:val="center"/>
          </w:tcPr>
          <w:p>
            <w:r>
              <w:t>MCP</w:t>
            </w:r>
          </w:p>
        </w:tc>
        <w:tc>
          <w:tcPr>
            <w:tcW w:type="dxa" w:w="6768"/>
            <w:tcMar>
              <w:top w:w="80" w:type="dxa"/>
              <w:start w:w="120" w:type="dxa"/>
              <w:bottom w:w="80" w:type="dxa"/>
              <w:end w:w="120" w:type="dxa"/>
            </w:tcMar>
            <w:vAlign w:val="center"/>
          </w:tcPr>
          <w:p>
            <w:r>
              <w:t>validate, route, skillshield, library_index, recommend_skill, recommend_workflow, workflow_show; no default write tools</w:t>
            </w:r>
          </w:p>
        </w:tc>
      </w:tr>
    </w:tbl>
    <w:p/>
    <w:p>
      <w:pPr>
        <w:pStyle w:val="Heading1"/>
      </w:pPr>
      <w:r>
        <w:t>4. Workflow Catalog</w:t>
      </w:r>
    </w:p>
    <w:p>
      <w:r>
        <w:t>The workflow catalog is intentionally structured rather than a loose dump. Every workflow is dry-run first and points to shipped skills and shipped agent role files. Tests enforce the exact count and category distribution.</w:t>
      </w:r>
    </w:p>
    <w:tbl>
      <w:tblPr>
        <w:tblStyle w:val="TableGrid"/>
        <w:tblW w:type="auto" w:w="0"/>
        <w:jc w:val="left"/>
        <w:tblLook w:firstColumn="1" w:firstRow="1" w:lastColumn="0" w:lastRow="0" w:noHBand="0" w:noVBand="1" w:val="04A0"/>
      </w:tblPr>
      <w:tblGrid>
        <w:gridCol w:w="4680"/>
        <w:gridCol w:w="4680"/>
      </w:tblGrid>
      <w:tr>
        <w:tc>
          <w:tcPr>
            <w:tcW w:type="dxa" w:w="4320"/>
            <w:shd w:fill="E8EEF5"/>
            <w:tcMar>
              <w:top w:w="80" w:type="dxa"/>
              <w:start w:w="120" w:type="dxa"/>
              <w:bottom w:w="80" w:type="dxa"/>
              <w:end w:w="120" w:type="dxa"/>
            </w:tcMar>
            <w:vAlign w:val="center"/>
          </w:tcPr>
          <w:p>
            <w:r>
              <w:rPr>
                <w:b/>
              </w:rPr>
              <w:t>Category</w:t>
            </w:r>
          </w:p>
        </w:tc>
        <w:tc>
          <w:tcPr>
            <w:tcW w:type="dxa" w:w="1728"/>
            <w:shd w:fill="E8EEF5"/>
            <w:tcMar>
              <w:top w:w="80" w:type="dxa"/>
              <w:start w:w="120" w:type="dxa"/>
              <w:bottom w:w="80" w:type="dxa"/>
              <w:end w:w="120" w:type="dxa"/>
            </w:tcMar>
            <w:vAlign w:val="center"/>
          </w:tcPr>
          <w:p>
            <w:r>
              <w:rPr>
                <w:b/>
              </w:rPr>
              <w:t>Count</w:t>
            </w:r>
          </w:p>
        </w:tc>
      </w:tr>
      <w:tr>
        <w:tc>
          <w:tcPr>
            <w:tcW w:type="dxa" w:w="4320"/>
            <w:tcMar>
              <w:top w:w="80" w:type="dxa"/>
              <w:start w:w="120" w:type="dxa"/>
              <w:bottom w:w="80" w:type="dxa"/>
              <w:end w:w="120" w:type="dxa"/>
            </w:tcMar>
            <w:vAlign w:val="center"/>
          </w:tcPr>
          <w:p>
            <w:r>
              <w:t>agentic</w:t>
            </w:r>
          </w:p>
        </w:tc>
        <w:tc>
          <w:tcPr>
            <w:tcW w:type="dxa" w:w="1728"/>
            <w:tcMar>
              <w:top w:w="80" w:type="dxa"/>
              <w:start w:w="120" w:type="dxa"/>
              <w:bottom w:w="80" w:type="dxa"/>
              <w:end w:w="120" w:type="dxa"/>
            </w:tcMar>
            <w:vAlign w:val="center"/>
          </w:tcPr>
          <w:p>
            <w:r>
              <w:t>6</w:t>
            </w:r>
          </w:p>
        </w:tc>
      </w:tr>
      <w:tr>
        <w:tc>
          <w:tcPr>
            <w:tcW w:type="dxa" w:w="4320"/>
            <w:tcMar>
              <w:top w:w="80" w:type="dxa"/>
              <w:start w:w="120" w:type="dxa"/>
              <w:bottom w:w="80" w:type="dxa"/>
              <w:end w:w="120" w:type="dxa"/>
            </w:tcMar>
            <w:vAlign w:val="center"/>
          </w:tcPr>
          <w:p>
            <w:r>
              <w:t>coding</w:t>
            </w:r>
          </w:p>
        </w:tc>
        <w:tc>
          <w:tcPr>
            <w:tcW w:type="dxa" w:w="1728"/>
            <w:tcMar>
              <w:top w:w="80" w:type="dxa"/>
              <w:start w:w="120" w:type="dxa"/>
              <w:bottom w:w="80" w:type="dxa"/>
              <w:end w:w="120" w:type="dxa"/>
            </w:tcMar>
            <w:vAlign w:val="center"/>
          </w:tcPr>
          <w:p>
            <w:r>
              <w:t>16</w:t>
            </w:r>
          </w:p>
        </w:tc>
      </w:tr>
      <w:tr>
        <w:tc>
          <w:tcPr>
            <w:tcW w:type="dxa" w:w="4320"/>
            <w:tcMar>
              <w:top w:w="80" w:type="dxa"/>
              <w:start w:w="120" w:type="dxa"/>
              <w:bottom w:w="80" w:type="dxa"/>
              <w:end w:w="120" w:type="dxa"/>
            </w:tcMar>
            <w:vAlign w:val="center"/>
          </w:tcPr>
          <w:p>
            <w:r>
              <w:t>data</w:t>
            </w:r>
          </w:p>
        </w:tc>
        <w:tc>
          <w:tcPr>
            <w:tcW w:type="dxa" w:w="1728"/>
            <w:tcMar>
              <w:top w:w="80" w:type="dxa"/>
              <w:start w:w="120" w:type="dxa"/>
              <w:bottom w:w="80" w:type="dxa"/>
              <w:end w:w="120" w:type="dxa"/>
            </w:tcMar>
            <w:vAlign w:val="center"/>
          </w:tcPr>
          <w:p>
            <w:r>
              <w:t>8</w:t>
            </w:r>
          </w:p>
        </w:tc>
      </w:tr>
      <w:tr>
        <w:tc>
          <w:tcPr>
            <w:tcW w:type="dxa" w:w="4320"/>
            <w:tcMar>
              <w:top w:w="80" w:type="dxa"/>
              <w:start w:w="120" w:type="dxa"/>
              <w:bottom w:w="80" w:type="dxa"/>
              <w:end w:w="120" w:type="dxa"/>
            </w:tcMar>
            <w:vAlign w:val="center"/>
          </w:tcPr>
          <w:p>
            <w:r>
              <w:t>design</w:t>
            </w:r>
          </w:p>
        </w:tc>
        <w:tc>
          <w:tcPr>
            <w:tcW w:type="dxa" w:w="1728"/>
            <w:tcMar>
              <w:top w:w="80" w:type="dxa"/>
              <w:start w:w="120" w:type="dxa"/>
              <w:bottom w:w="80" w:type="dxa"/>
              <w:end w:w="120" w:type="dxa"/>
            </w:tcMar>
            <w:vAlign w:val="center"/>
          </w:tcPr>
          <w:p>
            <w:r>
              <w:t>10</w:t>
            </w:r>
          </w:p>
        </w:tc>
      </w:tr>
      <w:tr>
        <w:tc>
          <w:tcPr>
            <w:tcW w:type="dxa" w:w="4320"/>
            <w:tcMar>
              <w:top w:w="80" w:type="dxa"/>
              <w:start w:w="120" w:type="dxa"/>
              <w:bottom w:w="80" w:type="dxa"/>
              <w:end w:w="120" w:type="dxa"/>
            </w:tcMar>
            <w:vAlign w:val="center"/>
          </w:tcPr>
          <w:p>
            <w:r>
              <w:t>docs</w:t>
            </w:r>
          </w:p>
        </w:tc>
        <w:tc>
          <w:tcPr>
            <w:tcW w:type="dxa" w:w="1728"/>
            <w:tcMar>
              <w:top w:w="80" w:type="dxa"/>
              <w:start w:w="120" w:type="dxa"/>
              <w:bottom w:w="80" w:type="dxa"/>
              <w:end w:w="120" w:type="dxa"/>
            </w:tcMar>
            <w:vAlign w:val="center"/>
          </w:tcPr>
          <w:p>
            <w:r>
              <w:t>10</w:t>
            </w:r>
          </w:p>
        </w:tc>
      </w:tr>
      <w:tr>
        <w:tc>
          <w:tcPr>
            <w:tcW w:type="dxa" w:w="4320"/>
            <w:tcMar>
              <w:top w:w="80" w:type="dxa"/>
              <w:start w:w="120" w:type="dxa"/>
              <w:bottom w:w="80" w:type="dxa"/>
              <w:end w:w="120" w:type="dxa"/>
            </w:tcMar>
            <w:vAlign w:val="center"/>
          </w:tcPr>
          <w:p>
            <w:r>
              <w:t>media</w:t>
            </w:r>
          </w:p>
        </w:tc>
        <w:tc>
          <w:tcPr>
            <w:tcW w:type="dxa" w:w="1728"/>
            <w:tcMar>
              <w:top w:w="80" w:type="dxa"/>
              <w:start w:w="120" w:type="dxa"/>
              <w:bottom w:w="80" w:type="dxa"/>
              <w:end w:w="120" w:type="dxa"/>
            </w:tcMar>
            <w:vAlign w:val="center"/>
          </w:tcPr>
          <w:p>
            <w:r>
              <w:t>6</w:t>
            </w:r>
          </w:p>
        </w:tc>
      </w:tr>
      <w:tr>
        <w:tc>
          <w:tcPr>
            <w:tcW w:type="dxa" w:w="4320"/>
            <w:tcMar>
              <w:top w:w="80" w:type="dxa"/>
              <w:start w:w="120" w:type="dxa"/>
              <w:bottom w:w="80" w:type="dxa"/>
              <w:end w:w="120" w:type="dxa"/>
            </w:tcMar>
            <w:vAlign w:val="center"/>
          </w:tcPr>
          <w:p>
            <w:r>
              <w:t>ops</w:t>
            </w:r>
          </w:p>
        </w:tc>
        <w:tc>
          <w:tcPr>
            <w:tcW w:type="dxa" w:w="1728"/>
            <w:tcMar>
              <w:top w:w="80" w:type="dxa"/>
              <w:start w:w="120" w:type="dxa"/>
              <w:bottom w:w="80" w:type="dxa"/>
              <w:end w:w="120" w:type="dxa"/>
            </w:tcMar>
            <w:vAlign w:val="center"/>
          </w:tcPr>
          <w:p>
            <w:r>
              <w:t>12</w:t>
            </w:r>
          </w:p>
        </w:tc>
      </w:tr>
      <w:tr>
        <w:tc>
          <w:tcPr>
            <w:tcW w:type="dxa" w:w="4320"/>
            <w:tcMar>
              <w:top w:w="80" w:type="dxa"/>
              <w:start w:w="120" w:type="dxa"/>
              <w:bottom w:w="80" w:type="dxa"/>
              <w:end w:w="120" w:type="dxa"/>
            </w:tcMar>
            <w:vAlign w:val="center"/>
          </w:tcPr>
          <w:p>
            <w:r>
              <w:t>product</w:t>
            </w:r>
          </w:p>
        </w:tc>
        <w:tc>
          <w:tcPr>
            <w:tcW w:type="dxa" w:w="1728"/>
            <w:tcMar>
              <w:top w:w="80" w:type="dxa"/>
              <w:start w:w="120" w:type="dxa"/>
              <w:bottom w:w="80" w:type="dxa"/>
              <w:end w:w="120" w:type="dxa"/>
            </w:tcMar>
            <w:vAlign w:val="center"/>
          </w:tcPr>
          <w:p>
            <w:r>
              <w:t>8</w:t>
            </w:r>
          </w:p>
        </w:tc>
      </w:tr>
      <w:tr>
        <w:tc>
          <w:tcPr>
            <w:tcW w:type="dxa" w:w="4320"/>
            <w:tcMar>
              <w:top w:w="80" w:type="dxa"/>
              <w:start w:w="120" w:type="dxa"/>
              <w:bottom w:w="80" w:type="dxa"/>
              <w:end w:w="120" w:type="dxa"/>
            </w:tcMar>
            <w:vAlign w:val="center"/>
          </w:tcPr>
          <w:p>
            <w:r>
              <w:t>security</w:t>
            </w:r>
          </w:p>
        </w:tc>
        <w:tc>
          <w:tcPr>
            <w:tcW w:type="dxa" w:w="1728"/>
            <w:tcMar>
              <w:top w:w="80" w:type="dxa"/>
              <w:start w:w="120" w:type="dxa"/>
              <w:bottom w:w="80" w:type="dxa"/>
              <w:end w:w="120" w:type="dxa"/>
            </w:tcMar>
            <w:vAlign w:val="center"/>
          </w:tcPr>
          <w:p>
            <w:r>
              <w:t>12</w:t>
            </w:r>
          </w:p>
        </w:tc>
      </w:tr>
      <w:tr>
        <w:tc>
          <w:tcPr>
            <w:tcW w:type="dxa" w:w="4320"/>
            <w:tcMar>
              <w:top w:w="80" w:type="dxa"/>
              <w:start w:w="120" w:type="dxa"/>
              <w:bottom w:w="80" w:type="dxa"/>
              <w:end w:w="120" w:type="dxa"/>
            </w:tcMar>
            <w:vAlign w:val="center"/>
          </w:tcPr>
          <w:p>
            <w:r>
              <w:t>testing</w:t>
            </w:r>
          </w:p>
        </w:tc>
        <w:tc>
          <w:tcPr>
            <w:tcW w:type="dxa" w:w="1728"/>
            <w:tcMar>
              <w:top w:w="80" w:type="dxa"/>
              <w:start w:w="120" w:type="dxa"/>
              <w:bottom w:w="80" w:type="dxa"/>
              <w:end w:w="120" w:type="dxa"/>
            </w:tcMar>
            <w:vAlign w:val="center"/>
          </w:tcPr>
          <w:p>
            <w:r>
              <w:t>12</w:t>
            </w:r>
          </w:p>
        </w:tc>
      </w:tr>
    </w:tbl>
    <w:p/>
    <w:p>
      <w:pPr>
        <w:pStyle w:val="Heading1"/>
      </w:pPr>
      <w:r>
        <w:t>5. UI And Media Choices</w:t>
      </w:r>
    </w:p>
    <w:p>
      <w:r>
        <w:t>The library UI is a local developer tool, not a cloud dashboard. The design direction follows GitHub/Primer-style density and Radix-style accessible controls: high information density, narrow side rail, searchable rows, sticky detail panel, explicit host and risk metadata, and reduced-motion fallback. Framer and Figma dashboard galleries were used only as layout inspiration, not copied templates or runtime dependencies.</w:t>
      </w:r>
    </w:p>
    <w:tbl>
      <w:tblPr>
        <w:tblStyle w:val="TableGrid"/>
        <w:tblW w:type="auto" w:w="0"/>
        <w:jc w:val="left"/>
        <w:tblLook w:firstColumn="1" w:firstRow="1" w:lastColumn="0" w:lastRow="0" w:noHBand="0" w:noVBand="1" w:val="04A0"/>
      </w:tblPr>
      <w:tblGrid>
        <w:gridCol w:w="4680"/>
        <w:gridCol w:w="4680"/>
      </w:tblGrid>
      <w:tr>
        <w:tc>
          <w:tcPr>
            <w:tcW w:type="dxa" w:w="2880"/>
            <w:shd w:fill="E8EEF5"/>
            <w:tcMar>
              <w:top w:w="80" w:type="dxa"/>
              <w:start w:w="120" w:type="dxa"/>
              <w:bottom w:w="80" w:type="dxa"/>
              <w:end w:w="120" w:type="dxa"/>
            </w:tcMar>
            <w:vAlign w:val="center"/>
          </w:tcPr>
          <w:p>
            <w:r>
              <w:rPr>
                <w:b/>
              </w:rPr>
              <w:t>Asset</w:t>
            </w:r>
          </w:p>
        </w:tc>
        <w:tc>
          <w:tcPr>
            <w:tcW w:type="dxa" w:w="6480"/>
            <w:shd w:fill="E8EEF5"/>
            <w:tcMar>
              <w:top w:w="80" w:type="dxa"/>
              <w:start w:w="120" w:type="dxa"/>
              <w:bottom w:w="80" w:type="dxa"/>
              <w:end w:w="120" w:type="dxa"/>
            </w:tcMar>
            <w:vAlign w:val="center"/>
          </w:tcPr>
          <w:p>
            <w:r>
              <w:rPr>
                <w:b/>
              </w:rPr>
              <w:t>Status</w:t>
            </w:r>
          </w:p>
        </w:tc>
      </w:tr>
      <w:tr>
        <w:tc>
          <w:tcPr>
            <w:tcW w:type="dxa" w:w="2880"/>
            <w:tcMar>
              <w:top w:w="80" w:type="dxa"/>
              <w:start w:w="120" w:type="dxa"/>
              <w:bottom w:w="80" w:type="dxa"/>
              <w:end w:w="120" w:type="dxa"/>
            </w:tcMar>
            <w:vAlign w:val="center"/>
          </w:tcPr>
          <w:p>
            <w:r>
              <w:t>Demo poster</w:t>
            </w:r>
          </w:p>
        </w:tc>
        <w:tc>
          <w:tcPr>
            <w:tcW w:type="dxa" w:w="6480"/>
            <w:tcMar>
              <w:top w:w="80" w:type="dxa"/>
              <w:start w:w="120" w:type="dxa"/>
              <w:bottom w:w="80" w:type="dxa"/>
              <w:end w:w="120" w:type="dxa"/>
            </w:tcMar>
            <w:vAlign w:val="center"/>
          </w:tcPr>
          <w:p>
            <w:r>
              <w:t>present</w:t>
            </w:r>
          </w:p>
        </w:tc>
      </w:tr>
      <w:tr>
        <w:tc>
          <w:tcPr>
            <w:tcW w:type="dxa" w:w="2880"/>
            <w:tcMar>
              <w:top w:w="80" w:type="dxa"/>
              <w:start w:w="120" w:type="dxa"/>
              <w:bottom w:w="80" w:type="dxa"/>
              <w:end w:w="120" w:type="dxa"/>
            </w:tcMar>
            <w:vAlign w:val="center"/>
          </w:tcPr>
          <w:p>
            <w:r>
              <w:t>Demo MP4</w:t>
            </w:r>
          </w:p>
        </w:tc>
        <w:tc>
          <w:tcPr>
            <w:tcW w:type="dxa" w:w="6480"/>
            <w:tcMar>
              <w:top w:w="80" w:type="dxa"/>
              <w:start w:w="120" w:type="dxa"/>
              <w:bottom w:w="80" w:type="dxa"/>
              <w:end w:w="120" w:type="dxa"/>
            </w:tcMar>
            <w:vAlign w:val="center"/>
          </w:tcPr>
          <w:p>
            <w:r>
              <w:t>present, 6833441 bytes</w:t>
            </w:r>
          </w:p>
        </w:tc>
      </w:tr>
      <w:tr>
        <w:tc>
          <w:tcPr>
            <w:tcW w:type="dxa" w:w="2880"/>
            <w:tcMar>
              <w:top w:w="80" w:type="dxa"/>
              <w:start w:w="120" w:type="dxa"/>
              <w:bottom w:w="80" w:type="dxa"/>
              <w:end w:w="120" w:type="dxa"/>
            </w:tcMar>
            <w:vAlign w:val="center"/>
          </w:tcPr>
          <w:p>
            <w:r>
              <w:t>Star map SVG</w:t>
            </w:r>
          </w:p>
        </w:tc>
        <w:tc>
          <w:tcPr>
            <w:tcW w:type="dxa" w:w="6480"/>
            <w:tcMar>
              <w:top w:w="80" w:type="dxa"/>
              <w:start w:w="120" w:type="dxa"/>
              <w:bottom w:w="80" w:type="dxa"/>
              <w:end w:w="120" w:type="dxa"/>
            </w:tcMar>
            <w:vAlign w:val="center"/>
          </w:tcPr>
          <w:p>
            <w:r>
              <w:t>present</w:t>
            </w:r>
          </w:p>
        </w:tc>
      </w:tr>
      <w:tr>
        <w:tc>
          <w:tcPr>
            <w:tcW w:type="dxa" w:w="2880"/>
            <w:tcMar>
              <w:top w:w="80" w:type="dxa"/>
              <w:start w:w="120" w:type="dxa"/>
              <w:bottom w:w="80" w:type="dxa"/>
              <w:end w:w="120" w:type="dxa"/>
            </w:tcMar>
            <w:vAlign w:val="center"/>
          </w:tcPr>
          <w:p>
            <w:r>
              <w:t>README video approach</w:t>
            </w:r>
          </w:p>
        </w:tc>
        <w:tc>
          <w:tcPr>
            <w:tcW w:type="dxa" w:w="6480"/>
            <w:tcMar>
              <w:top w:w="80" w:type="dxa"/>
              <w:start w:w="120" w:type="dxa"/>
              <w:bottom w:w="80" w:type="dxa"/>
              <w:end w:w="120" w:type="dxa"/>
            </w:tcMar>
            <w:vAlign w:val="center"/>
          </w:tcPr>
          <w:p>
            <w:r>
              <w:t>poster visible in README; MP4 committed as direct raw/download target</w:t>
            </w:r>
          </w:p>
        </w:tc>
      </w:tr>
    </w:tbl>
    <w:p/>
    <w:p>
      <w:pPr>
        <w:pStyle w:val="Heading1"/>
      </w:pPr>
      <w:r>
        <w:t>6. Verification Evidence</w:t>
      </w:r>
    </w:p>
    <w:p>
      <w:r>
        <w:t>The final gate was run from the repository root on 2026-07-18. The results below are command outputs from local verification, not invented benchmark claims.</w:t>
      </w:r>
    </w:p>
    <w:tbl>
      <w:tblPr>
        <w:tblStyle w:val="TableGrid"/>
        <w:tblW w:type="auto" w:w="0"/>
        <w:jc w:val="left"/>
        <w:tblLook w:firstColumn="1" w:firstRow="1" w:lastColumn="0" w:lastRow="0" w:noHBand="0" w:noVBand="1" w:val="04A0"/>
      </w:tblPr>
      <w:tblGrid>
        <w:gridCol w:w="4680"/>
        <w:gridCol w:w="4680"/>
      </w:tblGrid>
      <w:tr>
        <w:tc>
          <w:tcPr>
            <w:tcW w:type="dxa" w:w="3168"/>
            <w:shd w:fill="E8EEF5"/>
            <w:tcMar>
              <w:top w:w="80" w:type="dxa"/>
              <w:start w:w="120" w:type="dxa"/>
              <w:bottom w:w="80" w:type="dxa"/>
              <w:end w:w="120" w:type="dxa"/>
            </w:tcMar>
            <w:vAlign w:val="center"/>
          </w:tcPr>
          <w:p>
            <w:r>
              <w:rPr>
                <w:b/>
              </w:rPr>
              <w:t>Gate</w:t>
            </w:r>
          </w:p>
        </w:tc>
        <w:tc>
          <w:tcPr>
            <w:tcW w:type="dxa" w:w="6192"/>
            <w:shd w:fill="E8EEF5"/>
            <w:tcMar>
              <w:top w:w="80" w:type="dxa"/>
              <w:start w:w="120" w:type="dxa"/>
              <w:bottom w:w="80" w:type="dxa"/>
              <w:end w:w="120" w:type="dxa"/>
            </w:tcMar>
            <w:vAlign w:val="center"/>
          </w:tcPr>
          <w:p>
            <w:r>
              <w:rPr>
                <w:b/>
              </w:rPr>
              <w:t>Result</w:t>
            </w:r>
          </w:p>
        </w:tc>
      </w:tr>
      <w:tr>
        <w:tc>
          <w:tcPr>
            <w:tcW w:type="dxa" w:w="3168"/>
            <w:tcMar>
              <w:top w:w="80" w:type="dxa"/>
              <w:start w:w="120" w:type="dxa"/>
              <w:bottom w:w="80" w:type="dxa"/>
              <w:end w:w="120" w:type="dxa"/>
            </w:tcMar>
            <w:vAlign w:val="center"/>
          </w:tcPr>
          <w:p>
            <w:r>
              <w:t>node --test targeted set</w:t>
            </w:r>
          </w:p>
        </w:tc>
        <w:tc>
          <w:tcPr>
            <w:tcW w:type="dxa" w:w="6192"/>
            <w:tcMar>
              <w:top w:w="80" w:type="dxa"/>
              <w:start w:w="120" w:type="dxa"/>
              <w:bottom w:w="80" w:type="dxa"/>
              <w:end w:w="120" w:type="dxa"/>
            </w:tcMar>
            <w:vAlign w:val="center"/>
          </w:tcPr>
          <w:p>
            <w:r>
              <w:t>23 tests passed for CLI/workflows/library/MCP/PowerShell safety</w:t>
            </w:r>
          </w:p>
        </w:tc>
      </w:tr>
      <w:tr>
        <w:tc>
          <w:tcPr>
            <w:tcW w:type="dxa" w:w="3168"/>
            <w:tcMar>
              <w:top w:w="80" w:type="dxa"/>
              <w:start w:w="120" w:type="dxa"/>
              <w:bottom w:w="80" w:type="dxa"/>
              <w:end w:w="120" w:type="dxa"/>
            </w:tcMar>
            <w:vAlign w:val="center"/>
          </w:tcPr>
          <w:p>
            <w:r>
              <w:t>npm run check</w:t>
            </w:r>
          </w:p>
        </w:tc>
        <w:tc>
          <w:tcPr>
            <w:tcW w:type="dxa" w:w="6192"/>
            <w:tcMar>
              <w:top w:w="80" w:type="dxa"/>
              <w:start w:w="120" w:type="dxa"/>
              <w:bottom w:w="80" w:type="dxa"/>
              <w:end w:w="120" w:type="dxa"/>
            </w:tcMar>
            <w:vAlign w:val="center"/>
          </w:tcPr>
          <w:p>
            <w:r>
              <w:t>pass; 226 tests, eval, demo, build check, dist build, dist smoke, host validation, evidence</w:t>
            </w:r>
          </w:p>
        </w:tc>
      </w:tr>
      <w:tr>
        <w:tc>
          <w:tcPr>
            <w:tcW w:type="dxa" w:w="3168"/>
            <w:tcMar>
              <w:top w:w="80" w:type="dxa"/>
              <w:start w:w="120" w:type="dxa"/>
              <w:bottom w:w="80" w:type="dxa"/>
              <w:end w:w="120" w:type="dxa"/>
            </w:tcMar>
            <w:vAlign w:val="center"/>
          </w:tcPr>
          <w:p>
            <w:r>
              <w:t>Routing eval</w:t>
            </w:r>
          </w:p>
        </w:tc>
        <w:tc>
          <w:tcPr>
            <w:tcW w:type="dxa" w:w="6192"/>
            <w:tcMar>
              <w:top w:w="80" w:type="dxa"/>
              <w:start w:w="120" w:type="dxa"/>
              <w:bottom w:w="80" w:type="dxa"/>
              <w:end w:w="120" w:type="dxa"/>
            </w:tcMar>
            <w:vAlign w:val="center"/>
          </w:tcPr>
          <w:p>
            <w:r>
              <w:t>exact=1.00, precision=1.00, recall=1.00 on frozen local corpus</w:t>
            </w:r>
          </w:p>
        </w:tc>
      </w:tr>
      <w:tr>
        <w:tc>
          <w:tcPr>
            <w:tcW w:type="dxa" w:w="3168"/>
            <w:tcMar>
              <w:top w:w="80" w:type="dxa"/>
              <w:start w:w="120" w:type="dxa"/>
              <w:bottom w:w="80" w:type="dxa"/>
              <w:end w:w="120" w:type="dxa"/>
            </w:tcMar>
            <w:vAlign w:val="center"/>
          </w:tcPr>
          <w:p>
            <w:r>
              <w:t>Demo</w:t>
            </w:r>
          </w:p>
        </w:tc>
        <w:tc>
          <w:tcPr>
            <w:tcW w:type="dxa" w:w="6192"/>
            <w:tcMar>
              <w:top w:w="80" w:type="dxa"/>
              <w:start w:w="120" w:type="dxa"/>
              <w:bottom w:w="80" w:type="dxa"/>
              <w:end w:w="120" w:type="dxa"/>
            </w:tcMar>
            <w:vAlign w:val="center"/>
          </w:tcPr>
          <w:p>
            <w:r>
              <w:t>offline noninteractive demo pass; unsafe deny -&gt; safe package -&gt; receipt verify</w:t>
            </w:r>
          </w:p>
        </w:tc>
      </w:tr>
      <w:tr>
        <w:tc>
          <w:tcPr>
            <w:tcW w:type="dxa" w:w="3168"/>
            <w:tcMar>
              <w:top w:w="80" w:type="dxa"/>
              <w:start w:w="120" w:type="dxa"/>
              <w:bottom w:w="80" w:type="dxa"/>
              <w:end w:w="120" w:type="dxa"/>
            </w:tcMar>
            <w:vAlign w:val="center"/>
          </w:tcPr>
          <w:p>
            <w:r>
              <w:t>Host validation</w:t>
            </w:r>
          </w:p>
        </w:tc>
        <w:tc>
          <w:tcPr>
            <w:tcW w:type="dxa" w:w="6192"/>
            <w:tcMar>
              <w:top w:w="80" w:type="dxa"/>
              <w:start w:w="120" w:type="dxa"/>
              <w:bottom w:w="80" w:type="dxa"/>
              <w:end w:w="120" w:type="dxa"/>
            </w:tcMar>
            <w:vAlign w:val="center"/>
          </w:tcPr>
          <w:p>
            <w:r>
              <w:t>pass</w:t>
            </w:r>
          </w:p>
        </w:tc>
      </w:tr>
      <w:tr>
        <w:tc>
          <w:tcPr>
            <w:tcW w:type="dxa" w:w="3168"/>
            <w:tcMar>
              <w:top w:w="80" w:type="dxa"/>
              <w:start w:w="120" w:type="dxa"/>
              <w:bottom w:w="80" w:type="dxa"/>
              <w:end w:w="120" w:type="dxa"/>
            </w:tcMar>
            <w:vAlign w:val="center"/>
          </w:tcPr>
          <w:p>
            <w:r>
              <w:t>Evidence bundle</w:t>
            </w:r>
          </w:p>
        </w:tc>
        <w:tc>
          <w:tcPr>
            <w:tcW w:type="dxa" w:w="6192"/>
            <w:tcMar>
              <w:top w:w="80" w:type="dxa"/>
              <w:start w:w="120" w:type="dxa"/>
              <w:bottom w:w="80" w:type="dxa"/>
              <w:end w:w="120" w:type="dxa"/>
            </w:tcMar>
            <w:vAlign w:val="center"/>
          </w:tcPr>
          <w:p>
            <w:r>
              <w:t>d942e272becb4eb9c9d56f0e10042cf2ffda2c5063058b242fb4055a234c202c</w:t>
            </w:r>
          </w:p>
        </w:tc>
      </w:tr>
      <w:tr>
        <w:tc>
          <w:tcPr>
            <w:tcW w:type="dxa" w:w="3168"/>
            <w:tcMar>
              <w:top w:w="80" w:type="dxa"/>
              <w:start w:w="120" w:type="dxa"/>
              <w:bottom w:w="80" w:type="dxa"/>
              <w:end w:w="120" w:type="dxa"/>
            </w:tcMar>
            <w:vAlign w:val="center"/>
          </w:tcPr>
          <w:p>
            <w:r>
              <w:t>npm audit</w:t>
            </w:r>
          </w:p>
        </w:tc>
        <w:tc>
          <w:tcPr>
            <w:tcW w:type="dxa" w:w="6192"/>
            <w:tcMar>
              <w:top w:w="80" w:type="dxa"/>
              <w:start w:w="120" w:type="dxa"/>
              <w:bottom w:w="80" w:type="dxa"/>
              <w:end w:w="120" w:type="dxa"/>
            </w:tcMar>
            <w:vAlign w:val="center"/>
          </w:tcPr>
          <w:p>
            <w:r>
              <w:t>0 low/moderate/high/critical vulnerabilities in package-lock audit</w:t>
            </w:r>
          </w:p>
        </w:tc>
      </w:tr>
      <w:tr>
        <w:tc>
          <w:tcPr>
            <w:tcW w:type="dxa" w:w="3168"/>
            <w:tcMar>
              <w:top w:w="80" w:type="dxa"/>
              <w:start w:w="120" w:type="dxa"/>
              <w:bottom w:w="80" w:type="dxa"/>
              <w:end w:w="120" w:type="dxa"/>
            </w:tcMar>
            <w:vAlign w:val="center"/>
          </w:tcPr>
          <w:p>
            <w:r>
              <w:t>npm pack --dry-run</w:t>
            </w:r>
          </w:p>
        </w:tc>
        <w:tc>
          <w:tcPr>
            <w:tcW w:type="dxa" w:w="6192"/>
            <w:tcMar>
              <w:top w:w="80" w:type="dxa"/>
              <w:start w:w="120" w:type="dxa"/>
              <w:bottom w:w="80" w:type="dxa"/>
              <w:end w:w="120" w:type="dxa"/>
            </w:tcMar>
            <w:vAlign w:val="center"/>
          </w:tcPr>
          <w:p>
            <w:r>
              <w:t>included README, assets, MP4, workflows, library/workbench sources, bundled CLI</w:t>
            </w:r>
          </w:p>
        </w:tc>
      </w:tr>
      <w:tr>
        <w:tc>
          <w:tcPr>
            <w:tcW w:type="dxa" w:w="3168"/>
            <w:tcMar>
              <w:top w:w="80" w:type="dxa"/>
              <w:start w:w="120" w:type="dxa"/>
              <w:bottom w:w="80" w:type="dxa"/>
              <w:end w:w="120" w:type="dxa"/>
            </w:tcMar>
            <w:vAlign w:val="center"/>
          </w:tcPr>
          <w:p>
            <w:r>
              <w:t>Claim scan</w:t>
            </w:r>
          </w:p>
        </w:tc>
        <w:tc>
          <w:tcPr>
            <w:tcW w:type="dxa" w:w="6192"/>
            <w:tcMar>
              <w:top w:w="80" w:type="dxa"/>
              <w:start w:w="120" w:type="dxa"/>
              <w:bottom w:w="80" w:type="dxa"/>
              <w:end w:w="120" w:type="dxa"/>
            </w:tcMar>
            <w:vAlign w:val="center"/>
          </w:tcPr>
          <w:p>
            <w:r>
              <w:t>no Remotion, stale npx, old inventory, or unsupported superiority terms in public docs</w:t>
            </w:r>
          </w:p>
        </w:tc>
      </w:tr>
    </w:tbl>
    <w:p/>
    <w:p>
      <w:pPr>
        <w:pStyle w:val="Heading1"/>
      </w:pPr>
      <w:r>
        <w:t>7. Safety Boundaries</w:t>
      </w:r>
    </w:p>
    <w:p>
      <w:r>
        <w:t>SkillsForge does not claim OS sandboxing, third-party attestation, swarm consensus, AgentDB, or full runtime policy parity for hosts that only receive copied skill packages. Codex packaging and Claude-style hooks are the strong enforcement paths; other hosts are package-fidelity targets with explicit trust boundaries.</w:t>
      </w:r>
    </w:p>
    <w:p>
      <w:r>
        <w:t>All automatic routing commands remain read-only by default. Deleting installed skills requires --allow-mutations and --yes at the CLI, and the local UI requires a second confirmation. Workflow run is dry-run only. Auto run requires --read-only.</w:t>
      </w:r>
    </w:p>
    <w:p>
      <w:pPr>
        <w:pStyle w:val="Heading1"/>
      </w:pPr>
      <w:r>
        <w:t>8. Judge Story</w:t>
      </w:r>
    </w:p>
    <w:p>
      <w:r>
        <w:t>The strongest demo path is short: run the offline demo, show the unsafe example blocked without executing, package the safe example, verify the receipt, then show the local library/workflow/PowerShell additions as the scale and usability layer. This keeps the pitch factual: trust first, then productivity.</w:t>
      </w:r>
    </w:p>
    <w:tbl>
      <w:tblPr>
        <w:tblStyle w:val="TableGrid"/>
        <w:tblW w:type="auto" w:w="0"/>
        <w:jc w:val="left"/>
        <w:tblLook w:firstColumn="1" w:firstRow="1" w:lastColumn="0" w:lastRow="0" w:noHBand="0" w:noVBand="1" w:val="04A0"/>
      </w:tblPr>
      <w:tblGrid>
        <w:gridCol w:w="4680"/>
        <w:gridCol w:w="4680"/>
      </w:tblGrid>
      <w:tr>
        <w:tc>
          <w:tcPr>
            <w:tcW w:type="dxa" w:w="2160"/>
            <w:shd w:fill="E8EEF5"/>
            <w:tcMar>
              <w:top w:w="80" w:type="dxa"/>
              <w:start w:w="120" w:type="dxa"/>
              <w:bottom w:w="80" w:type="dxa"/>
              <w:end w:w="120" w:type="dxa"/>
            </w:tcMar>
            <w:vAlign w:val="center"/>
          </w:tcPr>
          <w:p>
            <w:r>
              <w:rPr>
                <w:b/>
              </w:rPr>
              <w:t>Minute</w:t>
            </w:r>
          </w:p>
        </w:tc>
        <w:tc>
          <w:tcPr>
            <w:tcW w:type="dxa" w:w="7200"/>
            <w:shd w:fill="E8EEF5"/>
            <w:tcMar>
              <w:top w:w="80" w:type="dxa"/>
              <w:start w:w="120" w:type="dxa"/>
              <w:bottom w:w="80" w:type="dxa"/>
              <w:end w:w="120" w:type="dxa"/>
            </w:tcMar>
            <w:vAlign w:val="center"/>
          </w:tcPr>
          <w:p>
            <w:r>
              <w:rPr>
                <w:b/>
              </w:rPr>
              <w:t>Proof</w:t>
            </w:r>
          </w:p>
        </w:tc>
      </w:tr>
      <w:tr>
        <w:tc>
          <w:tcPr>
            <w:tcW w:type="dxa" w:w="2160"/>
            <w:tcMar>
              <w:top w:w="80" w:type="dxa"/>
              <w:start w:w="120" w:type="dxa"/>
              <w:bottom w:w="80" w:type="dxa"/>
              <w:end w:w="120" w:type="dxa"/>
            </w:tcMar>
            <w:vAlign w:val="center"/>
          </w:tcPr>
          <w:p>
            <w:r>
              <w:t>0:00-0:30</w:t>
            </w:r>
          </w:p>
        </w:tc>
        <w:tc>
          <w:tcPr>
            <w:tcW w:type="dxa" w:w="7200"/>
            <w:tcMar>
              <w:top w:w="80" w:type="dxa"/>
              <w:start w:w="120" w:type="dxa"/>
              <w:bottom w:w="80" w:type="dxa"/>
              <w:end w:w="120" w:type="dxa"/>
            </w:tcMar>
            <w:vAlign w:val="center"/>
          </w:tcPr>
          <w:p>
            <w:r>
              <w:t>State the trust gap and run the unsafe deny path</w:t>
            </w:r>
          </w:p>
        </w:tc>
      </w:tr>
      <w:tr>
        <w:tc>
          <w:tcPr>
            <w:tcW w:type="dxa" w:w="2160"/>
            <w:tcMar>
              <w:top w:w="80" w:type="dxa"/>
              <w:start w:w="120" w:type="dxa"/>
              <w:bottom w:w="80" w:type="dxa"/>
              <w:end w:w="120" w:type="dxa"/>
            </w:tcMar>
            <w:vAlign w:val="center"/>
          </w:tcPr>
          <w:p>
            <w:r>
              <w:t>0:30-1:10</w:t>
            </w:r>
          </w:p>
        </w:tc>
        <w:tc>
          <w:tcPr>
            <w:tcW w:type="dxa" w:w="7200"/>
            <w:tcMar>
              <w:top w:w="80" w:type="dxa"/>
              <w:start w:w="120" w:type="dxa"/>
              <w:bottom w:w="80" w:type="dxa"/>
              <w:end w:w="120" w:type="dxa"/>
            </w:tcMar>
            <w:vAlign w:val="center"/>
          </w:tcPr>
          <w:p>
            <w:r>
              <w:t>Package the safe Codex skill and show receipt verification</w:t>
            </w:r>
          </w:p>
        </w:tc>
      </w:tr>
      <w:tr>
        <w:tc>
          <w:tcPr>
            <w:tcW w:type="dxa" w:w="2160"/>
            <w:tcMar>
              <w:top w:w="80" w:type="dxa"/>
              <w:start w:w="120" w:type="dxa"/>
              <w:bottom w:w="80" w:type="dxa"/>
              <w:end w:w="120" w:type="dxa"/>
            </w:tcMar>
            <w:vAlign w:val="center"/>
          </w:tcPr>
          <w:p>
            <w:r>
              <w:t>1:10-1:50</w:t>
            </w:r>
          </w:p>
        </w:tc>
        <w:tc>
          <w:tcPr>
            <w:tcW w:type="dxa" w:w="7200"/>
            <w:tcMar>
              <w:top w:w="80" w:type="dxa"/>
              <w:start w:w="120" w:type="dxa"/>
              <w:bottom w:w="80" w:type="dxa"/>
              <w:end w:w="120" w:type="dxa"/>
            </w:tcMar>
            <w:vAlign w:val="center"/>
          </w:tcPr>
          <w:p>
            <w:r>
              <w:t>Show wb status, workflows recommend, auto run --read-only</w:t>
            </w:r>
          </w:p>
        </w:tc>
      </w:tr>
      <w:tr>
        <w:tc>
          <w:tcPr>
            <w:tcW w:type="dxa" w:w="2160"/>
            <w:tcMar>
              <w:top w:w="80" w:type="dxa"/>
              <w:start w:w="120" w:type="dxa"/>
              <w:bottom w:w="80" w:type="dxa"/>
              <w:end w:w="120" w:type="dxa"/>
            </w:tcMar>
            <w:vAlign w:val="center"/>
          </w:tcPr>
          <w:p>
            <w:r>
              <w:t>1:50-2:30</w:t>
            </w:r>
          </w:p>
        </w:tc>
        <w:tc>
          <w:tcPr>
            <w:tcW w:type="dxa" w:w="7200"/>
            <w:tcMar>
              <w:top w:w="80" w:type="dxa"/>
              <w:start w:w="120" w:type="dxa"/>
              <w:bottom w:w="80" w:type="dxa"/>
              <w:end w:w="120" w:type="dxa"/>
            </w:tcMar>
            <w:vAlign w:val="center"/>
          </w:tcPr>
          <w:p>
            <w:r>
              <w:t>Open library HTML and AI index outputs</w:t>
            </w:r>
          </w:p>
        </w:tc>
      </w:tr>
      <w:tr>
        <w:tc>
          <w:tcPr>
            <w:tcW w:type="dxa" w:w="2160"/>
            <w:tcMar>
              <w:top w:w="80" w:type="dxa"/>
              <w:start w:w="120" w:type="dxa"/>
              <w:bottom w:w="80" w:type="dxa"/>
              <w:end w:w="120" w:type="dxa"/>
            </w:tcMar>
            <w:vAlign w:val="center"/>
          </w:tcPr>
          <w:p>
            <w:r>
              <w:t>2:30-3:00</w:t>
            </w:r>
          </w:p>
        </w:tc>
        <w:tc>
          <w:tcPr>
            <w:tcW w:type="dxa" w:w="7200"/>
            <w:tcMar>
              <w:top w:w="80" w:type="dxa"/>
              <w:start w:w="120" w:type="dxa"/>
              <w:bottom w:w="80" w:type="dxa"/>
              <w:end w:w="120" w:type="dxa"/>
            </w:tcMar>
            <w:vAlign w:val="center"/>
          </w:tcPr>
          <w:p>
            <w:r>
              <w:t>Show host boundaries, evidence bundle, and README poster/MP4</w:t>
            </w:r>
          </w:p>
        </w:tc>
      </w:tr>
    </w:tbl>
    <w:p/>
    <w:p>
      <w:pPr>
        <w:pStyle w:val="Heading1"/>
      </w:pPr>
      <w:r>
        <w:t>9. What Changed In This Pass</w:t>
      </w:r>
    </w:p>
    <w:p>
      <w:r>
        <w:t>The pass added or verified the universal host story, local workbench commands, PowerShell wrappers, single-file library HTML, AI index HTML, read-only MCP recommendation tools, 100 dry-run workflows, expanded specialist agents, README/media cleanup, star map SVG, and this documentary. It also corrected stale MCP wording and added tests for wb --full and auto run safety.</w:t>
      </w:r>
    </w:p>
    <w:p>
      <w:r>
        <w:t>The final repository state should be committed and pushed to the existing pull request after verification. The rollback path is normal git history on branch codex/hackathon-hardening-architecture.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SkillsForge hackathon documentary - generated from local repository evidence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