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2545"/>
          <w:sz w:val="48"/>
        </w:rPr>
        <w:t>SkillsForge Hackathon Build Documentary</w:t>
      </w:r>
    </w:p>
    <w:p>
      <w:pPr>
        <w:jc w:val="center"/>
      </w:pPr>
      <w:r>
        <w:rPr>
          <w:color w:val="1F4D78"/>
          <w:sz w:val="26"/>
        </w:rPr>
        <w:t>From trust idea to universal AI CLI skill pipeline</w:t>
      </w:r>
    </w:p>
    <w:p>
      <w:pPr>
        <w:jc w:val="center"/>
      </w:pPr>
      <w:r>
        <w:t>Repository: C:\Users\USER\Desktop\vibecoded\skillsforge</w:t>
        <w:br/>
      </w:r>
      <w:r>
        <w:t>Branch: codex/hackathon-hardening-architecture</w:t>
        <w:br/>
      </w:r>
      <w:r>
        <w:t>Version: 0.4.0</w:t>
        <w:br/>
      </w:r>
      <w:r>
        <w:t>Date: 2026-07-18</w:t>
      </w:r>
    </w:p>
    <w:p/>
    <w:p>
      <w:pPr>
        <w:jc w:val="center"/>
      </w:pPr>
      <w:r>
        <w:drawing>
          <wp:inline xmlns:a="http://schemas.openxmlformats.org/drawingml/2006/main" xmlns:pic="http://schemas.openxmlformats.org/drawingml/2006/picture">
            <wp:extent cx="5394960" cy="3034665"/>
            <wp:docPr id="1" name="Picture 1"/>
            <wp:cNvGraphicFramePr>
              <a:graphicFrameLocks noChangeAspect="1"/>
            </wp:cNvGraphicFramePr>
            <a:graphic>
              <a:graphicData uri="http://schemas.openxmlformats.org/drawingml/2006/picture">
                <pic:pic>
                  <pic:nvPicPr>
                    <pic:cNvPr id="0" name="skillsforge-demo-poster.png"/>
                    <pic:cNvPicPr/>
                  </pic:nvPicPr>
                  <pic:blipFill>
                    <a:blip r:embed="rId11"/>
                    <a:stretch>
                      <a:fillRect/>
                    </a:stretch>
                  </pic:blipFill>
                  <pic:spPr>
                    <a:xfrm>
                      <a:off x="0" y="0"/>
                      <a:ext cx="5394960" cy="3034665"/>
                    </a:xfrm>
                    <a:prstGeom prst="rect"/>
                  </pic:spPr>
                </pic:pic>
              </a:graphicData>
            </a:graphic>
          </wp:inline>
        </w:drawing>
      </w:r>
    </w:p>
    <w:p>
      <w:r>
        <w:br w:type="page"/>
      </w:r>
    </w:p>
    <w:p>
      <w:pPr>
        <w:pStyle w:val="Heading1"/>
      </w:pPr>
      <w:r>
        <w:t>1. Executive brief</w:t>
      </w:r>
    </w:p>
    <w:p>
      <w:r>
        <w:t>SkillsForge is a trust and routing layer for portable Agent Skills. The project validates skill structure, scans declared capabilities, fails closed on unsafe examples, packages one safe skill into a guarded Codex plugin, installs validated packages into multiple AI CLI skill roots, and emits evidence receipts for packaged bytes.</w:t>
      </w:r>
    </w:p>
    <w:tbl>
      <w:tblPr>
        <w:tblStyle w:val="TableGrid"/>
        <w:tblW w:type="auto" w:w="0"/>
        <w:jc w:val="left"/>
        <w:tblLayout w:type="fixed"/>
        <w:tblLook w:firstColumn="1" w:firstRow="1" w:lastColumn="0" w:lastRow="0" w:noHBand="0" w:noVBand="1" w:val="04A0"/>
      </w:tblPr>
      <w:tblGrid>
        <w:gridCol w:w="4680"/>
        <w:gridCol w:w="4680"/>
      </w:tblGrid>
      <w:tr>
        <w:tc>
          <w:tcPr>
            <w:tcW w:type="dxa" w:w="2592"/>
            <w:vAlign w:val="center"/>
            <w:shd w:fill="F2F4F7"/>
          </w:tcPr>
          <w:p>
            <w:pPr>
              <w:spacing w:after="60"/>
            </w:pPr>
            <w:r>
              <w:rPr>
                <w:rFonts w:ascii="Calibri" w:hAnsi="Calibri"/>
                <w:b/>
                <w:color w:val="0B2545"/>
                <w:sz w:val="20"/>
              </w:rPr>
              <w:t>Field</w:t>
            </w:r>
          </w:p>
        </w:tc>
        <w:tc>
          <w:tcPr>
            <w:tcW w:type="dxa" w:w="6768"/>
            <w:vAlign w:val="center"/>
            <w:shd w:fill="F2F4F7"/>
          </w:tcPr>
          <w:p>
            <w:pPr>
              <w:spacing w:after="60"/>
            </w:pPr>
            <w:r>
              <w:rPr>
                <w:rFonts w:ascii="Calibri" w:hAnsi="Calibri"/>
                <w:b/>
                <w:color w:val="0B2545"/>
                <w:sz w:val="20"/>
              </w:rPr>
              <w:t>Value</w:t>
            </w:r>
          </w:p>
        </w:tc>
      </w:tr>
      <w:tr>
        <w:tc>
          <w:tcPr>
            <w:tcW w:type="dxa" w:w="2592"/>
            <w:vAlign w:val="center"/>
          </w:tcPr>
          <w:p>
            <w:pPr>
              <w:spacing w:after="60"/>
            </w:pPr>
            <w:r>
              <w:rPr>
                <w:rFonts w:ascii="Calibri" w:hAnsi="Calibri"/>
                <w:sz w:val="20"/>
              </w:rPr>
              <w:t>Primary target</w:t>
            </w:r>
          </w:p>
        </w:tc>
        <w:tc>
          <w:tcPr>
            <w:tcW w:type="dxa" w:w="6768"/>
            <w:vAlign w:val="center"/>
          </w:tcPr>
          <w:p>
            <w:pPr>
              <w:spacing w:after="60"/>
            </w:pPr>
            <w:r>
              <w:rPr>
                <w:rFonts w:ascii="Calibri" w:hAnsi="Calibri"/>
                <w:sz w:val="20"/>
              </w:rPr>
              <w:t>Codex native plugin and guarded one-skill package</w:t>
            </w:r>
          </w:p>
        </w:tc>
      </w:tr>
      <w:tr>
        <w:tc>
          <w:tcPr>
            <w:tcW w:type="dxa" w:w="2592"/>
            <w:vAlign w:val="center"/>
          </w:tcPr>
          <w:p>
            <w:pPr>
              <w:spacing w:after="60"/>
            </w:pPr>
            <w:r>
              <w:rPr>
                <w:rFonts w:ascii="Calibri" w:hAnsi="Calibri"/>
                <w:sz w:val="20"/>
              </w:rPr>
              <w:t>Second target</w:t>
            </w:r>
          </w:p>
        </w:tc>
        <w:tc>
          <w:tcPr>
            <w:tcW w:type="dxa" w:w="6768"/>
            <w:vAlign w:val="center"/>
          </w:tcPr>
          <w:p>
            <w:pPr>
              <w:spacing w:after="60"/>
            </w:pPr>
            <w:r>
              <w:rPr>
                <w:rFonts w:ascii="Calibri" w:hAnsi="Calibri"/>
                <w:sz w:val="20"/>
              </w:rPr>
              <w:t>Claude Code full-fidelity install with hooks and sidecar</w:t>
            </w:r>
          </w:p>
        </w:tc>
      </w:tr>
      <w:tr>
        <w:tc>
          <w:tcPr>
            <w:tcW w:type="dxa" w:w="2592"/>
            <w:vAlign w:val="center"/>
          </w:tcPr>
          <w:p>
            <w:pPr>
              <w:spacing w:after="60"/>
            </w:pPr>
            <w:r>
              <w:rPr>
                <w:rFonts w:ascii="Calibri" w:hAnsi="Calibri"/>
                <w:sz w:val="20"/>
              </w:rPr>
              <w:t>Package-fidelity targets</w:t>
            </w:r>
          </w:p>
        </w:tc>
        <w:tc>
          <w:tcPr>
            <w:tcW w:type="dxa" w:w="6768"/>
            <w:vAlign w:val="center"/>
          </w:tcPr>
          <w:p>
            <w:pPr>
              <w:spacing w:after="60"/>
            </w:pPr>
            <w:r>
              <w:rPr>
                <w:rFonts w:ascii="Calibri" w:hAnsi="Calibri"/>
                <w:sz w:val="20"/>
              </w:rPr>
              <w:t>Cursor, OpenCode, ZCode, Hermes, Gemini, plus custom local AI CLI skill directories</w:t>
            </w:r>
          </w:p>
        </w:tc>
      </w:tr>
      <w:tr>
        <w:tc>
          <w:tcPr>
            <w:tcW w:type="dxa" w:w="2592"/>
            <w:vAlign w:val="center"/>
          </w:tcPr>
          <w:p>
            <w:pPr>
              <w:spacing w:after="60"/>
            </w:pPr>
            <w:r>
              <w:rPr>
                <w:rFonts w:ascii="Calibri" w:hAnsi="Calibri"/>
                <w:sz w:val="20"/>
              </w:rPr>
              <w:t>Catalog verified locally</w:t>
            </w:r>
          </w:p>
        </w:tc>
        <w:tc>
          <w:tcPr>
            <w:tcW w:type="dxa" w:w="6768"/>
            <w:vAlign w:val="center"/>
          </w:tcPr>
          <w:p>
            <w:pPr>
              <w:spacing w:after="60"/>
            </w:pPr>
            <w:r>
              <w:rPr>
                <w:rFonts w:ascii="Calibri" w:hAnsi="Calibri"/>
                <w:sz w:val="20"/>
              </w:rPr>
              <w:t>366 skills, 26 packs, 10 profiles</w:t>
            </w:r>
          </w:p>
        </w:tc>
      </w:tr>
      <w:tr>
        <w:tc>
          <w:tcPr>
            <w:tcW w:type="dxa" w:w="2592"/>
            <w:vAlign w:val="center"/>
          </w:tcPr>
          <w:p>
            <w:pPr>
              <w:spacing w:after="60"/>
            </w:pPr>
            <w:r>
              <w:rPr>
                <w:rFonts w:ascii="Calibri" w:hAnsi="Calibri"/>
                <w:sz w:val="20"/>
              </w:rPr>
              <w:t>Agent and command inventory</w:t>
            </w:r>
          </w:p>
        </w:tc>
        <w:tc>
          <w:tcPr>
            <w:tcW w:type="dxa" w:w="6768"/>
            <w:vAlign w:val="center"/>
          </w:tcPr>
          <w:p>
            <w:pPr>
              <w:spacing w:after="60"/>
            </w:pPr>
            <w:r>
              <w:rPr>
                <w:rFonts w:ascii="Calibri" w:hAnsi="Calibri"/>
                <w:sz w:val="20"/>
              </w:rPr>
              <w:t>74 agent files, 119 command files</w:t>
            </w:r>
          </w:p>
        </w:tc>
      </w:tr>
      <w:tr>
        <w:tc>
          <w:tcPr>
            <w:tcW w:type="dxa" w:w="2592"/>
            <w:vAlign w:val="center"/>
          </w:tcPr>
          <w:p>
            <w:pPr>
              <w:spacing w:after="60"/>
            </w:pPr>
            <w:r>
              <w:rPr>
                <w:rFonts w:ascii="Calibri" w:hAnsi="Calibri"/>
                <w:sz w:val="20"/>
              </w:rPr>
              <w:t>Rollback checkpoint</w:t>
            </w:r>
          </w:p>
        </w:tc>
        <w:tc>
          <w:tcPr>
            <w:tcW w:type="dxa" w:w="6768"/>
            <w:vAlign w:val="center"/>
          </w:tcPr>
          <w:p>
            <w:pPr>
              <w:spacing w:after="60"/>
            </w:pPr>
            <w:r>
              <w:rPr>
                <w:rFonts w:ascii="Calibri" w:hAnsi="Calibri"/>
                <w:sz w:val="20"/>
              </w:rPr>
              <w:t>Commit 960125a: feat: harden hackathon ship surface</w:t>
            </w:r>
          </w:p>
        </w:tc>
      </w:tr>
    </w:tbl>
    <w:p/>
    <w:p>
      <w:pPr>
        <w:pStyle w:val="Heading1"/>
      </w:pPr>
      <w:r>
        <w:t>2. Problem</w:t>
      </w:r>
    </w:p>
    <w:p>
      <w:r>
        <w:t>Agent Skills are useful because they package repeatable work. The risk is that a skill can also carry undeclared shell commands, network references, write paths, scripts, or opaque files. A catalog can look impressive while still leaving operators unable to answer what a skill can do, whether it can be safely installed, and whether the packaged bytes changed later.</w:t>
      </w:r>
    </w:p>
    <w:p>
      <w:r>
        <w:t>The project goal is not to claim an OS sandbox or universal host control. The goal is narrower and testable: make skill packages reviewable, least-privilege, packageable, and tamper-evident.</w:t>
      </w:r>
    </w:p>
    <w:p>
      <w:pPr>
        <w:pStyle w:val="Heading1"/>
      </w:pPr>
      <w:r>
        <w:t>3. Why build this when other packs exist</w:t>
      </w:r>
    </w:p>
    <w:p>
      <w:r>
        <w:t>Existing skill ecosystems help with discovery, workflows, and role coverage. SkillsForge focuses on the trust gap around those workflows. The value proposition is: most skill packs solve discovery; SkillsForge solves trust.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2232"/>
            <w:vAlign w:val="center"/>
            <w:shd w:fill="F2F4F7"/>
          </w:tcPr>
          <w:p>
            <w:pPr>
              <w:spacing w:after="60"/>
            </w:pPr>
            <w:r>
              <w:rPr>
                <w:rFonts w:ascii="Calibri" w:hAnsi="Calibri"/>
                <w:b/>
                <w:color w:val="0B2545"/>
                <w:sz w:val="20"/>
              </w:rPr>
              <w:t>Reference surface</w:t>
            </w:r>
          </w:p>
        </w:tc>
        <w:tc>
          <w:tcPr>
            <w:tcW w:type="dxa" w:w="3168"/>
            <w:vAlign w:val="center"/>
            <w:shd w:fill="F2F4F7"/>
          </w:tcPr>
          <w:p>
            <w:pPr>
              <w:spacing w:after="60"/>
            </w:pPr>
            <w:r>
              <w:rPr>
                <w:rFonts w:ascii="Calibri" w:hAnsi="Calibri"/>
                <w:b/>
                <w:color w:val="0B2545"/>
                <w:sz w:val="20"/>
              </w:rPr>
              <w:t>Useful strength</w:t>
            </w:r>
          </w:p>
        </w:tc>
        <w:tc>
          <w:tcPr>
            <w:tcW w:type="dxa" w:w="3960"/>
            <w:vAlign w:val="center"/>
            <w:shd w:fill="F2F4F7"/>
          </w:tcPr>
          <w:p>
            <w:pPr>
              <w:spacing w:after="60"/>
            </w:pPr>
            <w:r>
              <w:rPr>
                <w:rFonts w:ascii="Calibri" w:hAnsi="Calibri"/>
                <w:b/>
                <w:color w:val="0B2545"/>
                <w:sz w:val="20"/>
              </w:rPr>
              <w:t>SkillsForge addition</w:t>
            </w:r>
          </w:p>
        </w:tc>
      </w:tr>
      <w:tr>
        <w:tc>
          <w:tcPr>
            <w:tcW w:type="dxa" w:w="2232"/>
            <w:vAlign w:val="center"/>
          </w:tcPr>
          <w:p>
            <w:pPr>
              <w:spacing w:after="60"/>
            </w:pPr>
            <w:r>
              <w:rPr>
                <w:rFonts w:ascii="Calibri" w:hAnsi="Calibri"/>
                <w:sz w:val="20"/>
              </w:rPr>
              <w:t>ECC-class packs</w:t>
            </w:r>
          </w:p>
        </w:tc>
        <w:tc>
          <w:tcPr>
            <w:tcW w:type="dxa" w:w="3168"/>
            <w:vAlign w:val="center"/>
          </w:tcPr>
          <w:p>
            <w:pPr>
              <w:spacing w:after="60"/>
            </w:pPr>
            <w:r>
              <w:rPr>
                <w:rFonts w:ascii="Calibri" w:hAnsi="Calibri"/>
                <w:sz w:val="20"/>
              </w:rPr>
              <w:t>Broad catalog and profiles</w:t>
            </w:r>
          </w:p>
        </w:tc>
        <w:tc>
          <w:tcPr>
            <w:tcW w:type="dxa" w:w="3960"/>
            <w:vAlign w:val="center"/>
          </w:tcPr>
          <w:p>
            <w:pPr>
              <w:spacing w:after="60"/>
            </w:pPr>
            <w:r>
              <w:rPr>
                <w:rFonts w:ascii="Calibri" w:hAnsi="Calibri"/>
                <w:sz w:val="20"/>
              </w:rPr>
              <w:t>Capability sidecars, validation gates, packaging, and receipts</w:t>
            </w:r>
          </w:p>
        </w:tc>
      </w:tr>
      <w:tr>
        <w:tc>
          <w:tcPr>
            <w:tcW w:type="dxa" w:w="2232"/>
            <w:vAlign w:val="center"/>
          </w:tcPr>
          <w:p>
            <w:pPr>
              <w:spacing w:after="60"/>
            </w:pPr>
            <w:r>
              <w:rPr>
                <w:rFonts w:ascii="Calibri" w:hAnsi="Calibri"/>
                <w:sz w:val="20"/>
              </w:rPr>
              <w:t>Superpowers-style discipline</w:t>
            </w:r>
          </w:p>
        </w:tc>
        <w:tc>
          <w:tcPr>
            <w:tcW w:type="dxa" w:w="3168"/>
            <w:vAlign w:val="center"/>
          </w:tcPr>
          <w:p>
            <w:pPr>
              <w:spacing w:after="60"/>
            </w:pPr>
            <w:r>
              <w:rPr>
                <w:rFonts w:ascii="Calibri" w:hAnsi="Calibri"/>
                <w:sz w:val="20"/>
              </w:rPr>
              <w:t>Plan, TDD, review, verification norms</w:t>
            </w:r>
          </w:p>
        </w:tc>
        <w:tc>
          <w:tcPr>
            <w:tcW w:type="dxa" w:w="3960"/>
            <w:vAlign w:val="center"/>
          </w:tcPr>
          <w:p>
            <w:pPr>
              <w:spacing w:after="60"/>
            </w:pPr>
            <w:r>
              <w:rPr>
                <w:rFonts w:ascii="Calibri" w:hAnsi="Calibri"/>
                <w:sz w:val="20"/>
              </w:rPr>
              <w:t>Those norms plus enforceable capability policy and shipping evidence</w:t>
            </w:r>
          </w:p>
        </w:tc>
      </w:tr>
      <w:tr>
        <w:tc>
          <w:tcPr>
            <w:tcW w:type="dxa" w:w="2232"/>
            <w:vAlign w:val="center"/>
          </w:tcPr>
          <w:p>
            <w:pPr>
              <w:spacing w:after="60"/>
            </w:pPr>
            <w:r>
              <w:rPr>
                <w:rFonts w:ascii="Calibri" w:hAnsi="Calibri"/>
                <w:sz w:val="20"/>
              </w:rPr>
              <w:t>Role/workflow collections</w:t>
            </w:r>
          </w:p>
        </w:tc>
        <w:tc>
          <w:tcPr>
            <w:tcW w:type="dxa" w:w="3168"/>
            <w:vAlign w:val="center"/>
          </w:tcPr>
          <w:p>
            <w:pPr>
              <w:spacing w:after="60"/>
            </w:pPr>
            <w:r>
              <w:rPr>
                <w:rFonts w:ascii="Calibri" w:hAnsi="Calibri"/>
                <w:sz w:val="20"/>
              </w:rPr>
              <w:t>Role lenses and ship processes</w:t>
            </w:r>
          </w:p>
        </w:tc>
        <w:tc>
          <w:tcPr>
            <w:tcW w:type="dxa" w:w="3960"/>
            <w:vAlign w:val="center"/>
          </w:tcPr>
          <w:p>
            <w:pPr>
              <w:spacing w:after="60"/>
            </w:pPr>
            <w:r>
              <w:rPr>
                <w:rFonts w:ascii="Calibri" w:hAnsi="Calibri"/>
                <w:sz w:val="20"/>
              </w:rPr>
              <w:t>Portable skill packages that carry explicit trust metadata</w:t>
            </w:r>
          </w:p>
        </w:tc>
      </w:tr>
    </w:tbl>
    <w:p/>
    <w:p>
      <w:pPr>
        <w:pStyle w:val="Heading1"/>
      </w:pPr>
      <w:r>
        <w:t>4. Architecture</w:t>
      </w:r>
    </w:p>
    <w:p>
      <w:r>
        <w:t>The system keeps one canonical skill shape: SKILL.md plus skillsforge.json. Source modules stay separated by capability: loader, router, policy, Codex package compiler, install, evidence, receipt, and quality gates.</w:t>
      </w:r>
    </w:p>
    <w:p>
      <w:pPr>
        <w:pStyle w:val="ListNumber"/>
      </w:pPr>
      <w:r>
        <w:t>Load only the metadata needed for catalog and routing until a command needs full skill bodies.</w:t>
      </w:r>
    </w:p>
    <w:p>
      <w:pPr>
        <w:pStyle w:val="ListNumber"/>
      </w:pPr>
      <w:r>
        <w:t>Validate structure with schema rules and sidecar policy requirements.</w:t>
      </w:r>
    </w:p>
    <w:p>
      <w:pPr>
        <w:pStyle w:val="ListNumber"/>
      </w:pPr>
      <w:r>
        <w:t>Scan text files and scripts for undeclared exec, network, and write behavior.</w:t>
      </w:r>
    </w:p>
    <w:p>
      <w:pPr>
        <w:pStyle w:val="ListNumber"/>
      </w:pPr>
      <w:r>
        <w:t>Package a safe skill into a Codex plugin tree with policy hooks and immutable sidecar copy.</w:t>
      </w:r>
    </w:p>
    <w:p>
      <w:pPr>
        <w:pStyle w:val="ListNumber"/>
      </w:pPr>
      <w:r>
        <w:t>Install validated packages into host skill directories with explicit fidelity labels.</w:t>
      </w:r>
    </w:p>
    <w:p>
      <w:pPr>
        <w:pStyle w:val="ListNumber"/>
      </w:pPr>
      <w:r>
        <w:t>Record package hashes and evidence receipts for later verification.</w:t>
      </w:r>
    </w:p>
    <w:p>
      <w:pPr>
        <w:pStyle w:val="Heading1"/>
      </w:pPr>
      <w:r>
        <w:t>5. Universal host strategy</w:t>
      </w:r>
    </w:p>
    <w:p>
      <w:r>
        <w:t>The host strategy is deliberately honest. Codex gets the strongest native package path. Claude Code gets full install fidelity. Other AI CLIs get complete validated skill packages, but runtime policy enforcement is not claimed unless the host honors equivalent hooks.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2376"/>
            <w:vAlign w:val="center"/>
            <w:shd w:fill="F2F4F7"/>
          </w:tcPr>
          <w:p>
            <w:pPr>
              <w:spacing w:after="60"/>
            </w:pPr>
            <w:r>
              <w:rPr>
                <w:rFonts w:ascii="Calibri" w:hAnsi="Calibri"/>
                <w:b/>
                <w:color w:val="0B2545"/>
                <w:sz w:val="20"/>
              </w:rPr>
              <w:t>Host mode</w:t>
            </w:r>
          </w:p>
        </w:tc>
        <w:tc>
          <w:tcPr>
            <w:tcW w:type="dxa" w:w="3024"/>
            <w:vAlign w:val="center"/>
            <w:shd w:fill="F2F4F7"/>
          </w:tcPr>
          <w:p>
            <w:pPr>
              <w:spacing w:after="60"/>
            </w:pPr>
            <w:r>
              <w:rPr>
                <w:rFonts w:ascii="Calibri" w:hAnsi="Calibri"/>
                <w:b/>
                <w:color w:val="0B2545"/>
                <w:sz w:val="20"/>
              </w:rPr>
              <w:t>CLI surface</w:t>
            </w:r>
          </w:p>
        </w:tc>
        <w:tc>
          <w:tcPr>
            <w:tcW w:type="dxa" w:w="3960"/>
            <w:vAlign w:val="center"/>
            <w:shd w:fill="F2F4F7"/>
          </w:tcPr>
          <w:p>
            <w:pPr>
              <w:spacing w:after="60"/>
            </w:pPr>
            <w:r>
              <w:rPr>
                <w:rFonts w:ascii="Calibri" w:hAnsi="Calibri"/>
                <w:b/>
                <w:color w:val="0B2545"/>
                <w:sz w:val="20"/>
              </w:rPr>
              <w:t>Boundary</w:t>
            </w:r>
          </w:p>
        </w:tc>
      </w:tr>
      <w:tr>
        <w:tc>
          <w:tcPr>
            <w:tcW w:type="dxa" w:w="2376"/>
            <w:vAlign w:val="center"/>
          </w:tcPr>
          <w:p>
            <w:pPr>
              <w:spacing w:after="60"/>
            </w:pPr>
            <w:r>
              <w:rPr>
                <w:rFonts w:ascii="Calibri" w:hAnsi="Calibri"/>
                <w:sz w:val="20"/>
              </w:rPr>
              <w:t>Codex first</w:t>
            </w:r>
          </w:p>
        </w:tc>
        <w:tc>
          <w:tcPr>
            <w:tcW w:type="dxa" w:w="3024"/>
            <w:vAlign w:val="center"/>
          </w:tcPr>
          <w:p>
            <w:pPr>
              <w:spacing w:after="60"/>
            </w:pPr>
            <w:r>
              <w:rPr>
                <w:rFonts w:ascii="Calibri" w:hAnsi="Calibri"/>
                <w:sz w:val="20"/>
              </w:rPr>
              <w:t>package --host codex</w:t>
            </w:r>
          </w:p>
        </w:tc>
        <w:tc>
          <w:tcPr>
            <w:tcW w:type="dxa" w:w="3960"/>
            <w:vAlign w:val="center"/>
          </w:tcPr>
          <w:p>
            <w:pPr>
              <w:spacing w:after="60"/>
            </w:pPr>
            <w:r>
              <w:rPr>
                <w:rFonts w:ascii="Calibri" w:hAnsi="Calibri"/>
                <w:sz w:val="20"/>
              </w:rPr>
              <w:t>Guarded native plugin for one selected skill, subject to Codex hook trust and matcher scope</w:t>
            </w:r>
          </w:p>
        </w:tc>
      </w:tr>
      <w:tr>
        <w:tc>
          <w:tcPr>
            <w:tcW w:type="dxa" w:w="2376"/>
            <w:vAlign w:val="center"/>
          </w:tcPr>
          <w:p>
            <w:pPr>
              <w:spacing w:after="60"/>
            </w:pPr>
            <w:r>
              <w:rPr>
                <w:rFonts w:ascii="Calibri" w:hAnsi="Calibri"/>
                <w:sz w:val="20"/>
              </w:rPr>
              <w:t>Claude Code second</w:t>
            </w:r>
          </w:p>
        </w:tc>
        <w:tc>
          <w:tcPr>
            <w:tcW w:type="dxa" w:w="3024"/>
            <w:vAlign w:val="center"/>
          </w:tcPr>
          <w:p>
            <w:pPr>
              <w:spacing w:after="60"/>
            </w:pPr>
            <w:r>
              <w:rPr>
                <w:rFonts w:ascii="Calibri" w:hAnsi="Calibri"/>
                <w:sz w:val="20"/>
              </w:rPr>
              <w:t>install --hosts claude-code</w:t>
            </w:r>
          </w:p>
        </w:tc>
        <w:tc>
          <w:tcPr>
            <w:tcW w:type="dxa" w:w="3960"/>
            <w:vAlign w:val="center"/>
          </w:tcPr>
          <w:p>
            <w:pPr>
              <w:spacing w:after="60"/>
            </w:pPr>
            <w:r>
              <w:rPr>
                <w:rFonts w:ascii="Calibri" w:hAnsi="Calibri"/>
                <w:sz w:val="20"/>
              </w:rPr>
              <w:t>Full skill package with Claude hooks and SkillsForge sidecar</w:t>
            </w:r>
          </w:p>
        </w:tc>
      </w:tr>
      <w:tr>
        <w:tc>
          <w:tcPr>
            <w:tcW w:type="dxa" w:w="2376"/>
            <w:vAlign w:val="center"/>
          </w:tcPr>
          <w:p>
            <w:pPr>
              <w:spacing w:after="60"/>
            </w:pPr>
            <w:r>
              <w:rPr>
                <w:rFonts w:ascii="Calibri" w:hAnsi="Calibri"/>
                <w:sz w:val="20"/>
              </w:rPr>
              <w:t>Package fidelity</w:t>
            </w:r>
          </w:p>
        </w:tc>
        <w:tc>
          <w:tcPr>
            <w:tcW w:type="dxa" w:w="3024"/>
            <w:vAlign w:val="center"/>
          </w:tcPr>
          <w:p>
            <w:pPr>
              <w:spacing w:after="60"/>
            </w:pPr>
            <w:r>
              <w:rPr>
                <w:rFonts w:ascii="Calibri" w:hAnsi="Calibri"/>
                <w:sz w:val="20"/>
              </w:rPr>
              <w:t>install --hosts cursor,opencode,zcode,hermes,gemini</w:t>
            </w:r>
          </w:p>
        </w:tc>
        <w:tc>
          <w:tcPr>
            <w:tcW w:type="dxa" w:w="3960"/>
            <w:vAlign w:val="center"/>
          </w:tcPr>
          <w:p>
            <w:pPr>
              <w:spacing w:after="60"/>
            </w:pPr>
            <w:r>
              <w:rPr>
                <w:rFonts w:ascii="Calibri" w:hAnsi="Calibri"/>
                <w:sz w:val="20"/>
              </w:rPr>
              <w:t>Validated packages copied; runtime policy parity is not claimed</w:t>
            </w:r>
          </w:p>
        </w:tc>
      </w:tr>
      <w:tr>
        <w:tc>
          <w:tcPr>
            <w:tcW w:type="dxa" w:w="2376"/>
            <w:vAlign w:val="center"/>
          </w:tcPr>
          <w:p>
            <w:pPr>
              <w:spacing w:after="60"/>
            </w:pPr>
            <w:r>
              <w:rPr>
                <w:rFonts w:ascii="Calibri" w:hAnsi="Calibri"/>
                <w:sz w:val="20"/>
              </w:rPr>
              <w:t>Custom AI CLI</w:t>
            </w:r>
          </w:p>
        </w:tc>
        <w:tc>
          <w:tcPr>
            <w:tcW w:type="dxa" w:w="3024"/>
            <w:vAlign w:val="center"/>
          </w:tcPr>
          <w:p>
            <w:pPr>
              <w:spacing w:after="60"/>
            </w:pPr>
            <w:r>
              <w:rPr>
                <w:rFonts w:ascii="Calibri" w:hAnsi="Calibri"/>
                <w:sz w:val="20"/>
              </w:rPr>
              <w:t>install --custom-host my-agent:.my-agent/skills</w:t>
            </w:r>
          </w:p>
        </w:tc>
        <w:tc>
          <w:tcPr>
            <w:tcW w:type="dxa" w:w="3960"/>
            <w:vAlign w:val="center"/>
          </w:tcPr>
          <w:p>
            <w:pPr>
              <w:spacing w:after="60"/>
            </w:pPr>
            <w:r>
              <w:rPr>
                <w:rFonts w:ascii="Calibri" w:hAnsi="Calibri"/>
                <w:sz w:val="20"/>
              </w:rPr>
              <w:t>Kebab-case id, path must stay under home, package-fidelity only</w:t>
            </w:r>
          </w:p>
        </w:tc>
      </w:tr>
    </w:tbl>
    <w:p/>
    <w:p>
      <w:pPr>
        <w:pStyle w:val="Heading1"/>
      </w:pPr>
      <w:r>
        <w:t>6. Work shipped in this hardening pass</w:t>
      </w:r>
    </w:p>
    <w:p>
      <w:pPr>
        <w:pStyle w:val="ListBullet"/>
      </w:pPr>
      <w:r>
        <w:t>Added universal host registry metadata, install hints, ZCode-compatible target, Hermes target, and buildCustomHost().</w:t>
      </w:r>
    </w:p>
    <w:p>
      <w:pPr>
        <w:pStyle w:val="ListBullet"/>
      </w:pPr>
      <w:r>
        <w:t>Added skillsforge hosts with JSON and human output for host discovery and trust boundaries.</w:t>
      </w:r>
    </w:p>
    <w:p>
      <w:pPr>
        <w:pStyle w:val="ListBullet"/>
      </w:pPr>
      <w:r>
        <w:t>Added install --hosts all, install --hosts detected, and install --custom-host id:.agent/skills.</w:t>
      </w:r>
    </w:p>
    <w:p>
      <w:pPr>
        <w:pStyle w:val="ListBullet"/>
      </w:pPr>
      <w:r>
        <w:t>Expanded tests for host metadata, safe custom path handling, install dry-runs, and bundled CLI behavior.</w:t>
      </w:r>
    </w:p>
    <w:p>
      <w:pPr>
        <w:pStyle w:val="ListBullet"/>
      </w:pPr>
      <w:r>
        <w:t>Rebuilt the bundled CLI under plugins/skillsforge/bin/skillsforge.mjs.</w:t>
      </w:r>
    </w:p>
    <w:p>
      <w:pPr>
        <w:pStyle w:val="ListBullet"/>
      </w:pPr>
      <w:r>
        <w:t>Updated README with inline MP4, universal host fanout graphic, host matrix, and executable install examples.</w:t>
      </w:r>
    </w:p>
    <w:p>
      <w:pPr>
        <w:pStyle w:val="ListBullet"/>
      </w:pPr>
      <w:r>
        <w:t>Added docs/universal-hosts.md and synchronized architecture, demo script, and threat model.</w:t>
      </w:r>
    </w:p>
    <w:p>
      <w:pPr>
        <w:pStyle w:val="ListBullet"/>
      </w:pPr>
      <w:r>
        <w:t>Kept stale Remotion source explanations out of public README/docs while preserving legitimate media skill names in the catalog.</w:t>
      </w:r>
    </w:p>
    <w:p>
      <w:pPr>
        <w:pStyle w:val="Heading1"/>
      </w:pPr>
      <w:r>
        <w:t>7. Verification evidence</w:t>
      </w:r>
    </w:p>
    <w:tbl>
      <w:tblPr>
        <w:tblStyle w:val="TableGrid"/>
        <w:tblW w:type="auto" w:w="0"/>
        <w:jc w:val="left"/>
        <w:tblLayout w:type="fixed"/>
        <w:tblLook w:firstColumn="1" w:firstRow="1" w:lastColumn="0" w:lastRow="0" w:noHBand="0" w:noVBand="1" w:val="04A0"/>
      </w:tblPr>
      <w:tblGrid>
        <w:gridCol w:w="4680"/>
        <w:gridCol w:w="4680"/>
      </w:tblGrid>
      <w:tr>
        <w:tc>
          <w:tcPr>
            <w:tcW w:type="dxa" w:w="2880"/>
            <w:vAlign w:val="center"/>
            <w:shd w:fill="F2F4F7"/>
          </w:tcPr>
          <w:p>
            <w:pPr>
              <w:spacing w:after="60"/>
            </w:pPr>
            <w:r>
              <w:rPr>
                <w:rFonts w:ascii="Calibri" w:hAnsi="Calibri"/>
                <w:b/>
                <w:color w:val="0B2545"/>
                <w:sz w:val="20"/>
              </w:rPr>
              <w:t>Gate</w:t>
            </w:r>
          </w:p>
        </w:tc>
        <w:tc>
          <w:tcPr>
            <w:tcW w:type="dxa" w:w="6480"/>
            <w:vAlign w:val="center"/>
            <w:shd w:fill="F2F4F7"/>
          </w:tcPr>
          <w:p>
            <w:pPr>
              <w:spacing w:after="60"/>
            </w:pPr>
            <w:r>
              <w:rPr>
                <w:rFonts w:ascii="Calibri" w:hAnsi="Calibri"/>
                <w:b/>
                <w:color w:val="0B2545"/>
                <w:sz w:val="20"/>
              </w:rPr>
              <w:t>Result recorded</w:t>
            </w:r>
          </w:p>
        </w:tc>
      </w:tr>
      <w:tr>
        <w:tc>
          <w:tcPr>
            <w:tcW w:type="dxa" w:w="2880"/>
            <w:vAlign w:val="center"/>
          </w:tcPr>
          <w:p>
            <w:pPr>
              <w:spacing w:after="60"/>
            </w:pPr>
            <w:r>
              <w:rPr>
                <w:rFonts w:ascii="Calibri" w:hAnsi="Calibri"/>
                <w:sz w:val="20"/>
              </w:rPr>
              <w:t>Targeted host/install/CLI/OS tests</w:t>
            </w:r>
          </w:p>
        </w:tc>
        <w:tc>
          <w:tcPr>
            <w:tcW w:type="dxa" w:w="6480"/>
            <w:vAlign w:val="center"/>
          </w:tcPr>
          <w:p>
            <w:pPr>
              <w:spacing w:after="60"/>
            </w:pPr>
            <w:r>
              <w:rPr>
                <w:rFonts w:ascii="Calibri" w:hAnsi="Calibri"/>
                <w:sz w:val="20"/>
              </w:rPr>
              <w:t>35 tests passed before full check</w:t>
            </w:r>
          </w:p>
        </w:tc>
      </w:tr>
      <w:tr>
        <w:tc>
          <w:tcPr>
            <w:tcW w:type="dxa" w:w="2880"/>
            <w:vAlign w:val="center"/>
          </w:tcPr>
          <w:p>
            <w:pPr>
              <w:spacing w:after="60"/>
            </w:pPr>
            <w:r>
              <w:rPr>
                <w:rFonts w:ascii="Calibri" w:hAnsi="Calibri"/>
                <w:sz w:val="20"/>
              </w:rPr>
              <w:t>Full npm run check</w:t>
            </w:r>
          </w:p>
        </w:tc>
        <w:tc>
          <w:tcPr>
            <w:tcW w:type="dxa" w:w="6480"/>
            <w:vAlign w:val="center"/>
          </w:tcPr>
          <w:p>
            <w:pPr>
              <w:spacing w:after="60"/>
            </w:pPr>
            <w:r>
              <w:rPr>
                <w:rFonts w:ascii="Calibri" w:hAnsi="Calibri"/>
                <w:sz w:val="20"/>
              </w:rPr>
              <w:t>Pass on 2026-07-18</w:t>
            </w:r>
          </w:p>
        </w:tc>
      </w:tr>
      <w:tr>
        <w:tc>
          <w:tcPr>
            <w:tcW w:type="dxa" w:w="2880"/>
            <w:vAlign w:val="center"/>
          </w:tcPr>
          <w:p>
            <w:pPr>
              <w:spacing w:after="60"/>
            </w:pPr>
            <w:r>
              <w:rPr>
                <w:rFonts w:ascii="Calibri" w:hAnsi="Calibri"/>
                <w:sz w:val="20"/>
              </w:rPr>
              <w:t>Repository validation</w:t>
            </w:r>
          </w:p>
        </w:tc>
        <w:tc>
          <w:tcPr>
            <w:tcW w:type="dxa" w:w="6480"/>
            <w:vAlign w:val="center"/>
          </w:tcPr>
          <w:p>
            <w:pPr>
              <w:spacing w:after="60"/>
            </w:pPr>
            <w:r>
              <w:rPr>
                <w:rFonts w:ascii="Calibri" w:hAnsi="Calibri"/>
                <w:sz w:val="20"/>
              </w:rPr>
              <w:t>Marketplace manifest, plugin manifest, version lockstep, Codex marketplace present</w:t>
            </w:r>
          </w:p>
        </w:tc>
      </w:tr>
      <w:tr>
        <w:tc>
          <w:tcPr>
            <w:tcW w:type="dxa" w:w="2880"/>
            <w:vAlign w:val="center"/>
          </w:tcPr>
          <w:p>
            <w:pPr>
              <w:spacing w:after="60"/>
            </w:pPr>
            <w:r>
              <w:rPr>
                <w:rFonts w:ascii="Calibri" w:hAnsi="Calibri"/>
                <w:sz w:val="20"/>
              </w:rPr>
              <w:t>Full skill validation</w:t>
            </w:r>
          </w:p>
        </w:tc>
        <w:tc>
          <w:tcPr>
            <w:tcW w:type="dxa" w:w="6480"/>
            <w:vAlign w:val="center"/>
          </w:tcPr>
          <w:p>
            <w:pPr>
              <w:spacing w:after="60"/>
            </w:pPr>
            <w:r>
              <w:rPr>
                <w:rFonts w:ascii="Calibri" w:hAnsi="Calibri"/>
                <w:sz w:val="20"/>
              </w:rPr>
              <w:t>All 366 production skills passed under claude-code profile</w:t>
            </w:r>
          </w:p>
        </w:tc>
      </w:tr>
      <w:tr>
        <w:tc>
          <w:tcPr>
            <w:tcW w:type="dxa" w:w="2880"/>
            <w:vAlign w:val="center"/>
          </w:tcPr>
          <w:p>
            <w:pPr>
              <w:spacing w:after="60"/>
            </w:pPr>
            <w:r>
              <w:rPr>
                <w:rFonts w:ascii="Calibri" w:hAnsi="Calibri"/>
                <w:sz w:val="20"/>
              </w:rPr>
              <w:t>Full test suite</w:t>
            </w:r>
          </w:p>
        </w:tc>
        <w:tc>
          <w:tcPr>
            <w:tcW w:type="dxa" w:w="6480"/>
            <w:vAlign w:val="center"/>
          </w:tcPr>
          <w:p>
            <w:pPr>
              <w:spacing w:after="60"/>
            </w:pPr>
            <w:r>
              <w:rPr>
                <w:rFonts w:ascii="Calibri" w:hAnsi="Calibri"/>
                <w:sz w:val="20"/>
              </w:rPr>
              <w:t>215 tests passed</w:t>
            </w:r>
          </w:p>
        </w:tc>
      </w:tr>
      <w:tr>
        <w:tc>
          <w:tcPr>
            <w:tcW w:type="dxa" w:w="2880"/>
            <w:vAlign w:val="center"/>
          </w:tcPr>
          <w:p>
            <w:pPr>
              <w:spacing w:after="60"/>
            </w:pPr>
            <w:r>
              <w:rPr>
                <w:rFonts w:ascii="Calibri" w:hAnsi="Calibri"/>
                <w:sz w:val="20"/>
              </w:rPr>
              <w:t>Routing eval</w:t>
            </w:r>
          </w:p>
        </w:tc>
        <w:tc>
          <w:tcPr>
            <w:tcW w:type="dxa" w:w="6480"/>
            <w:vAlign w:val="center"/>
          </w:tcPr>
          <w:p>
            <w:pPr>
              <w:spacing w:after="60"/>
            </w:pPr>
            <w:r>
              <w:rPr>
                <w:rFonts w:ascii="Calibri" w:hAnsi="Calibri"/>
                <w:sz w:val="20"/>
              </w:rPr>
              <w:t>Precision 1.00, recall 1.00, corpusSha256 42256dfd0f19c1b86c6170aa70e2b7f8f8ea8e7615315039dacf27a0ef72257a</w:t>
            </w:r>
          </w:p>
        </w:tc>
      </w:tr>
      <w:tr>
        <w:tc>
          <w:tcPr>
            <w:tcW w:type="dxa" w:w="2880"/>
            <w:vAlign w:val="center"/>
          </w:tcPr>
          <w:p>
            <w:pPr>
              <w:spacing w:after="60"/>
            </w:pPr>
            <w:r>
              <w:rPr>
                <w:rFonts w:ascii="Calibri" w:hAnsi="Calibri"/>
                <w:sz w:val="20"/>
              </w:rPr>
              <w:t>Demo</w:t>
            </w:r>
          </w:p>
        </w:tc>
        <w:tc>
          <w:tcPr>
            <w:tcW w:type="dxa" w:w="6480"/>
            <w:vAlign w:val="center"/>
          </w:tcPr>
          <w:p>
            <w:pPr>
              <w:spacing w:after="60"/>
            </w:pPr>
            <w:r>
              <w:rPr>
                <w:rFonts w:ascii="Calibri" w:hAnsi="Calibri"/>
                <w:sz w:val="20"/>
              </w:rPr>
              <w:t>DEMO PASS, offline noninteractive, 7771ms</w:t>
            </w:r>
          </w:p>
        </w:tc>
      </w:tr>
      <w:tr>
        <w:tc>
          <w:tcPr>
            <w:tcW w:type="dxa" w:w="2880"/>
            <w:vAlign w:val="center"/>
          </w:tcPr>
          <w:p>
            <w:pPr>
              <w:spacing w:after="60"/>
            </w:pPr>
            <w:r>
              <w:rPr>
                <w:rFonts w:ascii="Calibri" w:hAnsi="Calibri"/>
                <w:sz w:val="20"/>
              </w:rPr>
              <w:t>Build dist</w:t>
            </w:r>
          </w:p>
        </w:tc>
        <w:tc>
          <w:tcPr>
            <w:tcW w:type="dxa" w:w="6480"/>
            <w:vAlign w:val="center"/>
          </w:tcPr>
          <w:p>
            <w:pPr>
              <w:spacing w:after="60"/>
            </w:pPr>
            <w:r>
              <w:rPr>
                <w:rFonts w:ascii="Calibri" w:hAnsi="Calibri"/>
                <w:sz w:val="20"/>
              </w:rPr>
              <w:t>receipt=9451361764cef862ea05dbe7801f799097d055e0d566b48cb7566d87b8500421; package=08928f14a849ebc4d381e6b77cc09c6da08fc601d736f3145201c8ce57290d9a</w:t>
            </w:r>
          </w:p>
        </w:tc>
      </w:tr>
      <w:tr>
        <w:tc>
          <w:tcPr>
            <w:tcW w:type="dxa" w:w="2880"/>
            <w:vAlign w:val="center"/>
          </w:tcPr>
          <w:p>
            <w:pPr>
              <w:spacing w:after="60"/>
            </w:pPr>
            <w:r>
              <w:rPr>
                <w:rFonts w:ascii="Calibri" w:hAnsi="Calibri"/>
                <w:sz w:val="20"/>
              </w:rPr>
              <w:t>Dist smoke</w:t>
            </w:r>
          </w:p>
        </w:tc>
        <w:tc>
          <w:tcPr>
            <w:tcW w:type="dxa" w:w="6480"/>
            <w:vAlign w:val="center"/>
          </w:tcPr>
          <w:p>
            <w:pPr>
              <w:spacing w:after="60"/>
            </w:pPr>
            <w:r>
              <w:rPr>
                <w:rFonts w:ascii="Calibri" w:hAnsi="Calibri"/>
                <w:sz w:val="20"/>
              </w:rPr>
              <w:t>3 tests passed</w:t>
            </w:r>
          </w:p>
        </w:tc>
      </w:tr>
      <w:tr>
        <w:tc>
          <w:tcPr>
            <w:tcW w:type="dxa" w:w="2880"/>
            <w:vAlign w:val="center"/>
          </w:tcPr>
          <w:p>
            <w:pPr>
              <w:spacing w:after="60"/>
            </w:pPr>
            <w:r>
              <w:rPr>
                <w:rFonts w:ascii="Calibri" w:hAnsi="Calibri"/>
                <w:sz w:val="20"/>
              </w:rPr>
              <w:t>Host validation</w:t>
            </w:r>
          </w:p>
        </w:tc>
        <w:tc>
          <w:tcPr>
            <w:tcW w:type="dxa" w:w="6480"/>
            <w:vAlign w:val="center"/>
          </w:tcPr>
          <w:p>
            <w:pPr>
              <w:spacing w:after="60"/>
            </w:pPr>
            <w:r>
              <w:rPr>
                <w:rFonts w:ascii="Calibri" w:hAnsi="Calibri"/>
                <w:sz w:val="20"/>
              </w:rPr>
              <w:t>Root, plugins/skillsforge, and dist/claude-code passed claude plugin validate --strict</w:t>
            </w:r>
          </w:p>
        </w:tc>
      </w:tr>
      <w:tr>
        <w:tc>
          <w:tcPr>
            <w:tcW w:type="dxa" w:w="2880"/>
            <w:vAlign w:val="center"/>
          </w:tcPr>
          <w:p>
            <w:pPr>
              <w:spacing w:after="60"/>
            </w:pPr>
            <w:r>
              <w:rPr>
                <w:rFonts w:ascii="Calibri" w:hAnsi="Calibri"/>
                <w:sz w:val="20"/>
              </w:rPr>
              <w:t>Evidence bundle</w:t>
            </w:r>
          </w:p>
        </w:tc>
        <w:tc>
          <w:tcPr>
            <w:tcW w:type="dxa" w:w="6480"/>
            <w:vAlign w:val="center"/>
          </w:tcPr>
          <w:p>
            <w:pPr>
              <w:spacing w:after="60"/>
            </w:pPr>
            <w:r>
              <w:rPr>
                <w:rFonts w:ascii="Calibri" w:hAnsi="Calibri"/>
                <w:sz w:val="20"/>
              </w:rPr>
              <w:t>bundleHash=b03151732d4c6665344d454d4a00d4016662b7a8babdfd53ad321442d274531e</w:t>
            </w:r>
          </w:p>
        </w:tc>
      </w:tr>
    </w:tbl>
    <w:p/>
    <w:p>
      <w:pPr>
        <w:pStyle w:val="Heading1"/>
      </w:pPr>
      <w:r>
        <w:t>8. Hackathon pitch lessons applied</w:t>
      </w:r>
    </w:p>
    <w:p>
      <w:r>
        <w:t>The demo and README were revised around publicly documented judging and submission guidance, not invented winning formulas. The applied rules are practical: open with the problem, show the working product, map evidence to judging criteria, include a reviewable video artifact, and state future scope without hiding limits.</w:t>
      </w:r>
    </w:p>
    <w:tbl>
      <w:tblPr>
        <w:tblStyle w:val="TableGrid"/>
        <w:tblW w:type="auto" w:w="0"/>
        <w:jc w:val="left"/>
        <w:tblLayout w:type="fixed"/>
        <w:tblLook w:firstColumn="1" w:firstRow="1" w:lastColumn="0" w:lastRow="0" w:noHBand="0" w:noVBand="1" w:val="04A0"/>
      </w:tblPr>
      <w:tblGrid>
        <w:gridCol w:w="4680"/>
        <w:gridCol w:w="4680"/>
      </w:tblGrid>
      <w:tr>
        <w:tc>
          <w:tcPr>
            <w:tcW w:type="dxa" w:w="3311"/>
            <w:vAlign w:val="center"/>
            <w:shd w:fill="F2F4F7"/>
          </w:tcPr>
          <w:p>
            <w:pPr>
              <w:spacing w:after="60"/>
            </w:pPr>
            <w:r>
              <w:rPr>
                <w:rFonts w:ascii="Calibri" w:hAnsi="Calibri"/>
                <w:b/>
                <w:color w:val="0B2545"/>
                <w:sz w:val="20"/>
              </w:rPr>
              <w:t>Source</w:t>
            </w:r>
          </w:p>
        </w:tc>
        <w:tc>
          <w:tcPr>
            <w:tcW w:type="dxa" w:w="6048"/>
            <w:vAlign w:val="center"/>
            <w:shd w:fill="F2F4F7"/>
          </w:tcPr>
          <w:p>
            <w:pPr>
              <w:spacing w:after="60"/>
            </w:pPr>
            <w:r>
              <w:rPr>
                <w:rFonts w:ascii="Calibri" w:hAnsi="Calibri"/>
                <w:b/>
                <w:color w:val="0B2545"/>
                <w:sz w:val="20"/>
              </w:rPr>
              <w:t>Applied lesson</w:t>
            </w:r>
          </w:p>
        </w:tc>
      </w:tr>
      <w:tr>
        <w:tc>
          <w:tcPr>
            <w:tcW w:type="dxa" w:w="3311"/>
            <w:vAlign w:val="center"/>
          </w:tcPr>
          <w:p>
            <w:pPr>
              <w:spacing w:after="60"/>
            </w:pPr>
            <w:r>
              <w:rPr>
                <w:rFonts w:ascii="Calibri" w:hAnsi="Calibri"/>
                <w:sz w:val="20"/>
              </w:rPr>
              <w:t>Devpost demo video guidance</w:t>
            </w:r>
          </w:p>
        </w:tc>
        <w:tc>
          <w:tcPr>
            <w:tcW w:type="dxa" w:w="6048"/>
            <w:vAlign w:val="center"/>
          </w:tcPr>
          <w:p>
            <w:pPr>
              <w:spacing w:after="60"/>
            </w:pPr>
            <w:r>
              <w:rPr>
                <w:rFonts w:ascii="Calibri" w:hAnsi="Calibri"/>
                <w:sz w:val="20"/>
              </w:rPr>
              <w:t>Show the running product and explain future potential without letting slides replace proof</w:t>
            </w:r>
          </w:p>
        </w:tc>
      </w:tr>
      <w:tr>
        <w:tc>
          <w:tcPr>
            <w:tcW w:type="dxa" w:w="3311"/>
            <w:vAlign w:val="center"/>
          </w:tcPr>
          <w:p>
            <w:pPr>
              <w:spacing w:after="60"/>
            </w:pPr>
            <w:r>
              <w:rPr>
                <w:rFonts w:ascii="Calibri" w:hAnsi="Calibri"/>
                <w:sz w:val="20"/>
              </w:rPr>
              <w:t>Devpost submission steps</w:t>
            </w:r>
          </w:p>
        </w:tc>
        <w:tc>
          <w:tcPr>
            <w:tcW w:type="dxa" w:w="6048"/>
            <w:vAlign w:val="center"/>
          </w:tcPr>
          <w:p>
            <w:pPr>
              <w:spacing w:after="60"/>
            </w:pPr>
            <w:r>
              <w:rPr>
                <w:rFonts w:ascii="Calibri" w:hAnsi="Calibri"/>
                <w:sz w:val="20"/>
              </w:rPr>
              <w:t>Use a public video/gallery artifact and make submission evidence easy to review</w:t>
            </w:r>
          </w:p>
        </w:tc>
      </w:tr>
      <w:tr>
        <w:tc>
          <w:tcPr>
            <w:tcW w:type="dxa" w:w="3311"/>
            <w:vAlign w:val="center"/>
          </w:tcPr>
          <w:p>
            <w:pPr>
              <w:spacing w:after="60"/>
            </w:pPr>
            <w:r>
              <w:rPr>
                <w:rFonts w:ascii="Calibri" w:hAnsi="Calibri"/>
                <w:sz w:val="20"/>
              </w:rPr>
              <w:t>MLH rules</w:t>
            </w:r>
          </w:p>
        </w:tc>
        <w:tc>
          <w:tcPr>
            <w:tcW w:type="dxa" w:w="6048"/>
            <w:vAlign w:val="center"/>
          </w:tcPr>
          <w:p>
            <w:pPr>
              <w:spacing w:after="60"/>
            </w:pPr>
            <w:r>
              <w:rPr>
                <w:rFonts w:ascii="Calibri" w:hAnsi="Calibri"/>
                <w:sz w:val="20"/>
              </w:rPr>
              <w:t>During judging, describe what was done for each criterion instead of relying on general claims</w:t>
            </w:r>
          </w:p>
        </w:tc>
      </w:tr>
      <w:tr>
        <w:tc>
          <w:tcPr>
            <w:tcW w:type="dxa" w:w="3311"/>
            <w:vAlign w:val="center"/>
          </w:tcPr>
          <w:p>
            <w:pPr>
              <w:spacing w:after="60"/>
            </w:pPr>
            <w:r>
              <w:rPr>
                <w:rFonts w:ascii="Calibri" w:hAnsi="Calibri"/>
                <w:sz w:val="20"/>
              </w:rPr>
              <w:t>JetBrains judge notes</w:t>
            </w:r>
          </w:p>
        </w:tc>
        <w:tc>
          <w:tcPr>
            <w:tcW w:type="dxa" w:w="6048"/>
            <w:vAlign w:val="center"/>
          </w:tcPr>
          <w:p>
            <w:pPr>
              <w:spacing w:after="60"/>
            </w:pPr>
            <w:r>
              <w:rPr>
                <w:rFonts w:ascii="Calibri" w:hAnsi="Calibri"/>
                <w:sz w:val="20"/>
              </w:rPr>
              <w:t>Start with the problem and understand the judges before showing implementation detail</w:t>
            </w:r>
          </w:p>
        </w:tc>
      </w:tr>
    </w:tbl>
    <w:p/>
    <w:p>
      <w:r>
        <w:t>Source URLs:</w:t>
      </w:r>
    </w:p>
    <w:p>
      <w:pPr>
        <w:pStyle w:val="ListBullet"/>
      </w:pPr>
      <w:r>
        <w:t>https://info.devpost.com/blog/6-tips-for-making-a-hackathon-demo-video</w:t>
      </w:r>
    </w:p>
    <w:p>
      <w:pPr>
        <w:pStyle w:val="ListBullet"/>
      </w:pPr>
      <w:r>
        <w:t>https://help.devpost.com/article/126-know-your-submission-steps</w:t>
      </w:r>
    </w:p>
    <w:p>
      <w:pPr>
        <w:pStyle w:val="ListBullet"/>
      </w:pPr>
      <w:r>
        <w:t>https://github.com/MLH/mlh-hackathon-rules/blob/master/Rules.md</w:t>
      </w:r>
    </w:p>
    <w:p>
      <w:pPr>
        <w:pStyle w:val="ListBullet"/>
      </w:pPr>
      <w:r>
        <w:t>https://blog.jetbrains.com/ai/2026/06/how-to-win-a-hackathon-notes-from-the-judging-table/</w:t>
      </w:r>
    </w:p>
    <w:p>
      <w:pPr>
        <w:pStyle w:val="Heading1"/>
      </w:pPr>
      <w:r>
        <w:t>9. Remaining risks and roadmap</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2232"/>
            <w:vAlign w:val="center"/>
            <w:shd w:fill="F2F4F7"/>
          </w:tcPr>
          <w:p>
            <w:pPr>
              <w:spacing w:after="60"/>
            </w:pPr>
            <w:r>
              <w:rPr>
                <w:rFonts w:ascii="Calibri" w:hAnsi="Calibri"/>
                <w:b/>
                <w:color w:val="0B2545"/>
                <w:sz w:val="20"/>
              </w:rPr>
              <w:t>Risk</w:t>
            </w:r>
          </w:p>
        </w:tc>
        <w:tc>
          <w:tcPr>
            <w:tcW w:type="dxa" w:w="3528"/>
            <w:vAlign w:val="center"/>
            <w:shd w:fill="F2F4F7"/>
          </w:tcPr>
          <w:p>
            <w:pPr>
              <w:spacing w:after="60"/>
            </w:pPr>
            <w:r>
              <w:rPr>
                <w:rFonts w:ascii="Calibri" w:hAnsi="Calibri"/>
                <w:b/>
                <w:color w:val="0B2545"/>
                <w:sz w:val="20"/>
              </w:rPr>
              <w:t>Current mitigation</w:t>
            </w:r>
          </w:p>
        </w:tc>
        <w:tc>
          <w:tcPr>
            <w:tcW w:type="dxa" w:w="3600"/>
            <w:vAlign w:val="center"/>
            <w:shd w:fill="F2F4F7"/>
          </w:tcPr>
          <w:p>
            <w:pPr>
              <w:spacing w:after="60"/>
            </w:pPr>
            <w:r>
              <w:rPr>
                <w:rFonts w:ascii="Calibri" w:hAnsi="Calibri"/>
                <w:b/>
                <w:color w:val="0B2545"/>
                <w:sz w:val="20"/>
              </w:rPr>
              <w:t>Next step</w:t>
            </w:r>
          </w:p>
        </w:tc>
      </w:tr>
      <w:tr>
        <w:tc>
          <w:tcPr>
            <w:tcW w:type="dxa" w:w="2232"/>
            <w:vAlign w:val="center"/>
          </w:tcPr>
          <w:p>
            <w:pPr>
              <w:spacing w:after="60"/>
            </w:pPr>
            <w:r>
              <w:rPr>
                <w:rFonts w:ascii="Calibri" w:hAnsi="Calibri"/>
                <w:sz w:val="20"/>
              </w:rPr>
              <w:t>Hooks are not OS sandboxing</w:t>
            </w:r>
          </w:p>
        </w:tc>
        <w:tc>
          <w:tcPr>
            <w:tcW w:type="dxa" w:w="3528"/>
            <w:vAlign w:val="center"/>
          </w:tcPr>
          <w:p>
            <w:pPr>
              <w:spacing w:after="60"/>
            </w:pPr>
            <w:r>
              <w:rPr>
                <w:rFonts w:ascii="Calibri" w:hAnsi="Calibri"/>
                <w:sz w:val="20"/>
              </w:rPr>
              <w:t>Threat model states host guardrail boundary</w:t>
            </w:r>
          </w:p>
        </w:tc>
        <w:tc>
          <w:tcPr>
            <w:tcW w:type="dxa" w:w="3600"/>
            <w:vAlign w:val="center"/>
          </w:tcPr>
          <w:p>
            <w:pPr>
              <w:spacing w:after="60"/>
            </w:pPr>
            <w:r>
              <w:rPr>
                <w:rFonts w:ascii="Calibri" w:hAnsi="Calibri"/>
                <w:sz w:val="20"/>
              </w:rPr>
              <w:t>Offer container/VM recipes for untrusted code execution</w:t>
            </w:r>
          </w:p>
        </w:tc>
      </w:tr>
      <w:tr>
        <w:tc>
          <w:tcPr>
            <w:tcW w:type="dxa" w:w="2232"/>
            <w:vAlign w:val="center"/>
          </w:tcPr>
          <w:p>
            <w:pPr>
              <w:spacing w:after="60"/>
            </w:pPr>
            <w:r>
              <w:rPr>
                <w:rFonts w:ascii="Calibri" w:hAnsi="Calibri"/>
                <w:sz w:val="20"/>
              </w:rPr>
              <w:t>Package-fidelity hosts do not enforce runtime policy</w:t>
            </w:r>
          </w:p>
        </w:tc>
        <w:tc>
          <w:tcPr>
            <w:tcW w:type="dxa" w:w="3528"/>
            <w:vAlign w:val="center"/>
          </w:tcPr>
          <w:p>
            <w:pPr>
              <w:spacing w:after="60"/>
            </w:pPr>
            <w:r>
              <w:rPr>
                <w:rFonts w:ascii="Calibri" w:hAnsi="Calibri"/>
                <w:sz w:val="20"/>
              </w:rPr>
              <w:t>README, hosts command, and docs say no runtime parity claim</w:t>
            </w:r>
          </w:p>
        </w:tc>
        <w:tc>
          <w:tcPr>
            <w:tcW w:type="dxa" w:w="3600"/>
            <w:vAlign w:val="center"/>
          </w:tcPr>
          <w:p>
            <w:pPr>
              <w:spacing w:after="60"/>
            </w:pPr>
            <w:r>
              <w:rPr>
                <w:rFonts w:ascii="Calibri" w:hAnsi="Calibri"/>
                <w:sz w:val="20"/>
              </w:rPr>
              <w:t>Add host adapters only when a host exposes a real policy hook API</w:t>
            </w:r>
          </w:p>
        </w:tc>
      </w:tr>
      <w:tr>
        <w:tc>
          <w:tcPr>
            <w:tcW w:type="dxa" w:w="2232"/>
            <w:vAlign w:val="center"/>
          </w:tcPr>
          <w:p>
            <w:pPr>
              <w:spacing w:after="60"/>
            </w:pPr>
            <w:r>
              <w:rPr>
                <w:rFonts w:ascii="Calibri" w:hAnsi="Calibri"/>
                <w:sz w:val="20"/>
              </w:rPr>
              <w:t>Static scan is best-effort</w:t>
            </w:r>
          </w:p>
        </w:tc>
        <w:tc>
          <w:tcPr>
            <w:tcW w:type="dxa" w:w="3528"/>
            <w:vAlign w:val="center"/>
          </w:tcPr>
          <w:p>
            <w:pPr>
              <w:spacing w:after="60"/>
            </w:pPr>
            <w:r>
              <w:rPr>
                <w:rFonts w:ascii="Calibri" w:hAnsi="Calibri"/>
                <w:sz w:val="20"/>
              </w:rPr>
              <w:t>Policy fixtures, SkillShield, and evidence receipts</w:t>
            </w:r>
          </w:p>
        </w:tc>
        <w:tc>
          <w:tcPr>
            <w:tcW w:type="dxa" w:w="3600"/>
            <w:vAlign w:val="center"/>
          </w:tcPr>
          <w:p>
            <w:pPr>
              <w:spacing w:after="60"/>
            </w:pPr>
            <w:r>
              <w:rPr>
                <w:rFonts w:ascii="Calibri" w:hAnsi="Calibri"/>
                <w:sz w:val="20"/>
              </w:rPr>
              <w:t>Add more adversarial fixtures and optional binary provenance checks</w:t>
            </w:r>
          </w:p>
        </w:tc>
      </w:tr>
      <w:tr>
        <w:tc>
          <w:tcPr>
            <w:tcW w:type="dxa" w:w="2232"/>
            <w:vAlign w:val="center"/>
          </w:tcPr>
          <w:p>
            <w:pPr>
              <w:spacing w:after="60"/>
            </w:pPr>
            <w:r>
              <w:rPr>
                <w:rFonts w:ascii="Calibri" w:hAnsi="Calibri"/>
                <w:sz w:val="20"/>
              </w:rPr>
              <w:t>Catalog depth varies by pack</w:t>
            </w:r>
          </w:p>
        </w:tc>
        <w:tc>
          <w:tcPr>
            <w:tcW w:type="dxa" w:w="3528"/>
            <w:vAlign w:val="center"/>
          </w:tcPr>
          <w:p>
            <w:pPr>
              <w:spacing w:after="60"/>
            </w:pPr>
            <w:r>
              <w:rPr>
                <w:rFonts w:ascii="Calibri" w:hAnsi="Calibri"/>
                <w:sz w:val="20"/>
              </w:rPr>
              <w:t>README says trust skills are deeper and domain packs are lean</w:t>
            </w:r>
          </w:p>
        </w:tc>
        <w:tc>
          <w:tcPr>
            <w:tcW w:type="dxa" w:w="3600"/>
            <w:vAlign w:val="center"/>
          </w:tcPr>
          <w:p>
            <w:pPr>
              <w:spacing w:after="60"/>
            </w:pPr>
            <w:r>
              <w:rPr>
                <w:rFonts w:ascii="Calibri" w:hAnsi="Calibri"/>
                <w:sz w:val="20"/>
              </w:rPr>
              <w:t>Expand high-value domain skills with examples/evals after hackathon</w:t>
            </w:r>
          </w:p>
        </w:tc>
      </w:tr>
      <w:tr>
        <w:tc>
          <w:tcPr>
            <w:tcW w:type="dxa" w:w="2232"/>
            <w:vAlign w:val="center"/>
          </w:tcPr>
          <w:p>
            <w:pPr>
              <w:spacing w:after="60"/>
            </w:pPr>
            <w:r>
              <w:rPr>
                <w:rFonts w:ascii="Calibri" w:hAnsi="Calibri"/>
                <w:sz w:val="20"/>
              </w:rPr>
              <w:t>Receipts are unsigned</w:t>
            </w:r>
          </w:p>
        </w:tc>
        <w:tc>
          <w:tcPr>
            <w:tcW w:type="dxa" w:w="3528"/>
            <w:vAlign w:val="center"/>
          </w:tcPr>
          <w:p>
            <w:pPr>
              <w:spacing w:after="60"/>
            </w:pPr>
            <w:r>
              <w:rPr>
                <w:rFonts w:ascii="Calibri" w:hAnsi="Calibri"/>
                <w:sz w:val="20"/>
              </w:rPr>
              <w:t>Docs call them tamper evidence, not certification</w:t>
            </w:r>
          </w:p>
        </w:tc>
        <w:tc>
          <w:tcPr>
            <w:tcW w:type="dxa" w:w="3600"/>
            <w:vAlign w:val="center"/>
          </w:tcPr>
          <w:p>
            <w:pPr>
              <w:spacing w:after="60"/>
            </w:pPr>
            <w:r>
              <w:rPr>
                <w:rFonts w:ascii="Calibri" w:hAnsi="Calibri"/>
                <w:sz w:val="20"/>
              </w:rPr>
              <w:t>Add optional signing and provenance attestations later</w:t>
            </w:r>
          </w:p>
        </w:tc>
      </w:tr>
    </w:tbl>
    <w:p/>
    <w:p>
      <w:pPr>
        <w:pStyle w:val="Heading1"/>
      </w:pPr>
      <w:r>
        <w:t>10. Delivery inventory</w:t>
      </w:r>
    </w:p>
    <w:p>
      <w:pPr>
        <w:pStyle w:val="ListBullet"/>
      </w:pPr>
      <w:r>
        <w:t>Source implementation: lib/capabilities/hosts.mjs and scripts/skillsforge-cli.mjs.</w:t>
      </w:r>
    </w:p>
    <w:p>
      <w:pPr>
        <w:pStyle w:val="ListBullet"/>
      </w:pPr>
      <w:r>
        <w:t>Bundled implementation: plugins/skillsforge/bin/skillsforge.mjs and skillsforge-validate shim.</w:t>
      </w:r>
    </w:p>
    <w:p>
      <w:pPr>
        <w:pStyle w:val="ListBullet"/>
      </w:pPr>
      <w:r>
        <w:t>Tests: tests/hosts.test.mjs, tests/install.test.mjs, tests/cli.test.mjs, tests/os-cli.test.mjs through full suite.</w:t>
      </w:r>
    </w:p>
    <w:p>
      <w:pPr>
        <w:pStyle w:val="ListBullet"/>
      </w:pPr>
      <w:r>
        <w:t>Docs and visuals: README.md, assets/skillsforge-universal-fanout.svg, docs/universal-hosts.md, docs/architecture.md, docs/hackathon-demo.md, docs/threat-model.md.</w:t>
      </w:r>
    </w:p>
    <w:p>
      <w:pPr>
        <w:pStyle w:val="ListBullet"/>
      </w:pPr>
      <w:r>
        <w:t>Evidence outputs: artifacts/evidence, artifacts/host-validation.json, dist packages and receipts.</w:t>
      </w:r>
    </w:p>
    <w:p>
      <w:pPr>
        <w:pStyle w:val="Heading1"/>
      </w:pPr>
      <w:r>
        <w:t>11. Final claim boundary</w:t>
      </w:r>
    </w:p>
    <w:p>
      <w:r>
        <w:t>A judge or operator should judge SkillsForge on the visible product path: unsafe deny, safe Codex package, receipt verification, universal host inventory, and dry-run package install. The project should not be described as an OS sandbox, third-party security attestation, or runtime policy layer for hosts that only receive package-fidelity installs.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8"/>
      </w:rPr>
      <w:t>Generated locally from verified repository state. Unsigned internal project record.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66666"/>
        <w:sz w:val="18"/>
      </w:rPr>
      <w:t>SkillsForge Hackathon Build Documentary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8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line="28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