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c857cfdd2fd74f2e"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1DF5" w:rsidP="004D1BEE" w:rsidRDefault="00FB644B" w14:paraId="11EB0B32" w14:textId="67F6A185">
      <w:pPr>
        <w:spacing w:line="480" w:lineRule="auto"/>
      </w:pPr>
      <w:r>
        <w:t xml:space="preserve">Teisha Yoder </w:t>
      </w:r>
    </w:p>
    <w:p w:rsidR="00FB644B" w:rsidP="004D1BEE" w:rsidRDefault="00FB644B" w14:paraId="2999F0C8" w14:textId="03A1C310">
      <w:pPr>
        <w:spacing w:line="480" w:lineRule="auto"/>
      </w:pPr>
      <w:r>
        <w:t xml:space="preserve">CS-405 </w:t>
      </w:r>
    </w:p>
    <w:p w:rsidRPr="004D1BEE" w:rsidR="00FB644B" w:rsidP="004D1BEE" w:rsidRDefault="004D1BEE" w14:paraId="623FBB28" w14:textId="7FC89DE4">
      <w:pPr>
        <w:spacing w:before="100" w:beforeAutospacing="1" w:after="100" w:afterAutospacing="1" w:line="480" w:lineRule="auto"/>
      </w:pPr>
      <w:r w:rsidR="00FB644B">
        <w:rPr/>
        <w:t>June 23</w:t>
      </w:r>
      <w:r w:rsidRPr="1B38AF70" w:rsidR="00FB644B">
        <w:rPr>
          <w:vertAlign w:val="superscript"/>
        </w:rPr>
        <w:t>rd</w:t>
      </w:r>
      <w:r w:rsidR="00FB644B">
        <w:rPr/>
        <w:t xml:space="preserve">, 2025 </w:t>
      </w:r>
    </w:p>
    <w:p w:rsidR="27ED4D3E" w:rsidP="1B38AF70" w:rsidRDefault="27ED4D3E" w14:paraId="53429748" w14:textId="1C91C198">
      <w:pPr>
        <w:spacing w:before="240" w:beforeAutospacing="off" w:after="240" w:afterAutospacing="off"/>
      </w:pPr>
      <w:r w:rsidRPr="1B38AF70" w:rsidR="27ED4D3E">
        <w:rPr>
          <w:rFonts w:ascii="Aptos" w:hAnsi="Aptos" w:eastAsia="Aptos" w:cs="Aptos"/>
          <w:b w:val="1"/>
          <w:bCs w:val="1"/>
          <w:noProof w:val="0"/>
          <w:color w:val="000000" w:themeColor="text1" w:themeTint="FF" w:themeShade="FF"/>
          <w:sz w:val="24"/>
          <w:szCs w:val="24"/>
          <w:lang w:val="en-US"/>
        </w:rPr>
        <w:t>Reflections on Secure Coding, Risk Management, Zero Trust, and Security Policy Implementation</w:t>
      </w:r>
    </w:p>
    <w:p w:rsidR="27ED4D3E" w:rsidP="1B38AF70" w:rsidRDefault="27ED4D3E" w14:paraId="24AD0081" w14:textId="7FF81E05">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Integrating secure coding standards from the outset of software development is essential for building resilient IT systems. Security should never be an afterthought; instead, it must be woven into every stage of the development process. Secure coding practices help prevent vulnerabilities before they become costly problems, reducing the risk of exploitation and data breaches. Organizations that prioritize security early in the development lifecycle are better positioned to protect sensitive information and maintain user trust (OWASP, 2023).</w:t>
      </w:r>
    </w:p>
    <w:p w:rsidR="27ED4D3E" w:rsidP="1B38AF70" w:rsidRDefault="27ED4D3E" w14:paraId="74C057CC" w14:textId="04BFEEE3">
      <w:pPr>
        <w:spacing w:before="240" w:beforeAutospacing="off" w:after="240" w:afterAutospacing="off"/>
      </w:pPr>
      <w:r w:rsidRPr="1B38AF70" w:rsidR="27ED4D3E">
        <w:rPr>
          <w:rFonts w:ascii="Aptos" w:hAnsi="Aptos" w:eastAsia="Aptos" w:cs="Aptos"/>
          <w:b w:val="1"/>
          <w:bCs w:val="1"/>
          <w:noProof w:val="0"/>
          <w:color w:val="000000" w:themeColor="text1" w:themeTint="FF" w:themeShade="FF"/>
          <w:sz w:val="24"/>
          <w:szCs w:val="24"/>
          <w:lang w:val="en-US"/>
        </w:rPr>
        <w:t>Assessing Risk and the Cost-Benefit of Mitigation Strategies</w:t>
      </w:r>
    </w:p>
    <w:p w:rsidR="27ED4D3E" w:rsidP="1B38AF70" w:rsidRDefault="27ED4D3E" w14:paraId="6123194F" w14:textId="1A2BED54">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A thorough evaluation of risk and the cost-benefit of mitigation is crucial for making informed security decisions. Risk assessment involves identifying potential threats, estimating how likely they are to occur, and understanding their possible impact. Cost-benefit analysis helps organizations determine which security measures are most worthwhile, ensuring that resources are allocated efficiently. This approach allows security teams to focus on the most significant risks, rather than attempting to address every possible vulnerability (Stoneburner, Goguen, &amp; Feringa, 2002; NIST, 2018). In practice, this means some risks may be accepted if the cost of mitigation outweighs the potential harm.</w:t>
      </w:r>
    </w:p>
    <w:p w:rsidR="27ED4D3E" w:rsidP="1B38AF70" w:rsidRDefault="27ED4D3E" w14:paraId="29C6AF9F" w14:textId="293536B5">
      <w:pPr>
        <w:spacing w:before="240" w:beforeAutospacing="off" w:after="240" w:afterAutospacing="off"/>
      </w:pPr>
      <w:r w:rsidRPr="1B38AF70" w:rsidR="27ED4D3E">
        <w:rPr>
          <w:rFonts w:ascii="Aptos" w:hAnsi="Aptos" w:eastAsia="Aptos" w:cs="Aptos"/>
          <w:b w:val="1"/>
          <w:bCs w:val="1"/>
          <w:noProof w:val="0"/>
          <w:color w:val="000000" w:themeColor="text1" w:themeTint="FF" w:themeShade="FF"/>
          <w:sz w:val="24"/>
          <w:szCs w:val="24"/>
          <w:lang w:val="en-US"/>
        </w:rPr>
        <w:t>The Role of Zero Trust in Modern Security</w:t>
      </w:r>
    </w:p>
    <w:p w:rsidR="27ED4D3E" w:rsidP="1B38AF70" w:rsidRDefault="27ED4D3E" w14:paraId="2AFDF67E" w14:textId="63FCE76F">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The zero trust model has become a cornerstone of current cybersecurity strategies. Zero trust operates on the principle of “never trust, always verify,” requiring strict identity verification for every user and device, regardless of their location within or outside the network. This model minimizes the attack surface and limits the damage that can be caused by compromised credentials or insider threats. Implementing zero trust involves segmenting networks, enforcing least privilege access, and continuously monitoring for suspicious activity (NIST, 2020). As organizations increasingly adopt cloud and hybrid environments, zero trust provides a robust framework for protecting distributed systems.</w:t>
      </w:r>
    </w:p>
    <w:p w:rsidR="27ED4D3E" w:rsidP="1B38AF70" w:rsidRDefault="27ED4D3E" w14:paraId="7E51115F" w14:textId="397522E6">
      <w:pPr>
        <w:spacing w:before="240" w:beforeAutospacing="off" w:after="240" w:afterAutospacing="off"/>
      </w:pPr>
      <w:r w:rsidRPr="1B38AF70" w:rsidR="27ED4D3E">
        <w:rPr>
          <w:rFonts w:ascii="Aptos" w:hAnsi="Aptos" w:eastAsia="Aptos" w:cs="Aptos"/>
          <w:b w:val="1"/>
          <w:bCs w:val="1"/>
          <w:noProof w:val="0"/>
          <w:color w:val="000000" w:themeColor="text1" w:themeTint="FF" w:themeShade="FF"/>
          <w:sz w:val="24"/>
          <w:szCs w:val="24"/>
          <w:lang w:val="en-US"/>
        </w:rPr>
        <w:t>Implementing and Recommending Security Policies</w:t>
      </w:r>
    </w:p>
    <w:p w:rsidR="27ED4D3E" w:rsidP="1B38AF70" w:rsidRDefault="27ED4D3E" w14:paraId="64F282B6" w14:textId="32196E23">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Effective security policies are vital for guiding organizational behavior and ensuring consistent application of security controls. Policies should be clearly documented, regularly reviewed, and communicated to all relevant parties. Recommendations for successful policy implementation include ongoing employee training, enforcement of strong authentication methods, and the establishment of clear incident response plans. Security policies must also be flexible enough to adapt to new threats and technological changes, ensuring that organizations remain resilient in a rapidly evolving landscape (ISO/IEC, 2013; SANS, 2021).</w:t>
      </w:r>
    </w:p>
    <w:p w:rsidR="27ED4D3E" w:rsidP="1B38AF70" w:rsidRDefault="27ED4D3E" w14:paraId="16B7CBD5" w14:textId="08F91DDF">
      <w:pPr>
        <w:spacing w:before="240" w:beforeAutospacing="off" w:after="240" w:afterAutospacing="off"/>
      </w:pPr>
      <w:r w:rsidRPr="1B38AF70" w:rsidR="27ED4D3E">
        <w:rPr>
          <w:rFonts w:ascii="Aptos" w:hAnsi="Aptos" w:eastAsia="Aptos" w:cs="Aptos"/>
          <w:b w:val="1"/>
          <w:bCs w:val="1"/>
          <w:noProof w:val="0"/>
          <w:color w:val="000000" w:themeColor="text1" w:themeTint="FF" w:themeShade="FF"/>
          <w:sz w:val="24"/>
          <w:szCs w:val="24"/>
          <w:lang w:val="en-US"/>
        </w:rPr>
        <w:t>Critical Reflection and the Importance of Secure Coding Best Practices</w:t>
      </w:r>
    </w:p>
    <w:p w:rsidR="27ED4D3E" w:rsidP="1B38AF70" w:rsidRDefault="27ED4D3E" w14:paraId="6748AB75" w14:textId="68B0B973">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Reflecting on these topics highlights the interconnected nature of secure coding, risk management, zero trust, and policy implementation. Each element plays a crucial role in a comprehensive security strategy. Neglecting any one aspect can create vulnerabilities that attackers are quick to exploit. By critically evaluating these practices, organizations can better understand how to safeguard their systems and </w:t>
      </w:r>
      <w:r w:rsidRPr="1B38AF70" w:rsidR="27ED4D3E">
        <w:rPr>
          <w:rFonts w:ascii="Aptos" w:hAnsi="Aptos" w:eastAsia="Aptos" w:cs="Aptos"/>
          <w:noProof w:val="0"/>
          <w:color w:val="000000" w:themeColor="text1" w:themeTint="FF" w:themeShade="FF"/>
          <w:sz w:val="24"/>
          <w:szCs w:val="24"/>
          <w:lang w:val="en-US"/>
        </w:rPr>
        <w:t>data and</w:t>
      </w:r>
      <w:r w:rsidRPr="1B38AF70" w:rsidR="27ED4D3E">
        <w:rPr>
          <w:rFonts w:ascii="Aptos" w:hAnsi="Aptos" w:eastAsia="Aptos" w:cs="Aptos"/>
          <w:noProof w:val="0"/>
          <w:color w:val="000000" w:themeColor="text1" w:themeTint="FF" w:themeShade="FF"/>
          <w:sz w:val="24"/>
          <w:szCs w:val="24"/>
          <w:lang w:val="en-US"/>
        </w:rPr>
        <w:t xml:space="preserve"> anticipate emerging threats. This reflection also raises important questions: How can organizations balance security with usability? What new threats are </w:t>
      </w:r>
      <w:r w:rsidRPr="1B38AF70" w:rsidR="27ED4D3E">
        <w:rPr>
          <w:rFonts w:ascii="Aptos" w:hAnsi="Aptos" w:eastAsia="Aptos" w:cs="Aptos"/>
          <w:noProof w:val="0"/>
          <w:color w:val="000000" w:themeColor="text1" w:themeTint="FF" w:themeShade="FF"/>
          <w:sz w:val="24"/>
          <w:szCs w:val="24"/>
          <w:lang w:val="en-US"/>
        </w:rPr>
        <w:t>emerging</w:t>
      </w:r>
      <w:r w:rsidRPr="1B38AF70" w:rsidR="27ED4D3E">
        <w:rPr>
          <w:rFonts w:ascii="Aptos" w:hAnsi="Aptos" w:eastAsia="Aptos" w:cs="Aptos"/>
          <w:noProof w:val="0"/>
          <w:color w:val="000000" w:themeColor="text1" w:themeTint="FF" w:themeShade="FF"/>
          <w:sz w:val="24"/>
          <w:szCs w:val="24"/>
          <w:lang w:val="en-US"/>
        </w:rPr>
        <w:t xml:space="preserve"> as technology advances, and how should security practices evolve to address them? These questions underscore the need for ongoing education and adaptation in cybersecurity.</w:t>
      </w:r>
    </w:p>
    <w:p w:rsidR="1B38AF70" w:rsidP="1B38AF70" w:rsidRDefault="1B38AF70" w14:paraId="236C6122" w14:textId="03A4FB1E">
      <w:pPr>
        <w:spacing w:before="0" w:beforeAutospacing="off" w:after="0" w:afterAutospacing="off"/>
      </w:pPr>
    </w:p>
    <w:p w:rsidR="27ED4D3E" w:rsidP="1B38AF70" w:rsidRDefault="27ED4D3E" w14:paraId="7222B4A1" w14:textId="54F50CA5">
      <w:pPr>
        <w:spacing w:before="240" w:beforeAutospacing="off" w:after="240" w:afterAutospacing="off"/>
      </w:pPr>
      <w:r w:rsidRPr="1B38AF70" w:rsidR="27ED4D3E">
        <w:rPr>
          <w:rFonts w:ascii="Aptos" w:hAnsi="Aptos" w:eastAsia="Aptos" w:cs="Aptos"/>
          <w:b w:val="1"/>
          <w:bCs w:val="1"/>
          <w:noProof w:val="0"/>
          <w:color w:val="000000" w:themeColor="text1" w:themeTint="FF" w:themeShade="FF"/>
          <w:sz w:val="24"/>
          <w:szCs w:val="24"/>
          <w:lang w:val="en-US"/>
        </w:rPr>
        <w:t>References</w:t>
      </w:r>
    </w:p>
    <w:p w:rsidR="27ED4D3E" w:rsidP="1B38AF70" w:rsidRDefault="27ED4D3E" w14:paraId="1C74DD52" w14:textId="31DC2AD4">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ISO/IEC. (2013). </w:t>
      </w:r>
      <w:r w:rsidRPr="1B38AF70" w:rsidR="27ED4D3E">
        <w:rPr>
          <w:rFonts w:ascii="Aptos" w:hAnsi="Aptos" w:eastAsia="Aptos" w:cs="Aptos"/>
          <w:i w:val="1"/>
          <w:iCs w:val="1"/>
          <w:noProof w:val="0"/>
          <w:color w:val="000000" w:themeColor="text1" w:themeTint="FF" w:themeShade="FF"/>
          <w:sz w:val="24"/>
          <w:szCs w:val="24"/>
          <w:lang w:val="en-US"/>
        </w:rPr>
        <w:t>ISO/IEC 27001:2013 Information technology—Security techniques—Information security management systems—Requirements</w:t>
      </w:r>
      <w:r w:rsidRPr="1B38AF70" w:rsidR="27ED4D3E">
        <w:rPr>
          <w:rFonts w:ascii="Aptos" w:hAnsi="Aptos" w:eastAsia="Aptos" w:cs="Aptos"/>
          <w:noProof w:val="0"/>
          <w:color w:val="000000" w:themeColor="text1" w:themeTint="FF" w:themeShade="FF"/>
          <w:sz w:val="24"/>
          <w:szCs w:val="24"/>
          <w:lang w:val="en-US"/>
        </w:rPr>
        <w:t>. International Organization for Standardization.</w:t>
      </w:r>
    </w:p>
    <w:p w:rsidR="27ED4D3E" w:rsidP="1B38AF70" w:rsidRDefault="27ED4D3E" w14:paraId="43C20F36" w14:textId="41C73EA4">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NIST. (2018). </w:t>
      </w:r>
      <w:r w:rsidRPr="1B38AF70" w:rsidR="27ED4D3E">
        <w:rPr>
          <w:rFonts w:ascii="Aptos" w:hAnsi="Aptos" w:eastAsia="Aptos" w:cs="Aptos"/>
          <w:i w:val="1"/>
          <w:iCs w:val="1"/>
          <w:noProof w:val="0"/>
          <w:color w:val="000000" w:themeColor="text1" w:themeTint="FF" w:themeShade="FF"/>
          <w:sz w:val="24"/>
          <w:szCs w:val="24"/>
          <w:lang w:val="en-US"/>
        </w:rPr>
        <w:t>NIST Special Publication 800-30 Rev. 1: Guide for Conducting Risk Assessments</w:t>
      </w:r>
      <w:r w:rsidRPr="1B38AF70" w:rsidR="27ED4D3E">
        <w:rPr>
          <w:rFonts w:ascii="Aptos" w:hAnsi="Aptos" w:eastAsia="Aptos" w:cs="Aptos"/>
          <w:noProof w:val="0"/>
          <w:color w:val="000000" w:themeColor="text1" w:themeTint="FF" w:themeShade="FF"/>
          <w:sz w:val="24"/>
          <w:szCs w:val="24"/>
          <w:lang w:val="en-US"/>
        </w:rPr>
        <w:t xml:space="preserve">. National Institute of Standards and Technology. </w:t>
      </w:r>
      <w:hyperlink r:id="R9778e9f2c70840af">
        <w:r w:rsidRPr="1B38AF70" w:rsidR="27ED4D3E">
          <w:rPr>
            <w:rStyle w:val="Hyperlink"/>
            <w:rFonts w:ascii="Aptos" w:hAnsi="Aptos" w:eastAsia="Aptos" w:cs="Aptos"/>
            <w:noProof w:val="0"/>
            <w:color w:val="000000" w:themeColor="text1" w:themeTint="FF" w:themeShade="FF"/>
            <w:sz w:val="24"/>
            <w:szCs w:val="24"/>
            <w:lang w:val="en-US"/>
          </w:rPr>
          <w:t>https://nvlpubs.nist.gov/nistpubs/Legacy/SP/nistspecialpublication800-30r1.pdf</w:t>
        </w:r>
      </w:hyperlink>
    </w:p>
    <w:p w:rsidR="27ED4D3E" w:rsidP="1B38AF70" w:rsidRDefault="27ED4D3E" w14:paraId="2199A66C" w14:textId="0F3020F9">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NIST. (2020). </w:t>
      </w:r>
      <w:r w:rsidRPr="1B38AF70" w:rsidR="27ED4D3E">
        <w:rPr>
          <w:rFonts w:ascii="Aptos" w:hAnsi="Aptos" w:eastAsia="Aptos" w:cs="Aptos"/>
          <w:i w:val="1"/>
          <w:iCs w:val="1"/>
          <w:noProof w:val="0"/>
          <w:color w:val="000000" w:themeColor="text1" w:themeTint="FF" w:themeShade="FF"/>
          <w:sz w:val="24"/>
          <w:szCs w:val="24"/>
          <w:lang w:val="en-US"/>
        </w:rPr>
        <w:t>NIST Special Publication 800-207: Zero Trust Architecture</w:t>
      </w:r>
      <w:r w:rsidRPr="1B38AF70" w:rsidR="27ED4D3E">
        <w:rPr>
          <w:rFonts w:ascii="Aptos" w:hAnsi="Aptos" w:eastAsia="Aptos" w:cs="Aptos"/>
          <w:noProof w:val="0"/>
          <w:color w:val="000000" w:themeColor="text1" w:themeTint="FF" w:themeShade="FF"/>
          <w:sz w:val="24"/>
          <w:szCs w:val="24"/>
          <w:lang w:val="en-US"/>
        </w:rPr>
        <w:t xml:space="preserve">. National Institute of Standards and Technology. </w:t>
      </w:r>
      <w:hyperlink r:id="R3b32778cb3164a9b">
        <w:r w:rsidRPr="1B38AF70" w:rsidR="27ED4D3E">
          <w:rPr>
            <w:rStyle w:val="Hyperlink"/>
            <w:rFonts w:ascii="Aptos" w:hAnsi="Aptos" w:eastAsia="Aptos" w:cs="Aptos"/>
            <w:noProof w:val="0"/>
            <w:color w:val="000000" w:themeColor="text1" w:themeTint="FF" w:themeShade="FF"/>
            <w:sz w:val="24"/>
            <w:szCs w:val="24"/>
            <w:lang w:val="en-US"/>
          </w:rPr>
          <w:t>https://csrc.nist.gov/publications/detail/sp/800-207/final</w:t>
        </w:r>
      </w:hyperlink>
    </w:p>
    <w:p w:rsidR="27ED4D3E" w:rsidP="1B38AF70" w:rsidRDefault="27ED4D3E" w14:paraId="69C5630A" w14:textId="52C287FE">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OWASP. (2023). </w:t>
      </w:r>
      <w:r w:rsidRPr="1B38AF70" w:rsidR="27ED4D3E">
        <w:rPr>
          <w:rFonts w:ascii="Aptos" w:hAnsi="Aptos" w:eastAsia="Aptos" w:cs="Aptos"/>
          <w:i w:val="1"/>
          <w:iCs w:val="1"/>
          <w:noProof w:val="0"/>
          <w:color w:val="000000" w:themeColor="text1" w:themeTint="FF" w:themeShade="FF"/>
          <w:sz w:val="24"/>
          <w:szCs w:val="24"/>
          <w:lang w:val="en-US"/>
        </w:rPr>
        <w:t>OWASP Secure Coding Practices—Quick Reference Guide</w:t>
      </w:r>
      <w:r w:rsidRPr="1B38AF70" w:rsidR="27ED4D3E">
        <w:rPr>
          <w:rFonts w:ascii="Aptos" w:hAnsi="Aptos" w:eastAsia="Aptos" w:cs="Aptos"/>
          <w:noProof w:val="0"/>
          <w:color w:val="000000" w:themeColor="text1" w:themeTint="FF" w:themeShade="FF"/>
          <w:sz w:val="24"/>
          <w:szCs w:val="24"/>
          <w:lang w:val="en-US"/>
        </w:rPr>
        <w:t xml:space="preserve">. Open Web Application Security Project. </w:t>
      </w:r>
      <w:hyperlink r:id="R9bcf0239ecda4a27">
        <w:r w:rsidRPr="1B38AF70" w:rsidR="27ED4D3E">
          <w:rPr>
            <w:rStyle w:val="Hyperlink"/>
            <w:rFonts w:ascii="Aptos" w:hAnsi="Aptos" w:eastAsia="Aptos" w:cs="Aptos"/>
            <w:noProof w:val="0"/>
            <w:color w:val="000000" w:themeColor="text1" w:themeTint="FF" w:themeShade="FF"/>
            <w:sz w:val="24"/>
            <w:szCs w:val="24"/>
            <w:lang w:val="en-US"/>
          </w:rPr>
          <w:t>https://owasp.org/www-project-secure-coding-practices-quick-reference-guide/</w:t>
        </w:r>
      </w:hyperlink>
    </w:p>
    <w:p w:rsidR="27ED4D3E" w:rsidP="1B38AF70" w:rsidRDefault="27ED4D3E" w14:paraId="5F56AF9A" w14:textId="746D728A">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SANS. (2021). </w:t>
      </w:r>
      <w:r w:rsidRPr="1B38AF70" w:rsidR="27ED4D3E">
        <w:rPr>
          <w:rFonts w:ascii="Aptos" w:hAnsi="Aptos" w:eastAsia="Aptos" w:cs="Aptos"/>
          <w:i w:val="1"/>
          <w:iCs w:val="1"/>
          <w:noProof w:val="0"/>
          <w:color w:val="000000" w:themeColor="text1" w:themeTint="FF" w:themeShade="FF"/>
          <w:sz w:val="24"/>
          <w:szCs w:val="24"/>
          <w:lang w:val="en-US"/>
        </w:rPr>
        <w:t>SANS Security Policy Templates</w:t>
      </w:r>
      <w:r w:rsidRPr="1B38AF70" w:rsidR="27ED4D3E">
        <w:rPr>
          <w:rFonts w:ascii="Aptos" w:hAnsi="Aptos" w:eastAsia="Aptos" w:cs="Aptos"/>
          <w:noProof w:val="0"/>
          <w:color w:val="000000" w:themeColor="text1" w:themeTint="FF" w:themeShade="FF"/>
          <w:sz w:val="24"/>
          <w:szCs w:val="24"/>
          <w:lang w:val="en-US"/>
        </w:rPr>
        <w:t xml:space="preserve">. SANS Institute. </w:t>
      </w:r>
      <w:hyperlink r:id="Rd8c83917fafe47ce">
        <w:r w:rsidRPr="1B38AF70" w:rsidR="27ED4D3E">
          <w:rPr>
            <w:rStyle w:val="Hyperlink"/>
            <w:rFonts w:ascii="Aptos" w:hAnsi="Aptos" w:eastAsia="Aptos" w:cs="Aptos"/>
            <w:noProof w:val="0"/>
            <w:color w:val="000000" w:themeColor="text1" w:themeTint="FF" w:themeShade="FF"/>
            <w:sz w:val="24"/>
            <w:szCs w:val="24"/>
            <w:lang w:val="en-US"/>
          </w:rPr>
          <w:t>https://www.sans.org/information-security-policy/</w:t>
        </w:r>
      </w:hyperlink>
    </w:p>
    <w:p w:rsidR="27ED4D3E" w:rsidP="1B38AF70" w:rsidRDefault="27ED4D3E" w14:paraId="66A4633E" w14:textId="01256C01">
      <w:pPr>
        <w:spacing w:before="240" w:beforeAutospacing="off" w:after="240" w:afterAutospacing="off"/>
      </w:pPr>
      <w:r w:rsidRPr="1B38AF70" w:rsidR="27ED4D3E">
        <w:rPr>
          <w:rFonts w:ascii="Aptos" w:hAnsi="Aptos" w:eastAsia="Aptos" w:cs="Aptos"/>
          <w:noProof w:val="0"/>
          <w:color w:val="000000" w:themeColor="text1" w:themeTint="FF" w:themeShade="FF"/>
          <w:sz w:val="24"/>
          <w:szCs w:val="24"/>
          <w:lang w:val="en-US"/>
        </w:rPr>
        <w:t xml:space="preserve">Stoneburner, G., Goguen, A., &amp; Feringa, A. (2002). </w:t>
      </w:r>
      <w:r w:rsidRPr="1B38AF70" w:rsidR="27ED4D3E">
        <w:rPr>
          <w:rFonts w:ascii="Aptos" w:hAnsi="Aptos" w:eastAsia="Aptos" w:cs="Aptos"/>
          <w:i w:val="1"/>
          <w:iCs w:val="1"/>
          <w:noProof w:val="0"/>
          <w:color w:val="000000" w:themeColor="text1" w:themeTint="FF" w:themeShade="FF"/>
          <w:sz w:val="24"/>
          <w:szCs w:val="24"/>
          <w:lang w:val="en-US"/>
        </w:rPr>
        <w:t>Risk Management Guide for Information Technology Systems</w:t>
      </w:r>
      <w:r w:rsidRPr="1B38AF70" w:rsidR="27ED4D3E">
        <w:rPr>
          <w:rFonts w:ascii="Aptos" w:hAnsi="Aptos" w:eastAsia="Aptos" w:cs="Aptos"/>
          <w:noProof w:val="0"/>
          <w:color w:val="000000" w:themeColor="text1" w:themeTint="FF" w:themeShade="FF"/>
          <w:sz w:val="24"/>
          <w:szCs w:val="24"/>
          <w:lang w:val="en-US"/>
        </w:rPr>
        <w:t xml:space="preserve">. NIST Special Publication 800-30. National Institute of Standards and Technology. </w:t>
      </w:r>
      <w:hyperlink r:id="R6a09d973c84846b6">
        <w:r w:rsidRPr="1B38AF70" w:rsidR="27ED4D3E">
          <w:rPr>
            <w:rStyle w:val="Hyperlink"/>
            <w:rFonts w:ascii="Aptos" w:hAnsi="Aptos" w:eastAsia="Aptos" w:cs="Aptos"/>
            <w:noProof w:val="0"/>
            <w:color w:val="000000" w:themeColor="text1" w:themeTint="FF" w:themeShade="FF"/>
            <w:sz w:val="24"/>
            <w:szCs w:val="24"/>
            <w:lang w:val="en-US"/>
          </w:rPr>
          <w:t>https://csrc.nist.gov/publications/detail/sp/800-30/archive/2002-07-01</w:t>
        </w:r>
      </w:hyperlink>
    </w:p>
    <w:p w:rsidR="1B38AF70" w:rsidP="1B38AF70" w:rsidRDefault="1B38AF70" w14:paraId="5119DDE5" w14:textId="338DAF3F">
      <w:pPr>
        <w:spacing w:line="480" w:lineRule="auto"/>
      </w:pPr>
    </w:p>
    <w:sectPr w:rsidRPr="004D1BEE" w:rsidR="00FB644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4B"/>
    <w:rsid w:val="00047FA1"/>
    <w:rsid w:val="001204D2"/>
    <w:rsid w:val="001418E9"/>
    <w:rsid w:val="00492009"/>
    <w:rsid w:val="004D1BEE"/>
    <w:rsid w:val="00721DF5"/>
    <w:rsid w:val="0077097D"/>
    <w:rsid w:val="00A66B77"/>
    <w:rsid w:val="00CB438C"/>
    <w:rsid w:val="00D94633"/>
    <w:rsid w:val="00F86D11"/>
    <w:rsid w:val="00FB644B"/>
    <w:rsid w:val="1B38AF70"/>
    <w:rsid w:val="27ED4D3E"/>
    <w:rsid w:val="39673A64"/>
    <w:rsid w:val="73EE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E4CA"/>
  <w15:chartTrackingRefBased/>
  <w15:docId w15:val="{B6DF7EAE-CBC4-4A42-A280-D7A0C9A8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644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4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4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644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B644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B644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B644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B644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B644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644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644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644B"/>
    <w:rPr>
      <w:rFonts w:eastAsiaTheme="majorEastAsia" w:cstheme="majorBidi"/>
      <w:color w:val="272727" w:themeColor="text1" w:themeTint="D8"/>
    </w:rPr>
  </w:style>
  <w:style w:type="paragraph" w:styleId="Title">
    <w:name w:val="Title"/>
    <w:basedOn w:val="Normal"/>
    <w:next w:val="Normal"/>
    <w:link w:val="TitleChar"/>
    <w:uiPriority w:val="10"/>
    <w:qFormat/>
    <w:rsid w:val="00FB644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644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644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6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4B"/>
    <w:pPr>
      <w:spacing w:before="160"/>
      <w:jc w:val="center"/>
    </w:pPr>
    <w:rPr>
      <w:i/>
      <w:iCs/>
      <w:color w:val="404040" w:themeColor="text1" w:themeTint="BF"/>
    </w:rPr>
  </w:style>
  <w:style w:type="character" w:styleId="QuoteChar" w:customStyle="1">
    <w:name w:val="Quote Char"/>
    <w:basedOn w:val="DefaultParagraphFont"/>
    <w:link w:val="Quote"/>
    <w:uiPriority w:val="29"/>
    <w:rsid w:val="00FB644B"/>
    <w:rPr>
      <w:i/>
      <w:iCs/>
      <w:color w:val="404040" w:themeColor="text1" w:themeTint="BF"/>
    </w:rPr>
  </w:style>
  <w:style w:type="paragraph" w:styleId="ListParagraph">
    <w:name w:val="List Paragraph"/>
    <w:basedOn w:val="Normal"/>
    <w:uiPriority w:val="34"/>
    <w:qFormat/>
    <w:rsid w:val="00FB644B"/>
    <w:pPr>
      <w:ind w:left="720"/>
      <w:contextualSpacing/>
    </w:pPr>
  </w:style>
  <w:style w:type="character" w:styleId="IntenseEmphasis">
    <w:name w:val="Intense Emphasis"/>
    <w:basedOn w:val="DefaultParagraphFont"/>
    <w:uiPriority w:val="21"/>
    <w:qFormat/>
    <w:rsid w:val="00FB644B"/>
    <w:rPr>
      <w:i/>
      <w:iCs/>
      <w:color w:val="0F4761" w:themeColor="accent1" w:themeShade="BF"/>
    </w:rPr>
  </w:style>
  <w:style w:type="paragraph" w:styleId="IntenseQuote">
    <w:name w:val="Intense Quote"/>
    <w:basedOn w:val="Normal"/>
    <w:next w:val="Normal"/>
    <w:link w:val="IntenseQuoteChar"/>
    <w:uiPriority w:val="30"/>
    <w:qFormat/>
    <w:rsid w:val="00FB644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B644B"/>
    <w:rPr>
      <w:i/>
      <w:iCs/>
      <w:color w:val="0F4761" w:themeColor="accent1" w:themeShade="BF"/>
    </w:rPr>
  </w:style>
  <w:style w:type="character" w:styleId="IntenseReference">
    <w:name w:val="Intense Reference"/>
    <w:basedOn w:val="DefaultParagraphFont"/>
    <w:uiPriority w:val="32"/>
    <w:qFormat/>
    <w:rsid w:val="00FB644B"/>
    <w:rPr>
      <w:b/>
      <w:bCs/>
      <w:smallCaps/>
      <w:color w:val="0F4761" w:themeColor="accent1" w:themeShade="BF"/>
      <w:spacing w:val="5"/>
    </w:rPr>
  </w:style>
  <w:style w:type="paragraph" w:styleId="my-0" w:customStyle="1">
    <w:name w:val="my-0"/>
    <w:basedOn w:val="Normal"/>
    <w:rsid w:val="004D1BEE"/>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4D1BEE"/>
    <w:rPr>
      <w:b/>
      <w:bCs/>
    </w:rPr>
  </w:style>
  <w:style w:type="character" w:styleId="apple-converted-space" w:customStyle="1">
    <w:name w:val="apple-converted-space"/>
    <w:basedOn w:val="DefaultParagraphFont"/>
    <w:rsid w:val="004D1BEE"/>
  </w:style>
  <w:style w:type="character" w:styleId="Emphasis">
    <w:name w:val="Emphasis"/>
    <w:basedOn w:val="DefaultParagraphFont"/>
    <w:uiPriority w:val="20"/>
    <w:qFormat/>
    <w:rsid w:val="004D1BEE"/>
    <w:rPr>
      <w:i/>
      <w:iCs/>
    </w:rPr>
  </w:style>
  <w:style w:type="character" w:styleId="Hyperlink">
    <w:name w:val="Hyperlink"/>
    <w:basedOn w:val="DefaultParagraphFont"/>
    <w:uiPriority w:val="99"/>
    <w:semiHidden/>
    <w:unhideWhenUsed/>
    <w:rsid w:val="004D1BEE"/>
    <w:rPr>
      <w:color w:val="0000FF"/>
      <w:u w:val="single"/>
    </w:rPr>
  </w:style>
  <w:style w:type="character" w:styleId="PlaceholderText">
    <w:uiPriority w:val="99"/>
    <w:name w:val="Placeholder Text"/>
    <w:basedOn w:val="DefaultParagraphFont"/>
    <w:semiHidden/>
    <w:rsid w:val="1B38AF70"/>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37597">
      <w:bodyDiv w:val="1"/>
      <w:marLeft w:val="0"/>
      <w:marRight w:val="0"/>
      <w:marTop w:val="0"/>
      <w:marBottom w:val="0"/>
      <w:divBdr>
        <w:top w:val="none" w:sz="0" w:space="0" w:color="auto"/>
        <w:left w:val="none" w:sz="0" w:space="0" w:color="auto"/>
        <w:bottom w:val="none" w:sz="0" w:space="0" w:color="auto"/>
        <w:right w:val="none" w:sz="0" w:space="0" w:color="auto"/>
      </w:divBdr>
      <w:divsChild>
        <w:div w:id="1795248329">
          <w:marLeft w:val="0"/>
          <w:marRight w:val="0"/>
          <w:marTop w:val="0"/>
          <w:marBottom w:val="0"/>
          <w:divBdr>
            <w:top w:val="none" w:sz="0" w:space="0" w:color="auto"/>
            <w:left w:val="none" w:sz="0" w:space="0" w:color="auto"/>
            <w:bottom w:val="none" w:sz="0" w:space="0" w:color="auto"/>
            <w:right w:val="none" w:sz="0" w:space="0" w:color="auto"/>
          </w:divBdr>
          <w:divsChild>
            <w:div w:id="2102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hyperlink" Target="https://nvlpubs.nist.gov/nistpubs/Legacy/SP/nistspecialpublication800-30r1.pdf" TargetMode="External" Id="R9778e9f2c70840af" /><Relationship Type="http://schemas.openxmlformats.org/officeDocument/2006/relationships/hyperlink" Target="https://csrc.nist.gov/publications/detail/sp/800-207/final" TargetMode="External" Id="R3b32778cb3164a9b" /><Relationship Type="http://schemas.openxmlformats.org/officeDocument/2006/relationships/hyperlink" Target="https://owasp.org/www-project-secure-coding-practices-quick-reference-guide/" TargetMode="External" Id="R9bcf0239ecda4a27" /><Relationship Type="http://schemas.openxmlformats.org/officeDocument/2006/relationships/hyperlink" Target="https://www.sans.org/information-security-policy/" TargetMode="External" Id="Rd8c83917fafe47ce" /><Relationship Type="http://schemas.openxmlformats.org/officeDocument/2006/relationships/hyperlink" Target="https://csrc.nist.gov/publications/detail/sp/800-30/archive/2002-07-01" TargetMode="External" Id="R6a09d973c84846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Yoder, Teisha</dc:creator>
  <keywords/>
  <dc:description/>
  <lastModifiedBy>Yoder, Teisha</lastModifiedBy>
  <revision>3</revision>
  <dcterms:created xsi:type="dcterms:W3CDTF">2025-06-22T14:43:00.0000000Z</dcterms:created>
  <dcterms:modified xsi:type="dcterms:W3CDTF">2025-06-22T14:46:46.6717724Z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CS-405 8-2 Portfolio Reflection .docx</vt:lpwstr>
  </property>
  <property xmlns="http://schemas.openxmlformats.org/officeDocument/2006/custom-properties" fmtid="{D5CDD505-2E9C-101B-9397-08002B2CF9AE}" pid="3" name="TII_WORD_DOCUMENT_ID">
    <vt:lpwstr xmlns:vt="http://schemas.openxmlformats.org/officeDocument/2006/docPropsVTypes">100f295d-15d3-428c-b74e-6c60677bdc7a</vt:lpwstr>
  </property>
  <property xmlns="http://schemas.openxmlformats.org/officeDocument/2006/custom-properties" fmtid="{D5CDD505-2E9C-101B-9397-08002B2CF9AE}" pid="4" name="TII_WORD_DOCUMENT_HASH">
    <vt:lpwstr xmlns:vt="http://schemas.openxmlformats.org/officeDocument/2006/docPropsVTypes">9d718d9b0c148cd82d76848043496ec7a05f692beaf4e8d166ae034336dac675</vt:lpwstr>
  </property>
</Properties>
</file>