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7F2" w:rsidRPr="008F5A95" w:rsidRDefault="009C0D30">
      <w:pPr>
        <w:spacing w:after="30" w:line="259" w:lineRule="auto"/>
        <w:ind w:left="0" w:firstLine="0"/>
        <w:jc w:val="center"/>
        <w:rPr>
          <w:u w:val="single"/>
        </w:rPr>
      </w:pPr>
      <w:r w:rsidRPr="008F5A95">
        <w:rPr>
          <w:b/>
          <w:u w:val="single"/>
        </w:rPr>
        <w:t xml:space="preserve">Part 1: </w:t>
      </w:r>
      <w:r w:rsidRPr="008F5A95">
        <w:rPr>
          <w:u w:val="single"/>
        </w:rPr>
        <w:t>Parser</w:t>
      </w:r>
    </w:p>
    <w:p w:rsidR="00E337F2" w:rsidRDefault="009C0D30">
      <w:pPr>
        <w:pStyle w:val="Heading1"/>
        <w:spacing w:after="107"/>
        <w:ind w:left="-5"/>
      </w:pPr>
      <w:r>
        <w:t>Description</w:t>
      </w:r>
    </w:p>
    <w:p w:rsidR="00E337F2" w:rsidRDefault="009C0D30">
      <w:pPr>
        <w:spacing w:after="15"/>
        <w:ind w:left="0" w:firstLine="0"/>
      </w:pPr>
      <w:r>
        <w:t xml:space="preserve">Given below is the concrete syntax of the project language. The syntax is based on SML. The language is a hybrid of functional and imperative paradigms. The operational semantics are </w:t>
      </w:r>
      <w:proofErr w:type="gramStart"/>
      <w:r>
        <w:t>similar to</w:t>
      </w:r>
      <w:proofErr w:type="gramEnd"/>
      <w:r>
        <w:t xml:space="preserve"> what we have discussed in class. We will discuss implementatio</w:t>
      </w:r>
      <w:r>
        <w:t>n of an interpreter in part 2 of the project. For this part, you will make use of the ANTLR/</w:t>
      </w:r>
      <w:proofErr w:type="spellStart"/>
      <w:r>
        <w:t>ANTLRWorks</w:t>
      </w:r>
      <w:proofErr w:type="spellEnd"/>
      <w:r>
        <w:t xml:space="preserve"> tool to generate a pure parser for this language.</w:t>
      </w:r>
    </w:p>
    <w:tbl>
      <w:tblPr>
        <w:tblStyle w:val="TableGrid"/>
        <w:tblW w:w="6118" w:type="dxa"/>
        <w:tblInd w:w="0" w:type="dxa"/>
        <w:tblCellMar>
          <w:top w:w="0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691"/>
        <w:gridCol w:w="3815"/>
      </w:tblGrid>
      <w:tr w:rsidR="00E337F2">
        <w:trPr>
          <w:trHeight w:val="377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INPUT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−→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EXPR </w:t>
            </w:r>
            <w:r>
              <w:rPr>
                <w:rFonts w:ascii="Calibri" w:eastAsia="Calibri" w:hAnsi="Calibri" w:cs="Calibri"/>
              </w:rPr>
              <w:t>;</w:t>
            </w:r>
            <w:proofErr w:type="gramEnd"/>
          </w:p>
        </w:tc>
      </w:tr>
      <w:tr w:rsidR="00E337F2">
        <w:trPr>
          <w:trHeight w:val="406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EXPR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−→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if </w:t>
            </w:r>
            <w:r>
              <w:t xml:space="preserve">EXPR </w:t>
            </w:r>
            <w:r>
              <w:rPr>
                <w:rFonts w:ascii="Calibri" w:eastAsia="Calibri" w:hAnsi="Calibri" w:cs="Calibri"/>
              </w:rPr>
              <w:t xml:space="preserve">then </w:t>
            </w:r>
            <w:r>
              <w:t xml:space="preserve">EXPR </w:t>
            </w:r>
            <w:r>
              <w:rPr>
                <w:rFonts w:ascii="Calibri" w:eastAsia="Calibri" w:hAnsi="Calibri" w:cs="Calibri"/>
              </w:rPr>
              <w:t xml:space="preserve">else </w:t>
            </w:r>
            <w:r>
              <w:t>EXPR</w:t>
            </w:r>
          </w:p>
        </w:tc>
      </w:tr>
      <w:tr w:rsidR="00E337F2">
        <w:trPr>
          <w:trHeight w:val="271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let </w:t>
            </w:r>
            <w:proofErr w:type="spellStart"/>
            <w:r>
              <w:rPr>
                <w:rFonts w:ascii="Calibri" w:eastAsia="Calibri" w:hAnsi="Calibri" w:cs="Calibri"/>
              </w:rPr>
              <w:t>val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b/>
              </w:rPr>
              <w:t xml:space="preserve">id </w:t>
            </w:r>
            <w:r>
              <w:rPr>
                <w:rFonts w:ascii="Calibri" w:eastAsia="Calibri" w:hAnsi="Calibri" w:cs="Calibri"/>
              </w:rPr>
              <w:t xml:space="preserve">= </w:t>
            </w:r>
            <w:r>
              <w:t xml:space="preserve">EXPR </w:t>
            </w:r>
            <w:r>
              <w:rPr>
                <w:rFonts w:ascii="Calibri" w:eastAsia="Calibri" w:hAnsi="Calibri" w:cs="Calibri"/>
              </w:rPr>
              <w:t xml:space="preserve">in </w:t>
            </w:r>
            <w:r>
              <w:t xml:space="preserve">EXPR </w:t>
            </w:r>
            <w:r>
              <w:rPr>
                <w:rFonts w:ascii="Calibri" w:eastAsia="Calibri" w:hAnsi="Calibri" w:cs="Calibri"/>
              </w:rPr>
              <w:t>end</w:t>
            </w:r>
          </w:p>
        </w:tc>
      </w:tr>
      <w:tr w:rsidR="00E337F2">
        <w:trPr>
          <w:trHeight w:val="271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let fun </w:t>
            </w:r>
            <w:r>
              <w:rPr>
                <w:b/>
              </w:rPr>
              <w:t>id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b/>
              </w:rPr>
              <w:t>id</w:t>
            </w:r>
            <w:r>
              <w:rPr>
                <w:rFonts w:ascii="Calibri" w:eastAsia="Calibri" w:hAnsi="Calibri" w:cs="Calibri"/>
              </w:rPr>
              <w:t xml:space="preserve">)= </w:t>
            </w:r>
            <w:r>
              <w:t xml:space="preserve">EXPR </w:t>
            </w:r>
            <w:r>
              <w:rPr>
                <w:rFonts w:ascii="Calibri" w:eastAsia="Calibri" w:hAnsi="Calibri" w:cs="Calibri"/>
              </w:rPr>
              <w:t xml:space="preserve">in </w:t>
            </w:r>
            <w:r>
              <w:t xml:space="preserve">EXPR </w:t>
            </w:r>
            <w:r>
              <w:rPr>
                <w:rFonts w:ascii="Calibri" w:eastAsia="Calibri" w:hAnsi="Calibri" w:cs="Calibri"/>
              </w:rPr>
              <w:t>end</w:t>
            </w:r>
          </w:p>
        </w:tc>
      </w:tr>
      <w:tr w:rsidR="00E337F2">
        <w:trPr>
          <w:trHeight w:val="271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while </w:t>
            </w:r>
            <w:r>
              <w:t xml:space="preserve">EXPR </w:t>
            </w:r>
            <w:r>
              <w:rPr>
                <w:rFonts w:ascii="Calibri" w:eastAsia="Calibri" w:hAnsi="Calibri" w:cs="Calibri"/>
              </w:rPr>
              <w:t xml:space="preserve">do </w:t>
            </w:r>
            <w:r>
              <w:t>EXPR</w:t>
            </w:r>
          </w:p>
        </w:tc>
      </w:tr>
      <w:tr w:rsidR="00E337F2">
        <w:trPr>
          <w:trHeight w:val="271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{ </w:t>
            </w:r>
            <w:r>
              <w:t>EXPR</w:t>
            </w:r>
            <w:proofErr w:type="gramEnd"/>
            <w:r>
              <w:t xml:space="preserve"> </w:t>
            </w:r>
            <w:r>
              <w:rPr>
                <w:i/>
                <w:color w:val="FF0000"/>
              </w:rPr>
              <w:t>(</w:t>
            </w:r>
            <w:r>
              <w:rPr>
                <w:rFonts w:ascii="Calibri" w:eastAsia="Calibri" w:hAnsi="Calibri" w:cs="Calibri"/>
              </w:rPr>
              <w:t xml:space="preserve">; </w:t>
            </w:r>
            <w:r>
              <w:t>EXPR</w:t>
            </w:r>
            <w:r>
              <w:rPr>
                <w:i/>
                <w:color w:val="FF0000"/>
              </w:rPr>
              <w:t xml:space="preserve">)* </w:t>
            </w:r>
            <w:r>
              <w:t>}</w:t>
            </w:r>
          </w:p>
        </w:tc>
      </w:tr>
      <w:tr w:rsidR="00E337F2">
        <w:trPr>
          <w:trHeight w:val="271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rFonts w:ascii="Calibri" w:eastAsia="Calibri" w:hAnsi="Calibri" w:cs="Calibri"/>
              </w:rPr>
              <w:t>!</w:t>
            </w:r>
            <w:r>
              <w:t>EXPR</w:t>
            </w:r>
            <w:proofErr w:type="gramEnd"/>
          </w:p>
        </w:tc>
      </w:tr>
      <w:tr w:rsidR="00E337F2">
        <w:trPr>
          <w:trHeight w:val="271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</w:rPr>
              <w:t xml:space="preserve">id </w:t>
            </w:r>
            <w:r>
              <w:rPr>
                <w:rFonts w:ascii="Calibri" w:eastAsia="Calibri" w:hAnsi="Calibri" w:cs="Calibri"/>
              </w:rPr>
              <w:t>:</w:t>
            </w:r>
            <w:proofErr w:type="gramEnd"/>
            <w:r>
              <w:rPr>
                <w:rFonts w:ascii="Calibri" w:eastAsia="Calibri" w:hAnsi="Calibri" w:cs="Calibri"/>
              </w:rPr>
              <w:t xml:space="preserve">= </w:t>
            </w:r>
            <w:r>
              <w:t>EXPR</w:t>
            </w:r>
          </w:p>
        </w:tc>
      </w:tr>
      <w:tr w:rsidR="00E337F2">
        <w:trPr>
          <w:trHeight w:val="403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RELEXPR</w:t>
            </w:r>
          </w:p>
        </w:tc>
      </w:tr>
      <w:tr w:rsidR="00E337F2">
        <w:trPr>
          <w:trHeight w:val="54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RELEXPR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−→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 xml:space="preserve">ARITHEXPR </w:t>
            </w:r>
            <w:r>
              <w:rPr>
                <w:i/>
                <w:color w:val="FF0000"/>
              </w:rPr>
              <w:t>(</w:t>
            </w:r>
            <w:proofErr w:type="spellStart"/>
            <w:r>
              <w:rPr>
                <w:b/>
              </w:rPr>
              <w:t>relop</w:t>
            </w:r>
            <w:proofErr w:type="spellEnd"/>
            <w:r>
              <w:rPr>
                <w:b/>
              </w:rPr>
              <w:t xml:space="preserve"> </w:t>
            </w:r>
            <w:r>
              <w:t>ARITHEXPR</w:t>
            </w:r>
            <w:r>
              <w:rPr>
                <w:i/>
                <w:color w:val="FF0000"/>
              </w:rPr>
              <w:t>)?</w:t>
            </w:r>
          </w:p>
        </w:tc>
      </w:tr>
      <w:tr w:rsidR="00E337F2">
        <w:trPr>
          <w:trHeight w:val="54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ARITHEXPR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−→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 xml:space="preserve">TERM </w:t>
            </w:r>
            <w:r>
              <w:rPr>
                <w:i/>
                <w:color w:val="FF0000"/>
              </w:rPr>
              <w:t>(</w:t>
            </w:r>
            <w:proofErr w:type="spellStart"/>
            <w:r>
              <w:rPr>
                <w:b/>
              </w:rPr>
              <w:t>addop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t>TERM</w:t>
            </w:r>
            <w:r>
              <w:rPr>
                <w:i/>
                <w:color w:val="FF0000"/>
              </w:rPr>
              <w:t>)*</w:t>
            </w:r>
            <w:proofErr w:type="gramEnd"/>
          </w:p>
        </w:tc>
      </w:tr>
      <w:tr w:rsidR="00E337F2">
        <w:trPr>
          <w:trHeight w:val="54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TERM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−→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 xml:space="preserve">FACTOR </w:t>
            </w:r>
            <w:r>
              <w:rPr>
                <w:i/>
                <w:color w:val="FF0000"/>
              </w:rPr>
              <w:t>(</w:t>
            </w:r>
            <w:proofErr w:type="spellStart"/>
            <w:r>
              <w:rPr>
                <w:b/>
              </w:rPr>
              <w:t>mulop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t>FACTOR</w:t>
            </w:r>
            <w:r>
              <w:rPr>
                <w:i/>
                <w:color w:val="FF0000"/>
              </w:rPr>
              <w:t>)*</w:t>
            </w:r>
            <w:proofErr w:type="gramEnd"/>
          </w:p>
        </w:tc>
      </w:tr>
      <w:tr w:rsidR="00E337F2">
        <w:trPr>
          <w:trHeight w:val="406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FACTOR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−→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num</w:t>
            </w:r>
          </w:p>
        </w:tc>
      </w:tr>
      <w:tr w:rsidR="00E337F2">
        <w:trPr>
          <w:trHeight w:val="274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E337F2">
        <w:trPr>
          <w:trHeight w:val="271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false</w:t>
            </w:r>
          </w:p>
        </w:tc>
      </w:tr>
      <w:tr w:rsidR="00E337F2">
        <w:trPr>
          <w:trHeight w:val="268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id</w:t>
            </w:r>
          </w:p>
        </w:tc>
      </w:tr>
      <w:tr w:rsidR="00E337F2">
        <w:trPr>
          <w:trHeight w:val="274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id </w:t>
            </w:r>
            <w:r>
              <w:rPr>
                <w:rFonts w:ascii="Calibri" w:eastAsia="Calibri" w:hAnsi="Calibri" w:cs="Calibri"/>
              </w:rPr>
              <w:t>(</w:t>
            </w:r>
            <w:r>
              <w:t>EXPR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E337F2">
        <w:trPr>
          <w:trHeight w:val="242"/>
        </w:trPr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E337F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t>|</w:t>
            </w:r>
          </w:p>
        </w:tc>
        <w:tc>
          <w:tcPr>
            <w:tcW w:w="3815" w:type="dxa"/>
            <w:tcBorders>
              <w:top w:val="nil"/>
              <w:left w:val="nil"/>
              <w:bottom w:val="nil"/>
              <w:right w:val="nil"/>
            </w:tcBorders>
          </w:tcPr>
          <w:p w:rsidR="00E337F2" w:rsidRDefault="009C0D30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>(</w:t>
            </w:r>
            <w:r>
              <w:t>EXPR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E337F2" w:rsidRDefault="009C0D30">
      <w:pPr>
        <w:numPr>
          <w:ilvl w:val="0"/>
          <w:numId w:val="1"/>
        </w:numPr>
        <w:ind w:hanging="218"/>
      </w:pPr>
      <w:r>
        <w:t xml:space="preserve">Note that the meta-notation </w:t>
      </w:r>
      <w:r>
        <w:rPr>
          <w:i/>
          <w:color w:val="FF0000"/>
        </w:rPr>
        <w:t>(</w:t>
      </w:r>
      <w:r>
        <w:t>X</w:t>
      </w:r>
      <w:r>
        <w:rPr>
          <w:i/>
          <w:color w:val="FF0000"/>
        </w:rPr>
        <w:t xml:space="preserve">)* </w:t>
      </w:r>
      <w:r>
        <w:t xml:space="preserve">means zero or more repetitions of X and the meta-notation </w:t>
      </w:r>
      <w:r>
        <w:rPr>
          <w:i/>
          <w:color w:val="FF0000"/>
        </w:rPr>
        <w:t>(</w:t>
      </w:r>
      <w:r>
        <w:t>X</w:t>
      </w:r>
      <w:r>
        <w:rPr>
          <w:i/>
          <w:color w:val="FF0000"/>
        </w:rPr>
        <w:t xml:space="preserve">)? </w:t>
      </w:r>
      <w:r>
        <w:t>means zero or one X.</w:t>
      </w:r>
    </w:p>
    <w:p w:rsidR="00E337F2" w:rsidRDefault="009C0D30">
      <w:pPr>
        <w:numPr>
          <w:ilvl w:val="0"/>
          <w:numId w:val="1"/>
        </w:numPr>
        <w:ind w:hanging="218"/>
      </w:pPr>
      <w:r>
        <w:t xml:space="preserve">Token </w:t>
      </w:r>
      <w:r>
        <w:rPr>
          <w:b/>
        </w:rPr>
        <w:t xml:space="preserve">num </w:t>
      </w:r>
      <w:r>
        <w:t>is any sequence of digits.</w:t>
      </w:r>
    </w:p>
    <w:p w:rsidR="00E337F2" w:rsidRDefault="009C0D30">
      <w:pPr>
        <w:numPr>
          <w:ilvl w:val="0"/>
          <w:numId w:val="1"/>
        </w:numPr>
        <w:ind w:hanging="218"/>
      </w:pPr>
      <w:r>
        <w:t xml:space="preserve">Token </w:t>
      </w:r>
      <w:r>
        <w:rPr>
          <w:b/>
        </w:rPr>
        <w:t xml:space="preserve">id </w:t>
      </w:r>
      <w:r>
        <w:t>is any sequence of letters and digits that begins with a letter.</w:t>
      </w:r>
    </w:p>
    <w:p w:rsidR="00E337F2" w:rsidRDefault="009C0D30">
      <w:pPr>
        <w:numPr>
          <w:ilvl w:val="0"/>
          <w:numId w:val="1"/>
        </w:numPr>
        <w:ind w:hanging="218"/>
      </w:pPr>
      <w:r>
        <w:t>All keywords are reserved.</w:t>
      </w:r>
    </w:p>
    <w:p w:rsidR="00E337F2" w:rsidRDefault="009C0D30">
      <w:pPr>
        <w:numPr>
          <w:ilvl w:val="0"/>
          <w:numId w:val="1"/>
        </w:numPr>
        <w:spacing w:after="692"/>
        <w:ind w:hanging="218"/>
      </w:pPr>
      <w:r>
        <w:t xml:space="preserve">Token </w:t>
      </w:r>
      <w:proofErr w:type="spellStart"/>
      <w:r>
        <w:rPr>
          <w:b/>
        </w:rPr>
        <w:t>addop</w:t>
      </w:r>
      <w:r>
        <w:t>s</w:t>
      </w:r>
      <w:proofErr w:type="spellEnd"/>
      <w:r>
        <w:t xml:space="preserve"> are </w:t>
      </w:r>
      <w:r>
        <w:rPr>
          <w:rFonts w:ascii="Calibri" w:eastAsia="Calibri" w:hAnsi="Calibri" w:cs="Calibri"/>
        </w:rPr>
        <w:t>+, -, |</w:t>
      </w:r>
      <w:r>
        <w:t xml:space="preserve">. </w:t>
      </w:r>
      <w:proofErr w:type="spellStart"/>
      <w:r>
        <w:rPr>
          <w:b/>
        </w:rPr>
        <w:t>mulop</w:t>
      </w:r>
      <w:r>
        <w:t>s</w:t>
      </w:r>
      <w:proofErr w:type="spellEnd"/>
      <w:r>
        <w:t xml:space="preserve"> are </w:t>
      </w:r>
      <w:r>
        <w:rPr>
          <w:rFonts w:ascii="Calibri" w:eastAsia="Calibri" w:hAnsi="Calibri" w:cs="Calibri"/>
        </w:rPr>
        <w:t>*, /, &amp;</w:t>
      </w:r>
      <w:r>
        <w:t xml:space="preserve">. </w:t>
      </w:r>
      <w:proofErr w:type="spellStart"/>
      <w:r>
        <w:rPr>
          <w:b/>
        </w:rPr>
        <w:t>relop</w:t>
      </w:r>
      <w:r>
        <w:t>s</w:t>
      </w:r>
      <w:proofErr w:type="spellEnd"/>
      <w:r>
        <w:t xml:space="preserve"> are </w:t>
      </w:r>
      <w:r>
        <w:rPr>
          <w:rFonts w:ascii="Calibri" w:eastAsia="Calibri" w:hAnsi="Calibri" w:cs="Calibri"/>
        </w:rPr>
        <w:t xml:space="preserve">&lt;, =. </w:t>
      </w:r>
      <w:r>
        <w:t xml:space="preserve">Together, these are referred to as </w:t>
      </w:r>
      <w:proofErr w:type="spellStart"/>
      <w:r>
        <w:rPr>
          <w:b/>
        </w:rPr>
        <w:t>binaryop</w:t>
      </w:r>
      <w:r>
        <w:t>s</w:t>
      </w:r>
      <w:proofErr w:type="spellEnd"/>
      <w:r>
        <w:t>. These operators follow the usual precedence and associa</w:t>
      </w:r>
      <w:r>
        <w:t xml:space="preserve">tivity rules. The </w:t>
      </w:r>
      <w:proofErr w:type="spellStart"/>
      <w:r>
        <w:t>boolean</w:t>
      </w:r>
      <w:proofErr w:type="spellEnd"/>
      <w:r>
        <w:t xml:space="preserve"> negation operator (</w:t>
      </w:r>
      <w:r>
        <w:rPr>
          <w:rFonts w:ascii="Calibri" w:eastAsia="Calibri" w:hAnsi="Calibri" w:cs="Calibri"/>
        </w:rPr>
        <w:t>!</w:t>
      </w:r>
      <w:r>
        <w:t>) has a lower precedence!</w:t>
      </w:r>
    </w:p>
    <w:p w:rsidR="00E337F2" w:rsidRDefault="009C0D30">
      <w:pPr>
        <w:spacing w:after="317" w:line="259" w:lineRule="auto"/>
        <w:ind w:left="10" w:hanging="10"/>
        <w:jc w:val="center"/>
      </w:pPr>
      <w:r>
        <w:t>1</w:t>
      </w:r>
    </w:p>
    <w:p w:rsidR="00E337F2" w:rsidRDefault="008F5A95" w:rsidP="008F5A95">
      <w:pPr>
        <w:spacing w:after="317" w:line="259" w:lineRule="auto"/>
        <w:ind w:left="10" w:hanging="10"/>
        <w:jc w:val="center"/>
        <w:rPr>
          <w:b/>
          <w:bCs/>
          <w:u w:val="single"/>
        </w:rPr>
      </w:pPr>
      <w:r w:rsidRPr="008F5A95">
        <w:rPr>
          <w:b/>
          <w:bCs/>
          <w:u w:val="single"/>
        </w:rPr>
        <w:lastRenderedPageBreak/>
        <w:t>Part 2: Interpreter</w:t>
      </w:r>
    </w:p>
    <w:p w:rsidR="008F5A95" w:rsidRDefault="008F5A95" w:rsidP="008F5A95">
      <w:pPr>
        <w:spacing w:after="117" w:line="256" w:lineRule="auto"/>
        <w:ind w:left="0" w:firstLine="0"/>
        <w:jc w:val="left"/>
      </w:pPr>
      <w:r>
        <w:rPr>
          <w:b/>
          <w:sz w:val="34"/>
        </w:rPr>
        <w:t>Informal Semantics</w:t>
      </w:r>
    </w:p>
    <w:p w:rsidR="008F5A95" w:rsidRDefault="008F5A95" w:rsidP="008F5A95">
      <w:pPr>
        <w:numPr>
          <w:ilvl w:val="0"/>
          <w:numId w:val="4"/>
        </w:numPr>
        <w:spacing w:after="218" w:line="252" w:lineRule="auto"/>
        <w:ind w:left="571" w:hanging="237"/>
      </w:pPr>
      <w:r>
        <w:t xml:space="preserve">The language is </w:t>
      </w:r>
      <w:r>
        <w:rPr>
          <w:i/>
        </w:rPr>
        <w:t xml:space="preserve">statically scoped </w:t>
      </w:r>
      <w:r>
        <w:t xml:space="preserve">and </w:t>
      </w:r>
      <w:r>
        <w:rPr>
          <w:i/>
        </w:rPr>
        <w:t>dynamically typed</w:t>
      </w:r>
      <w:r>
        <w:t xml:space="preserve">. Thus, for example, </w:t>
      </w:r>
      <w:r>
        <w:rPr>
          <w:rFonts w:ascii="Calibri" w:eastAsia="Calibri" w:hAnsi="Calibri" w:cs="Calibri"/>
        </w:rPr>
        <w:t xml:space="preserve">1+true </w:t>
      </w:r>
      <w:r>
        <w:t>is a run-time type error.</w:t>
      </w:r>
    </w:p>
    <w:p w:rsidR="008F5A95" w:rsidRDefault="008F5A95" w:rsidP="008F5A95">
      <w:pPr>
        <w:numPr>
          <w:ilvl w:val="0"/>
          <w:numId w:val="4"/>
        </w:numPr>
        <w:spacing w:after="218" w:line="252" w:lineRule="auto"/>
        <w:ind w:left="571" w:hanging="237"/>
      </w:pPr>
      <w:r>
        <w:t>Division by zero is considered an evaluation error.</w:t>
      </w:r>
    </w:p>
    <w:p w:rsidR="008F5A95" w:rsidRDefault="008F5A95" w:rsidP="008F5A95">
      <w:pPr>
        <w:numPr>
          <w:ilvl w:val="0"/>
          <w:numId w:val="4"/>
        </w:numPr>
        <w:spacing w:after="218" w:line="252" w:lineRule="auto"/>
        <w:ind w:left="571" w:hanging="237"/>
      </w:pPr>
      <w:r>
        <w:t xml:space="preserve">The condition expression of an </w:t>
      </w:r>
      <w:r>
        <w:rPr>
          <w:rFonts w:ascii="Calibri" w:eastAsia="Calibri" w:hAnsi="Calibri" w:cs="Calibri"/>
        </w:rPr>
        <w:t xml:space="preserve">if-then-else </w:t>
      </w:r>
      <w:r>
        <w:t xml:space="preserve">expression must be a </w:t>
      </w:r>
      <w:proofErr w:type="spellStart"/>
      <w:r>
        <w:t>boolean</w:t>
      </w:r>
      <w:proofErr w:type="spellEnd"/>
      <w:r>
        <w:t xml:space="preserve"> value. Type equivalence of the </w:t>
      </w:r>
      <w:r>
        <w:rPr>
          <w:rFonts w:ascii="Calibri" w:eastAsia="Calibri" w:hAnsi="Calibri" w:cs="Calibri"/>
        </w:rPr>
        <w:t>then</w:t>
      </w:r>
      <w:r>
        <w:t xml:space="preserve">-expression and </w:t>
      </w:r>
      <w:proofErr w:type="gramStart"/>
      <w:r>
        <w:rPr>
          <w:rFonts w:ascii="Calibri" w:eastAsia="Calibri" w:hAnsi="Calibri" w:cs="Calibri"/>
        </w:rPr>
        <w:t>else</w:t>
      </w:r>
      <w:r>
        <w:t>-expression</w:t>
      </w:r>
      <w:proofErr w:type="gramEnd"/>
      <w:r>
        <w:t xml:space="preserve"> is not possible under dynamic typing since only one of the branches will get evaluated.</w:t>
      </w:r>
    </w:p>
    <w:p w:rsidR="008F5A95" w:rsidRDefault="008F5A95" w:rsidP="008F5A95">
      <w:pPr>
        <w:numPr>
          <w:ilvl w:val="0"/>
          <w:numId w:val="4"/>
        </w:numPr>
        <w:spacing w:after="218" w:line="252" w:lineRule="auto"/>
        <w:ind w:left="571" w:hanging="237"/>
      </w:pPr>
      <w:r>
        <w:rPr>
          <w:i/>
        </w:rPr>
        <w:t xml:space="preserve">Short-circuit </w:t>
      </w:r>
      <w:r>
        <w:t xml:space="preserve">evaluation is used for the logical operators </w:t>
      </w:r>
      <w:r>
        <w:rPr>
          <w:rFonts w:ascii="Calibri" w:eastAsia="Calibri" w:hAnsi="Calibri" w:cs="Calibri"/>
        </w:rPr>
        <w:t xml:space="preserve">&amp; </w:t>
      </w:r>
      <w:r>
        <w:t xml:space="preserve">and |. However, note that unlike, say, Python, the second argument must be a </w:t>
      </w:r>
      <w:proofErr w:type="spellStart"/>
      <w:r>
        <w:t>boolean</w:t>
      </w:r>
      <w:proofErr w:type="spellEnd"/>
      <w:r>
        <w:t xml:space="preserve"> value if evaluated.</w:t>
      </w:r>
    </w:p>
    <w:p w:rsidR="008F5A95" w:rsidRDefault="008F5A95" w:rsidP="008F5A95">
      <w:pPr>
        <w:numPr>
          <w:ilvl w:val="0"/>
          <w:numId w:val="4"/>
        </w:numPr>
        <w:spacing w:after="224" w:line="256" w:lineRule="auto"/>
        <w:ind w:left="571" w:hanging="237"/>
      </w:pPr>
      <w:r>
        <w:t xml:space="preserve">Parameters are </w:t>
      </w:r>
      <w:r>
        <w:rPr>
          <w:i/>
        </w:rPr>
        <w:t>passed by value</w:t>
      </w:r>
      <w:r>
        <w:t>.</w:t>
      </w:r>
    </w:p>
    <w:p w:rsidR="008F5A95" w:rsidRDefault="008F5A95" w:rsidP="008F5A95">
      <w:pPr>
        <w:numPr>
          <w:ilvl w:val="0"/>
          <w:numId w:val="4"/>
        </w:numPr>
        <w:spacing w:after="218" w:line="252" w:lineRule="auto"/>
        <w:ind w:left="571" w:hanging="237"/>
      </w:pPr>
      <w:r>
        <w:t>Where applicable, arguments are evaluated in the left-to-right order.</w:t>
      </w:r>
    </w:p>
    <w:p w:rsidR="008F5A95" w:rsidRDefault="008F5A95" w:rsidP="008F5A95">
      <w:pPr>
        <w:numPr>
          <w:ilvl w:val="0"/>
          <w:numId w:val="4"/>
        </w:numPr>
        <w:spacing w:after="218" w:line="252" w:lineRule="auto"/>
        <w:ind w:left="571" w:hanging="237"/>
      </w:pPr>
      <w:r>
        <w:t xml:space="preserve">Equality test of </w:t>
      </w:r>
      <w:proofErr w:type="spellStart"/>
      <w:r>
        <w:t>boolean</w:t>
      </w:r>
      <w:proofErr w:type="spellEnd"/>
      <w:r>
        <w:t xml:space="preserve"> expressions is allowed. Equality of functions is meaningless and thus an error. Inequality of </w:t>
      </w:r>
      <w:proofErr w:type="spellStart"/>
      <w:r>
        <w:t>booleans</w:t>
      </w:r>
      <w:proofErr w:type="spellEnd"/>
      <w:r>
        <w:t xml:space="preserve"> is optional.</w:t>
      </w:r>
    </w:p>
    <w:p w:rsidR="008F5A95" w:rsidRDefault="008F5A95" w:rsidP="008F5A95">
      <w:pPr>
        <w:numPr>
          <w:ilvl w:val="0"/>
          <w:numId w:val="4"/>
        </w:numPr>
        <w:spacing w:after="218" w:line="252" w:lineRule="auto"/>
        <w:ind w:left="571" w:hanging="237"/>
      </w:pPr>
      <w:r>
        <w:t xml:space="preserve">The assignment expression is meaningful only if a binding for the corresponding variable already exists (in the current environment). The new value must be compatible with the existing value. The value returned is the value of its </w:t>
      </w:r>
      <w:proofErr w:type="gramStart"/>
      <w:r>
        <w:t>right hand</w:t>
      </w:r>
      <w:proofErr w:type="gramEnd"/>
      <w:r>
        <w:t xml:space="preserve"> side.</w:t>
      </w:r>
    </w:p>
    <w:p w:rsidR="008F5A95" w:rsidRDefault="008F5A95" w:rsidP="008F5A95">
      <w:pPr>
        <w:numPr>
          <w:ilvl w:val="0"/>
          <w:numId w:val="4"/>
        </w:numPr>
        <w:spacing w:after="264" w:line="252" w:lineRule="auto"/>
        <w:ind w:left="571" w:hanging="237"/>
      </w:pPr>
      <w:r>
        <w:t>While-expressions are used for side-effects only. The value they return is of no importance. For this implementation, we will have all while-expressions return the value ‘false’.</w:t>
      </w:r>
      <w:r>
        <w:rPr>
          <w:vertAlign w:val="superscript"/>
        </w:rPr>
        <w:footnoteReference w:id="1"/>
      </w:r>
    </w:p>
    <w:p w:rsidR="008F5A95" w:rsidRDefault="008F5A95" w:rsidP="008F5A95">
      <w:pPr>
        <w:numPr>
          <w:ilvl w:val="0"/>
          <w:numId w:val="4"/>
        </w:numPr>
        <w:spacing w:after="264" w:line="252" w:lineRule="auto"/>
        <w:ind w:left="571" w:hanging="237"/>
      </w:pPr>
      <w:r>
        <w:t>For (binary) sequencing, the value returned is the value of the second expression. In general, for a sequence of expressions, the value returned is that of the last expression in the sequence. Of course, we do have to evaluate each expression in a sequence and that too in the given left-to-right order</w:t>
      </w:r>
      <w:r>
        <w:t>.</w:t>
      </w:r>
    </w:p>
    <w:p w:rsidR="008F5A95" w:rsidRDefault="008F5A95" w:rsidP="008F5A95">
      <w:pPr>
        <w:spacing w:after="4874" w:line="252" w:lineRule="auto"/>
        <w:ind w:left="0" w:firstLine="0"/>
      </w:pPr>
    </w:p>
    <w:p w:rsidR="008F5A95" w:rsidRDefault="008F5A95" w:rsidP="008F5A95">
      <w:pPr>
        <w:spacing w:after="0" w:line="256" w:lineRule="auto"/>
        <w:ind w:left="0" w:firstLine="0"/>
        <w:jc w:val="center"/>
      </w:pPr>
      <w:r>
        <w:t>1</w:t>
      </w:r>
    </w:p>
    <w:p w:rsidR="008F5A95" w:rsidRPr="008F5A95" w:rsidRDefault="008F5A95" w:rsidP="008F5A95">
      <w:pPr>
        <w:spacing w:after="317" w:line="259" w:lineRule="auto"/>
        <w:ind w:left="10" w:hanging="10"/>
        <w:rPr>
          <w:b/>
          <w:bCs/>
          <w:u w:val="single"/>
        </w:rPr>
      </w:pPr>
    </w:p>
    <w:sectPr w:rsidR="008F5A95" w:rsidRPr="008F5A95">
      <w:footnotePr>
        <w:numRestart w:val="eachPage"/>
      </w:footnotePr>
      <w:pgSz w:w="12240" w:h="15840"/>
      <w:pgMar w:top="1150" w:right="1080" w:bottom="423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D30" w:rsidRDefault="009C0D30">
      <w:pPr>
        <w:spacing w:after="0" w:line="240" w:lineRule="auto"/>
      </w:pPr>
      <w:r>
        <w:separator/>
      </w:r>
    </w:p>
  </w:endnote>
  <w:endnote w:type="continuationSeparator" w:id="0">
    <w:p w:rsidR="009C0D30" w:rsidRDefault="009C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D30" w:rsidRDefault="009C0D30">
      <w:pPr>
        <w:spacing w:after="0" w:line="259" w:lineRule="auto"/>
        <w:ind w:left="249" w:firstLine="0"/>
        <w:jc w:val="left"/>
      </w:pPr>
      <w:r>
        <w:separator/>
      </w:r>
    </w:p>
  </w:footnote>
  <w:footnote w:type="continuationSeparator" w:id="0">
    <w:p w:rsidR="009C0D30" w:rsidRDefault="009C0D30">
      <w:pPr>
        <w:spacing w:after="0" w:line="259" w:lineRule="auto"/>
        <w:ind w:left="249" w:firstLine="0"/>
        <w:jc w:val="left"/>
      </w:pPr>
      <w:r>
        <w:continuationSeparator/>
      </w:r>
    </w:p>
  </w:footnote>
  <w:footnote w:id="1">
    <w:p w:rsidR="008F5A95" w:rsidRDefault="008F5A95" w:rsidP="008F5A95">
      <w:pPr>
        <w:pStyle w:val="footnotedescription"/>
      </w:pPr>
      <w:r>
        <w:rPr>
          <w:rStyle w:val="footnotemark"/>
        </w:rPr>
        <w:footnoteRef/>
      </w:r>
      <w:r>
        <w:t xml:space="preserve"> It would be better to have a type ‘void’ and have while-expressions return the only value of this type. This extension can be incorporated easily. However, our choice here will not affect the expressiveness of the language.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B424A"/>
    <w:multiLevelType w:val="hybridMultilevel"/>
    <w:tmpl w:val="BEA8DC70"/>
    <w:lvl w:ilvl="0" w:tplc="48A8C774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0B3D6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5E087A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9E8670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46B89A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308EF6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AC167C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A425A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764998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7C05FD"/>
    <w:multiLevelType w:val="hybridMultilevel"/>
    <w:tmpl w:val="CA107AC2"/>
    <w:lvl w:ilvl="0" w:tplc="D724F704">
      <w:start w:val="1"/>
      <w:numFmt w:val="bullet"/>
      <w:lvlText w:val="•"/>
      <w:lvlJc w:val="left"/>
      <w:pPr>
        <w:ind w:left="57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986685C">
      <w:start w:val="1"/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0DADD0C">
      <w:start w:val="1"/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66EDC72">
      <w:start w:val="1"/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AE81DCE">
      <w:start w:val="1"/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220899E">
      <w:start w:val="1"/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A98B6D2">
      <w:start w:val="1"/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4EE74F0">
      <w:start w:val="1"/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2FC626C">
      <w:start w:val="1"/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D4A04F7"/>
    <w:multiLevelType w:val="hybridMultilevel"/>
    <w:tmpl w:val="74045086"/>
    <w:lvl w:ilvl="0" w:tplc="73D4EE9E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A43EA8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3E168C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3E91DC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562610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64E658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546434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481924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CC3FC6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602557"/>
    <w:multiLevelType w:val="hybridMultilevel"/>
    <w:tmpl w:val="47005A46"/>
    <w:lvl w:ilvl="0" w:tplc="99A622B0">
      <w:start w:val="1"/>
      <w:numFmt w:val="bullet"/>
      <w:lvlText w:val="•"/>
      <w:lvlJc w:val="left"/>
      <w:pPr>
        <w:ind w:left="5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5E42E2">
      <w:start w:val="1"/>
      <w:numFmt w:val="bullet"/>
      <w:lvlText w:val="o"/>
      <w:lvlJc w:val="left"/>
      <w:pPr>
        <w:ind w:left="1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807AEC">
      <w:start w:val="1"/>
      <w:numFmt w:val="bullet"/>
      <w:lvlText w:val="▪"/>
      <w:lvlJc w:val="left"/>
      <w:pPr>
        <w:ind w:left="2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E82E6">
      <w:start w:val="1"/>
      <w:numFmt w:val="bullet"/>
      <w:lvlText w:val="•"/>
      <w:lvlJc w:val="left"/>
      <w:pPr>
        <w:ind w:left="2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ECECB0">
      <w:start w:val="1"/>
      <w:numFmt w:val="bullet"/>
      <w:lvlText w:val="o"/>
      <w:lvlJc w:val="left"/>
      <w:pPr>
        <w:ind w:left="3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C8DEC0">
      <w:start w:val="1"/>
      <w:numFmt w:val="bullet"/>
      <w:lvlText w:val="▪"/>
      <w:lvlJc w:val="left"/>
      <w:pPr>
        <w:ind w:left="42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6AB7C">
      <w:start w:val="1"/>
      <w:numFmt w:val="bullet"/>
      <w:lvlText w:val="•"/>
      <w:lvlJc w:val="left"/>
      <w:pPr>
        <w:ind w:left="50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E23BAE">
      <w:start w:val="1"/>
      <w:numFmt w:val="bullet"/>
      <w:lvlText w:val="o"/>
      <w:lvlJc w:val="left"/>
      <w:pPr>
        <w:ind w:left="57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606BB6">
      <w:start w:val="1"/>
      <w:numFmt w:val="bullet"/>
      <w:lvlText w:val="▪"/>
      <w:lvlJc w:val="left"/>
      <w:pPr>
        <w:ind w:left="64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7F2"/>
    <w:rsid w:val="008F5A95"/>
    <w:rsid w:val="009C0D30"/>
    <w:rsid w:val="00E3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4378"/>
  <w15:docId w15:val="{862E6E2C-6179-4A00-B452-7DF46362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86" w:line="271" w:lineRule="auto"/>
      <w:ind w:left="228" w:hanging="228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3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  <w:ind w:left="249"/>
    </w:pPr>
    <w:rPr>
      <w:rFonts w:ascii="Cambria" w:eastAsia="Cambria" w:hAnsi="Cambria" w:cs="Cambria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8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tanwar</dc:creator>
  <cp:keywords/>
  <cp:lastModifiedBy>manisha tanwar</cp:lastModifiedBy>
  <cp:revision>2</cp:revision>
  <dcterms:created xsi:type="dcterms:W3CDTF">2020-06-16T19:57:00Z</dcterms:created>
  <dcterms:modified xsi:type="dcterms:W3CDTF">2020-06-16T19:57:00Z</dcterms:modified>
</cp:coreProperties>
</file>