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D406" w14:textId="77777777" w:rsidR="008B2037" w:rsidRDefault="008B2037">
      <w:pPr>
        <w:spacing w:after="2000"/>
      </w:pPr>
    </w:p>
    <w:p w14:paraId="3B8CD407" w14:textId="77777777" w:rsidR="008B2037" w:rsidRDefault="00222726">
      <w:pPr>
        <w:spacing w:after="40"/>
        <w:jc w:val="center"/>
      </w:pPr>
      <w:r>
        <w:rPr>
          <w:b/>
          <w:bCs/>
          <w:color w:val="534AB7"/>
          <w:sz w:val="54"/>
          <w:szCs w:val="54"/>
        </w:rPr>
        <w:t>BASE DE CONHECIMENTO</w:t>
      </w:r>
    </w:p>
    <w:p w14:paraId="3B8CD408" w14:textId="77777777" w:rsidR="008B2037" w:rsidRDefault="00222726">
      <w:pPr>
        <w:spacing w:after="320"/>
        <w:jc w:val="center"/>
      </w:pPr>
      <w:r>
        <w:rPr>
          <w:color w:val="5F5E5A"/>
          <w:sz w:val="34"/>
          <w:szCs w:val="34"/>
        </w:rPr>
        <w:t>Assessoria Regulatória em Geração de Energia Elétrica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8B2037" w14:paraId="3B8CD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6215C"/>
            <w:tcMar>
              <w:top w:w="280" w:type="dxa"/>
              <w:left w:w="500" w:type="dxa"/>
              <w:bottom w:w="280" w:type="dxa"/>
              <w:right w:w="500" w:type="dxa"/>
            </w:tcMar>
          </w:tcPr>
          <w:p w14:paraId="3B8CD409" w14:textId="64103A58" w:rsidR="008B2037" w:rsidRDefault="00222726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Edilson </w:t>
            </w:r>
            <w:r w:rsidR="001002D1">
              <w:rPr>
                <w:b/>
                <w:bCs/>
                <w:color w:val="FFFFFF"/>
                <w:sz w:val="30"/>
                <w:szCs w:val="30"/>
              </w:rPr>
              <w:t>Araújo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Advogados</w:t>
            </w:r>
          </w:p>
          <w:p w14:paraId="3B8CD40A" w14:textId="77777777" w:rsidR="008B2037" w:rsidRDefault="00222726">
            <w:pPr>
              <w:jc w:val="center"/>
            </w:pPr>
            <w:r>
              <w:rPr>
                <w:color w:val="CECBF6"/>
                <w:sz w:val="24"/>
                <w:szCs w:val="24"/>
              </w:rPr>
              <w:t>em parceria com Thiago Fernandes Advogado</w:t>
            </w:r>
          </w:p>
        </w:tc>
      </w:tr>
    </w:tbl>
    <w:p w14:paraId="3B8CD40C" w14:textId="77777777" w:rsidR="008B2037" w:rsidRDefault="008B2037">
      <w:pPr>
        <w:spacing w:after="320"/>
      </w:pPr>
    </w:p>
    <w:p w14:paraId="3B8CD40D" w14:textId="77777777" w:rsidR="008B2037" w:rsidRDefault="00222726">
      <w:pPr>
        <w:spacing w:after="60"/>
        <w:jc w:val="center"/>
      </w:pPr>
      <w:r>
        <w:rPr>
          <w:i/>
          <w:iCs/>
          <w:color w:val="5F5E5A"/>
          <w:sz w:val="22"/>
          <w:szCs w:val="22"/>
        </w:rPr>
        <w:t>Frente Especializada em Geração Elétrica — Fase de Implantação</w:t>
      </w:r>
    </w:p>
    <w:p w14:paraId="3B8CD40E" w14:textId="77777777" w:rsidR="008B2037" w:rsidRDefault="00222726">
      <w:pPr>
        <w:jc w:val="center"/>
      </w:pPr>
      <w:r>
        <w:rPr>
          <w:color w:val="B4B2A9"/>
          <w:sz w:val="20"/>
          <w:szCs w:val="20"/>
        </w:rPr>
        <w:t>Abril 2026</w:t>
      </w:r>
    </w:p>
    <w:p w14:paraId="7785FDE1" w14:textId="77777777" w:rsidR="0049417F" w:rsidRDefault="0049417F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031C9D89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1B533F28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22F7F5D5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69A0E3A4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1EA0B6EF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307200E1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190161D6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2651641F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4CDCD959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24662E3E" w14:textId="77777777" w:rsidR="00217104" w:rsidRDefault="00217104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p w14:paraId="70759920" w14:textId="77777777" w:rsidR="0049417F" w:rsidRDefault="0049417F">
      <w:pPr>
        <w:spacing w:after="200"/>
        <w:jc w:val="center"/>
        <w:rPr>
          <w:b/>
          <w:bCs/>
          <w:color w:val="534AB7"/>
          <w:sz w:val="36"/>
          <w:szCs w:val="36"/>
        </w:rPr>
      </w:pPr>
    </w:p>
    <w:sdt>
      <w:sdtPr>
        <w:id w:val="-95046701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1"/>
          <w:szCs w:val="21"/>
        </w:rPr>
      </w:sdtEndPr>
      <w:sdtContent>
        <w:p w14:paraId="6238570B" w14:textId="285F1B75" w:rsidR="00DE746E" w:rsidRDefault="00DE746E">
          <w:pPr>
            <w:pStyle w:val="CabealhodoSumrio"/>
          </w:pPr>
          <w:r>
            <w:t>Sumário</w:t>
          </w:r>
        </w:p>
        <w:p w14:paraId="10BEC1CC" w14:textId="13A35912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934619" w:history="1">
            <w:r w:rsidRPr="00ED0DF4">
              <w:rPr>
                <w:rStyle w:val="Hyperlink"/>
                <w:noProof/>
              </w:rPr>
              <w:t>1. Leilão e Outorga no Setor de Geração Elétrica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6E21" w14:textId="23801CF9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0" w:history="1">
            <w:r w:rsidRPr="00ED0DF4">
              <w:rPr>
                <w:rStyle w:val="Hyperlink"/>
                <w:noProof/>
              </w:rPr>
              <w:t>1.1 O Leilão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923F" w14:textId="43151E38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1" w:history="1">
            <w:r w:rsidRPr="00ED0DF4">
              <w:rPr>
                <w:rStyle w:val="Hyperlink"/>
                <w:noProof/>
              </w:rPr>
              <w:t>1.2 A Outorga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65D0" w14:textId="3BBA47C4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22" w:history="1">
            <w:r w:rsidRPr="00ED0DF4">
              <w:rPr>
                <w:rStyle w:val="Hyperlink"/>
                <w:noProof/>
              </w:rPr>
              <w:t>2. O Ciclo de Vida de um Empreendimento de Geração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A339" w14:textId="2328E46E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23" w:history="1">
            <w:r w:rsidRPr="00ED0DF4">
              <w:rPr>
                <w:rStyle w:val="Hyperlink"/>
                <w:noProof/>
              </w:rPr>
              <w:t>3. A Fase Pré-obra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8033" w14:textId="30F8732C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4" w:history="1">
            <w:r w:rsidRPr="00ED0DF4">
              <w:rPr>
                <w:rStyle w:val="Hyperlink"/>
                <w:noProof/>
              </w:rPr>
              <w:t>3.1 Licenciamento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EABD" w14:textId="7E1069F2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5" w:history="1">
            <w:r w:rsidRPr="00ED0DF4">
              <w:rPr>
                <w:rStyle w:val="Hyperlink"/>
                <w:noProof/>
              </w:rPr>
              <w:t>3.2 Conexão à Rede (CUST / CUSD)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0FB4" w14:textId="3AFDBB14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6" w:history="1">
            <w:r w:rsidRPr="00ED0DF4">
              <w:rPr>
                <w:rStyle w:val="Hyperlink"/>
                <w:noProof/>
              </w:rPr>
              <w:t>3.3 Declarações Obrigatórias no RAPEEL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4B52" w14:textId="717AFA8F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7" w:history="1">
            <w:r w:rsidRPr="00ED0DF4">
              <w:rPr>
                <w:rStyle w:val="Hyperlink"/>
                <w:noProof/>
              </w:rPr>
              <w:t>3.4 Projetos de Engenharia e Contratações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8E63" w14:textId="7A262B13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28" w:history="1">
            <w:r w:rsidRPr="00ED0DF4">
              <w:rPr>
                <w:rStyle w:val="Hyperlink"/>
                <w:noProof/>
              </w:rPr>
              <w:t>3.5 Fechamento do Financiamento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40B5" w14:textId="726C7040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29" w:history="1">
            <w:r w:rsidRPr="00ED0DF4">
              <w:rPr>
                <w:rStyle w:val="Hyperlink"/>
                <w:noProof/>
              </w:rPr>
              <w:t>4. A Fase de Obras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4A4D" w14:textId="3E1BD228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30" w:history="1">
            <w:r w:rsidRPr="00ED0DF4">
              <w:rPr>
                <w:rStyle w:val="Hyperlink"/>
                <w:noProof/>
              </w:rPr>
              <w:t>4.1 Como a ANEEL Fiscaliza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510D" w14:textId="36CBE05E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31" w:history="1">
            <w:r w:rsidRPr="00ED0DF4">
              <w:rPr>
                <w:rStyle w:val="Hyperlink"/>
                <w:noProof/>
              </w:rPr>
              <w:t>4.2 Obrigações Mensais Declaradas na Fase de Obras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53AD6" w14:textId="1E58898A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32" w:history="1">
            <w:r w:rsidRPr="00ED0DF4">
              <w:rPr>
                <w:rStyle w:val="Hyperlink"/>
                <w:noProof/>
              </w:rPr>
              <w:t>4.3 Principais Riscos na Fase de Obras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F8C9" w14:textId="56EAAB73" w:rsidR="00DE746E" w:rsidRDefault="00DE746E">
          <w:pPr>
            <w:pStyle w:val="Sumrio3"/>
            <w:tabs>
              <w:tab w:val="right" w:leader="dot" w:pos="939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4633" w:history="1">
            <w:r w:rsidRPr="00ED0DF4">
              <w:rPr>
                <w:rStyle w:val="Hyperlink"/>
                <w:noProof/>
              </w:rPr>
              <w:t>Atraso na entrega de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1713" w14:textId="7FFCFF93" w:rsidR="00DE746E" w:rsidRDefault="00DE746E">
          <w:pPr>
            <w:pStyle w:val="Sumrio3"/>
            <w:tabs>
              <w:tab w:val="right" w:leader="dot" w:pos="939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4634" w:history="1">
            <w:r w:rsidRPr="00ED0DF4">
              <w:rPr>
                <w:rStyle w:val="Hyperlink"/>
                <w:noProof/>
              </w:rPr>
              <w:t>Problemas com a construtora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2EDD" w14:textId="31502829" w:rsidR="00DE746E" w:rsidRDefault="00DE746E">
          <w:pPr>
            <w:pStyle w:val="Sumrio3"/>
            <w:tabs>
              <w:tab w:val="right" w:leader="dot" w:pos="939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934635" w:history="1">
            <w:r w:rsidRPr="00ED0DF4">
              <w:rPr>
                <w:rStyle w:val="Hyperlink"/>
                <w:noProof/>
              </w:rPr>
              <w:t>Atraso nas obras de conexão e interferências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F8A9C" w14:textId="011DC1C2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36" w:history="1">
            <w:r w:rsidRPr="00ED0DF4">
              <w:rPr>
                <w:rStyle w:val="Hyperlink"/>
                <w:noProof/>
              </w:rPr>
              <w:t>5. A Operação em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5099" w14:textId="009B5D2B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37" w:history="1">
            <w:r w:rsidRPr="00ED0DF4">
              <w:rPr>
                <w:rStyle w:val="Hyperlink"/>
                <w:noProof/>
              </w:rPr>
              <w:t>5.1 Conceito e Fundamento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D3D4" w14:textId="56B562F2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38" w:history="1">
            <w:r w:rsidRPr="00ED0DF4">
              <w:rPr>
                <w:rStyle w:val="Hyperlink"/>
                <w:noProof/>
              </w:rPr>
              <w:t>5.2 Requerimento de Autorização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221C" w14:textId="6620EA19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39" w:history="1">
            <w:r w:rsidRPr="00ED0DF4">
              <w:rPr>
                <w:rStyle w:val="Hyperlink"/>
                <w:noProof/>
              </w:rPr>
              <w:t>5.3 O Prazo Máximo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91EC" w14:textId="7A94B391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0" w:history="1">
            <w:r w:rsidRPr="00ED0DF4">
              <w:rPr>
                <w:rStyle w:val="Hyperlink"/>
                <w:noProof/>
              </w:rPr>
              <w:t>5.4 Documentação do Comissionamento e Implicações no CCEAR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7C70D" w14:textId="2F6727E8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41" w:history="1">
            <w:r w:rsidRPr="00ED0DF4">
              <w:rPr>
                <w:rStyle w:val="Hyperlink"/>
                <w:noProof/>
              </w:rPr>
              <w:t>6. Penalidades Regulatórias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C2007" w14:textId="0483A87B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2" w:history="1">
            <w:r w:rsidRPr="00ED0DF4">
              <w:rPr>
                <w:rStyle w:val="Hyperlink"/>
                <w:noProof/>
              </w:rPr>
              <w:t>6.1 Editalícias — Do Contrato do Leilão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59260" w14:textId="2D2DFD8A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3" w:history="1">
            <w:r w:rsidRPr="00ED0DF4">
              <w:rPr>
                <w:rStyle w:val="Hyperlink"/>
                <w:noProof/>
              </w:rPr>
              <w:t>6.2 Administrativas — Poder de Polícia da ANEEL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1A94" w14:textId="1DA590C8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4" w:history="1">
            <w:r w:rsidRPr="00ED0DF4">
              <w:rPr>
                <w:rStyle w:val="Hyperlink"/>
                <w:noProof/>
              </w:rPr>
              <w:t>6.3 Comerciais — Mercado de 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9853" w14:textId="43FAB868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5" w:history="1">
            <w:r w:rsidRPr="00ED0DF4">
              <w:rPr>
                <w:rStyle w:val="Hyperlink"/>
                <w:noProof/>
              </w:rPr>
              <w:t>6.4 Lógica de 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8C08" w14:textId="70E45691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46" w:history="1">
            <w:r w:rsidRPr="00ED0DF4">
              <w:rPr>
                <w:rStyle w:val="Hyperlink"/>
                <w:noProof/>
              </w:rPr>
              <w:t>7. Excludente de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ED9D" w14:textId="7C538255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7" w:history="1">
            <w:r w:rsidRPr="00ED0DF4">
              <w:rPr>
                <w:rStyle w:val="Hyperlink"/>
                <w:noProof/>
              </w:rPr>
              <w:t>7.1 O que o Excludente Suspende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90A7" w14:textId="04E0CD51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8" w:history="1">
            <w:r w:rsidRPr="00ED0DF4">
              <w:rPr>
                <w:rStyle w:val="Hyperlink"/>
                <w:noProof/>
              </w:rPr>
              <w:t>7.2 As Causas Excludentes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30CF" w14:textId="5F2FA0FB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49" w:history="1">
            <w:r w:rsidRPr="00ED0DF4">
              <w:rPr>
                <w:rStyle w:val="Hyperlink"/>
                <w:noProof/>
              </w:rPr>
              <w:t>7.3 O Nexo Causal — Onde a Maioria dos Pedidos Falha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3C62" w14:textId="40E7A376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0" w:history="1">
            <w:r w:rsidRPr="00ED0DF4">
              <w:rPr>
                <w:rStyle w:val="Hyperlink"/>
                <w:noProof/>
              </w:rPr>
              <w:t>7.4 O Fluxo Processual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4481" w14:textId="14D326D9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51" w:history="1">
            <w:r w:rsidRPr="00ED0DF4">
              <w:rPr>
                <w:rStyle w:val="Hyperlink"/>
                <w:noProof/>
              </w:rPr>
              <w:t>8. Gestão de Conformidade Regulatória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FEF4" w14:textId="4BC0476D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2" w:history="1">
            <w:r w:rsidRPr="00ED0DF4">
              <w:rPr>
                <w:rStyle w:val="Hyperlink"/>
                <w:noProof/>
              </w:rPr>
              <w:t>8.1 Por que o Empreendedor Não Consegue Fazer Isso Sozinho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944F" w14:textId="310BCCC0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3" w:history="1">
            <w:r w:rsidRPr="00ED0DF4">
              <w:rPr>
                <w:rStyle w:val="Hyperlink"/>
                <w:noProof/>
              </w:rPr>
              <w:t>8.2 As Quatro Dimensões da Gestão de Conformidade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60FA" w14:textId="0EC4AF2F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4" w:history="1">
            <w:r w:rsidRPr="00ED0DF4">
              <w:rPr>
                <w:rStyle w:val="Hyperlink"/>
                <w:noProof/>
              </w:rPr>
              <w:t>8.3 O RAPEEL, o RALIE e o Modelo de Engajamento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6590" w14:textId="3D9B45F9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55" w:history="1">
            <w:r w:rsidRPr="00ED0DF4">
              <w:rPr>
                <w:rStyle w:val="Hyperlink"/>
                <w:noProof/>
              </w:rPr>
              <w:t>9. Apoio Regulatório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F9D7" w14:textId="6A9E41D2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6" w:history="1">
            <w:r w:rsidRPr="00ED0DF4">
              <w:rPr>
                <w:rStyle w:val="Hyperlink"/>
                <w:noProof/>
              </w:rPr>
              <w:t>9.1 Representação Judicial e Extrajudicial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6D3F" w14:textId="1F07B7F0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7" w:history="1">
            <w:r w:rsidRPr="00ED0DF4">
              <w:rPr>
                <w:rStyle w:val="Hyperlink"/>
                <w:noProof/>
              </w:rPr>
              <w:t>9.2 Consultoria Regulatória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CFF2" w14:textId="5255A196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8" w:history="1">
            <w:r w:rsidRPr="00ED0DF4">
              <w:rPr>
                <w:rStyle w:val="Hyperlink"/>
                <w:noProof/>
              </w:rPr>
              <w:t>9.3 Atuação junto à ANEEL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4A63" w14:textId="3223542E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59" w:history="1">
            <w:r w:rsidRPr="00ED0DF4">
              <w:rPr>
                <w:rStyle w:val="Hyperlink"/>
                <w:noProof/>
              </w:rPr>
              <w:t>9.4 Defesa em Processos de Penalidades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78C7" w14:textId="7D7C95D1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60" w:history="1">
            <w:r w:rsidRPr="00ED0DF4">
              <w:rPr>
                <w:rStyle w:val="Hyperlink"/>
                <w:noProof/>
              </w:rPr>
              <w:t>9.5 Suporte em Processos de Excludente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748B4" w14:textId="36B7125D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61" w:history="1">
            <w:r w:rsidRPr="00ED0DF4">
              <w:rPr>
                <w:rStyle w:val="Hyperlink"/>
                <w:noProof/>
              </w:rPr>
              <w:t>10. Assessoria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F623" w14:textId="798C14FE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62" w:history="1">
            <w:r w:rsidRPr="00ED0DF4">
              <w:rPr>
                <w:rStyle w:val="Hyperlink"/>
                <w:noProof/>
              </w:rPr>
              <w:t>10.1 Apoio junto a Instituições Financiadoras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60E6" w14:textId="55BA8A47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63" w:history="1">
            <w:r w:rsidRPr="00ED0DF4">
              <w:rPr>
                <w:rStyle w:val="Hyperlink"/>
                <w:noProof/>
              </w:rPr>
              <w:t>10.2 Assessoria para Obtenção de Incentivos Fiscais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3CA2" w14:textId="6DB06EB8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64" w:history="1">
            <w:r w:rsidRPr="00ED0DF4">
              <w:rPr>
                <w:rStyle w:val="Hyperlink"/>
                <w:noProof/>
              </w:rPr>
              <w:t>11. O RALIE como Ferramenta de Prospecção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EDF6" w14:textId="6DA5CDC8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65" w:history="1">
            <w:r w:rsidRPr="00ED0DF4">
              <w:rPr>
                <w:rStyle w:val="Hyperlink"/>
                <w:noProof/>
              </w:rPr>
              <w:t>11.1 Os Dois Indicadores-Chave de Qualificação de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8F1C6" w14:textId="4AF04FD0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66" w:history="1">
            <w:r w:rsidRPr="00ED0DF4">
              <w:rPr>
                <w:rStyle w:val="Hyperlink"/>
                <w:noProof/>
              </w:rPr>
              <w:t>11.2 Score de Risco para Priorização de Leads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1911" w14:textId="347A3D5C" w:rsidR="00DE746E" w:rsidRDefault="00DE746E">
          <w:pPr>
            <w:pStyle w:val="Sumrio2"/>
            <w:tabs>
              <w:tab w:val="right" w:leader="dot" w:pos="9398"/>
            </w:tabs>
            <w:rPr>
              <w:rFonts w:eastAsiaTheme="minorEastAsia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7934667" w:history="1">
            <w:r w:rsidRPr="00ED0DF4">
              <w:rPr>
                <w:rStyle w:val="Hyperlink"/>
                <w:noProof/>
              </w:rPr>
              <w:t>11.3 Roteiro de Prospecção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5661" w14:textId="5B4A054E" w:rsidR="00DE746E" w:rsidRDefault="00DE746E">
          <w:pPr>
            <w:pStyle w:val="Sumrio1"/>
            <w:tabs>
              <w:tab w:val="right" w:leader="dot" w:pos="9398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934668" w:history="1">
            <w:r w:rsidRPr="00ED0DF4">
              <w:rPr>
                <w:rStyle w:val="Hyperlink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3596" w14:textId="41BA6FC8" w:rsidR="00DE746E" w:rsidRDefault="00DE746E">
          <w:r>
            <w:rPr>
              <w:b/>
              <w:bCs/>
              <w:noProof/>
            </w:rPr>
            <w:fldChar w:fldCharType="end"/>
          </w:r>
        </w:p>
      </w:sdtContent>
    </w:sdt>
    <w:p w14:paraId="3B8CD40F" w14:textId="77777777" w:rsidR="008B2037" w:rsidRDefault="00222726">
      <w:r>
        <w:br w:type="page"/>
      </w:r>
    </w:p>
    <w:p w14:paraId="3B8CD410" w14:textId="77777777" w:rsidR="008B2037" w:rsidRDefault="00222726">
      <w:pPr>
        <w:pStyle w:val="Ttulo1"/>
        <w:pBdr>
          <w:bottom w:val="single" w:sz="6" w:space="4" w:color="1D9E75"/>
        </w:pBdr>
      </w:pPr>
      <w:bookmarkStart w:id="0" w:name="_Toc227934619"/>
      <w:r>
        <w:rPr>
          <w:color w:val="534AB7"/>
        </w:rPr>
        <w:lastRenderedPageBreak/>
        <w:t>1. Leilão e Outorga no Setor de Geração Elétrica</w:t>
      </w:r>
      <w:bookmarkEnd w:id="0"/>
    </w:p>
    <w:p w14:paraId="3B8CD411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Brasil opera um dos maiores programas de expansão de geração elétrica do mundo. Para garantir energia suficiente nos próximos anos, o país combina dois mecanismos: o leilão de energia e a outorga. Compreendê-los é o ponto de partida de toda a atuação regulatória.</w:t>
      </w:r>
    </w:p>
    <w:p w14:paraId="3B8CD412" w14:textId="77777777" w:rsidR="008B2037" w:rsidRDefault="00222726">
      <w:pPr>
        <w:pStyle w:val="Ttulo2"/>
      </w:pPr>
      <w:bookmarkStart w:id="1" w:name="_Toc227934620"/>
      <w:r>
        <w:rPr>
          <w:color w:val="26215C"/>
        </w:rPr>
        <w:t>1.1 O Leilão de Energia</w:t>
      </w:r>
      <w:bookmarkEnd w:id="1"/>
    </w:p>
    <w:p w14:paraId="3B8CD414" w14:textId="64071223" w:rsidR="008B2037" w:rsidRPr="000F543D" w:rsidRDefault="00222726" w:rsidP="000F543D">
      <w:pPr>
        <w:spacing w:after="120" w:line="270" w:lineRule="auto"/>
        <w:jc w:val="both"/>
        <w:rPr>
          <w:color w:val="2C2C2A"/>
        </w:rPr>
      </w:pPr>
      <w:r>
        <w:rPr>
          <w:color w:val="2C2C2A"/>
        </w:rPr>
        <w:t>O Governo Federal planeja quanto de energia nova o país vai precisar e organiza leilões competitivos. Empresas privadas apresentam projetos e fazem propostas de preço. Vence quem oferecer o menor. A vencedora assina o CCEAR</w:t>
      </w:r>
      <w:r w:rsidR="00D50BB9">
        <w:rPr>
          <w:color w:val="2C2C2A"/>
        </w:rPr>
        <w:t xml:space="preserve"> (</w:t>
      </w:r>
      <w:r>
        <w:rPr>
          <w:color w:val="2C2C2A"/>
        </w:rPr>
        <w:t>Contrato de Comercialização de Energia no Ambiente Regulado</w:t>
      </w:r>
      <w:r w:rsidR="000F543D">
        <w:rPr>
          <w:color w:val="2C2C2A"/>
        </w:rPr>
        <w:t xml:space="preserve">) </w:t>
      </w:r>
      <w:r>
        <w:rPr>
          <w:color w:val="2C2C2A"/>
        </w:rPr>
        <w:t>com as distribuidoras, tipicamente por 20 a 30 anos.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4877"/>
        <w:gridCol w:w="2784"/>
      </w:tblGrid>
      <w:tr w:rsidR="008B2037" w14:paraId="3B8CD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5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Tipo de Leilão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6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7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Aplicação típica</w:t>
            </w:r>
          </w:p>
        </w:tc>
      </w:tr>
      <w:tr w:rsidR="008B2037" w14:paraId="3B8CD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9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Energia Nova A-5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A" w14:textId="77777777" w:rsidR="008B2037" w:rsidRDefault="00222726">
            <w:r>
              <w:rPr>
                <w:color w:val="2C2C2A"/>
                <w:sz w:val="20"/>
                <w:szCs w:val="20"/>
              </w:rPr>
              <w:t>Usinas que entrarão em operação em 5 anos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B" w14:textId="77777777" w:rsidR="008B2037" w:rsidRDefault="00222726">
            <w:r>
              <w:rPr>
                <w:color w:val="2C2C2A"/>
                <w:sz w:val="20"/>
                <w:szCs w:val="20"/>
              </w:rPr>
              <w:t>Renováveis (eólica, solar, PCH)</w:t>
            </w:r>
          </w:p>
        </w:tc>
      </w:tr>
      <w:tr w:rsidR="008B2037" w14:paraId="3B8CD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D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Energia Nova A-3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E" w14:textId="77777777" w:rsidR="008B2037" w:rsidRDefault="00222726">
            <w:r>
              <w:rPr>
                <w:color w:val="2C2C2A"/>
                <w:sz w:val="20"/>
                <w:szCs w:val="20"/>
              </w:rPr>
              <w:t>Usinas que entrarão em operação em 3 anos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1F" w14:textId="77777777" w:rsidR="008B2037" w:rsidRDefault="00222726">
            <w:r>
              <w:rPr>
                <w:color w:val="2C2C2A"/>
                <w:sz w:val="20"/>
                <w:szCs w:val="20"/>
              </w:rPr>
              <w:t>Projetos mais maduros</w:t>
            </w:r>
          </w:p>
        </w:tc>
      </w:tr>
      <w:tr w:rsidR="008B2037" w14:paraId="3B8CD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1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Energia Existente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2" w14:textId="77777777" w:rsidR="008B2037" w:rsidRDefault="00222726">
            <w:r>
              <w:rPr>
                <w:color w:val="2C2C2A"/>
                <w:sz w:val="20"/>
                <w:szCs w:val="20"/>
              </w:rPr>
              <w:t>Usinas já em operação renovando contratos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3" w14:textId="77777777" w:rsidR="008B2037" w:rsidRDefault="00222726">
            <w:r>
              <w:rPr>
                <w:color w:val="2C2C2A"/>
                <w:sz w:val="20"/>
                <w:szCs w:val="20"/>
              </w:rPr>
              <w:t>Variado</w:t>
            </w:r>
          </w:p>
        </w:tc>
      </w:tr>
      <w:tr w:rsidR="008B2037" w14:paraId="3B8CD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5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Reserva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6" w14:textId="77777777" w:rsidR="008B2037" w:rsidRDefault="00222726">
            <w:r>
              <w:rPr>
                <w:color w:val="2C2C2A"/>
                <w:sz w:val="20"/>
                <w:szCs w:val="20"/>
              </w:rPr>
              <w:t>Reforço da segurança do sistema com fontes específicas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7" w14:textId="77777777" w:rsidR="008B2037" w:rsidRDefault="00222726">
            <w:r>
              <w:rPr>
                <w:color w:val="2C2C2A"/>
                <w:sz w:val="20"/>
                <w:szCs w:val="20"/>
              </w:rPr>
              <w:t>Variado</w:t>
            </w:r>
          </w:p>
        </w:tc>
      </w:tr>
    </w:tbl>
    <w:p w14:paraId="3B8CD429" w14:textId="77777777" w:rsidR="008B2037" w:rsidRDefault="00222726">
      <w:pPr>
        <w:pStyle w:val="Ttulo2"/>
      </w:pPr>
      <w:bookmarkStart w:id="2" w:name="_Toc227934621"/>
      <w:r>
        <w:rPr>
          <w:color w:val="26215C"/>
        </w:rPr>
        <w:t>1.2 A Outorga</w:t>
      </w:r>
      <w:bookmarkEnd w:id="2"/>
    </w:p>
    <w:p w14:paraId="3B8CD42A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Vencer o leilão não é suficiente. O setor elétrico é um serviço público regulado: nenhuma empresa pode construir uma usina sem autorização formal do Estado. A outorga é o ato jurídico pelo qual a ANEEL confere esse direito, definindo empreendimento, local, potência e prazo.</w:t>
      </w:r>
    </w:p>
    <w:p w14:paraId="3B8CD42B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4856"/>
        <w:gridCol w:w="3249"/>
      </w:tblGrid>
      <w:tr w:rsidR="008B2037" w14:paraId="3B8CD4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C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Modalidade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2E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Aplicação típica</w:t>
            </w:r>
          </w:p>
        </w:tc>
      </w:tr>
      <w:tr w:rsidR="008B2037" w14:paraId="3B8CD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0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Concessão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1" w14:textId="77777777" w:rsidR="008B2037" w:rsidRDefault="00222726">
            <w:r>
              <w:rPr>
                <w:color w:val="2C2C2A"/>
                <w:sz w:val="20"/>
                <w:szCs w:val="20"/>
              </w:rPr>
              <w:t>Contrato formal bilateral, prazo longo (30 anos), maior peso de obrigações e garantias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2" w14:textId="020B65D5" w:rsidR="008B2037" w:rsidRDefault="00222726">
            <w:r>
              <w:rPr>
                <w:color w:val="2C2C2A"/>
                <w:sz w:val="20"/>
                <w:szCs w:val="20"/>
              </w:rPr>
              <w:t xml:space="preserve">Grandes </w:t>
            </w:r>
            <w:r w:rsidR="00020FCA">
              <w:rPr>
                <w:color w:val="2C2C2A"/>
                <w:sz w:val="20"/>
                <w:szCs w:val="20"/>
              </w:rPr>
              <w:t xml:space="preserve">hidrelétricas </w:t>
            </w:r>
            <w:r>
              <w:rPr>
                <w:color w:val="2C2C2A"/>
                <w:sz w:val="20"/>
                <w:szCs w:val="20"/>
              </w:rPr>
              <w:t>(UHE acima de 50 MW)</w:t>
            </w:r>
          </w:p>
        </w:tc>
      </w:tr>
      <w:tr w:rsidR="008B2037" w14:paraId="3B8CD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4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Autorização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5" w14:textId="77777777" w:rsidR="008B2037" w:rsidRDefault="00222726">
            <w:r>
              <w:rPr>
                <w:color w:val="2C2C2A"/>
                <w:sz w:val="20"/>
                <w:szCs w:val="20"/>
              </w:rPr>
              <w:t>Ato administrativo unilateral da ANEEL, mais ágil, obrigações igualmente vinculantes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6" w14:textId="77777777" w:rsidR="008B2037" w:rsidRDefault="00222726">
            <w:r>
              <w:rPr>
                <w:color w:val="2C2C2A"/>
                <w:sz w:val="20"/>
                <w:szCs w:val="20"/>
              </w:rPr>
              <w:t>Eólica, solar FV, PCH, biomassa — a mais comum hoje</w:t>
            </w:r>
          </w:p>
        </w:tc>
      </w:tr>
      <w:tr w:rsidR="008B2037" w14:paraId="3B8CD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8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Permissão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9" w14:textId="77777777" w:rsidR="008B2037" w:rsidRDefault="00222726">
            <w:r>
              <w:rPr>
                <w:color w:val="2C2C2A"/>
                <w:sz w:val="20"/>
                <w:szCs w:val="20"/>
              </w:rPr>
              <w:t>Menos comum, usada em situações específicas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3A" w14:textId="77777777" w:rsidR="008B2037" w:rsidRDefault="00222726">
            <w:r>
              <w:rPr>
                <w:color w:val="2C2C2A"/>
                <w:sz w:val="20"/>
                <w:szCs w:val="20"/>
              </w:rPr>
              <w:t>Casos pontuais</w:t>
            </w:r>
          </w:p>
        </w:tc>
      </w:tr>
    </w:tbl>
    <w:p w14:paraId="3B8CD43C" w14:textId="77777777" w:rsidR="008B2037" w:rsidRDefault="008B2037">
      <w:pPr>
        <w:spacing w:after="14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3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7517"/>
          </w:tcPr>
          <w:p w14:paraId="3B8CD43D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3E" w14:textId="77777777" w:rsidR="008B2037" w:rsidRDefault="00222726">
            <w:pPr>
              <w:spacing w:line="265" w:lineRule="auto"/>
              <w:jc w:val="both"/>
            </w:pPr>
            <w:r>
              <w:rPr>
                <w:color w:val="633806"/>
                <w:sz w:val="20"/>
                <w:szCs w:val="20"/>
              </w:rPr>
              <w:t>PONTO CRÍTICO: A outorga vem acompanhada de um cronograma comprometido com datas específicas para cada marco do projeto. Esse cronograma é obrigação contratual e regulatória simultânea. Descumpri-lo sem justificativa válida aciona automaticamente o regime de penalidades.</w:t>
            </w:r>
          </w:p>
        </w:tc>
      </w:tr>
    </w:tbl>
    <w:p w14:paraId="3B8CD440" w14:textId="77777777" w:rsidR="008B2037" w:rsidRDefault="008B2037">
      <w:pPr>
        <w:spacing w:after="200"/>
      </w:pPr>
    </w:p>
    <w:p w14:paraId="3B8CD441" w14:textId="77777777" w:rsidR="008B2037" w:rsidRDefault="00222726">
      <w:r>
        <w:br w:type="page"/>
      </w:r>
    </w:p>
    <w:p w14:paraId="3B8CD442" w14:textId="77777777" w:rsidR="008B2037" w:rsidRDefault="00222726">
      <w:pPr>
        <w:pStyle w:val="Ttulo1"/>
        <w:pBdr>
          <w:bottom w:val="single" w:sz="6" w:space="4" w:color="1D9E75"/>
        </w:pBdr>
      </w:pPr>
      <w:bookmarkStart w:id="3" w:name="_Toc227934622"/>
      <w:r>
        <w:rPr>
          <w:color w:val="534AB7"/>
        </w:rPr>
        <w:lastRenderedPageBreak/>
        <w:t>2. O Ciclo de Vida de um Empreendimento de Geração</w:t>
      </w:r>
      <w:bookmarkEnd w:id="3"/>
    </w:p>
    <w:p w14:paraId="3B8CD443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Todo empreendimento percorre as mesmas fases, da outorga à operação comercial plena. A atuação do escritório concentra-se nas fases de maior densidade regulatória e maior risco para o empreendedor — as fases 2, 3 e 4, identificadas no diagrama abaixo.</w:t>
      </w:r>
    </w:p>
    <w:p w14:paraId="3B8CD444" w14:textId="77777777" w:rsidR="008B2037" w:rsidRDefault="00222726">
      <w:pPr>
        <w:spacing w:before="140" w:after="140"/>
        <w:jc w:val="center"/>
      </w:pPr>
      <w:r>
        <w:rPr>
          <w:noProof/>
        </w:rPr>
        <w:drawing>
          <wp:inline distT="0" distB="0" distL="0" distR="0" wp14:anchorId="3B8CD5FB" wp14:editId="3B8CD5FC">
            <wp:extent cx="5962650" cy="1914525"/>
            <wp:effectExtent l="0" t="0" r="0" b="0"/>
            <wp:docPr id="1" name="Ciclo de vida de empreendimento de geração elétrica" descr="Ciclo de vida de empreendimento de geração elétrica" title="Ciclo de vida de empreendimento de geração elét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445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2885"/>
        <w:gridCol w:w="2913"/>
        <w:gridCol w:w="2061"/>
      </w:tblGrid>
      <w:tr w:rsidR="008B2037" w14:paraId="3B8CD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6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7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8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Obrigações principais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9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Atuação</w:t>
            </w:r>
          </w:p>
        </w:tc>
      </w:tr>
      <w:tr w:rsidR="008B2037" w14:paraId="3B8CD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B" w14:textId="77777777" w:rsidR="008B2037" w:rsidRDefault="00222726">
            <w:r>
              <w:rPr>
                <w:b/>
                <w:bCs/>
                <w:color w:val="5F5E5A"/>
                <w:sz w:val="20"/>
                <w:szCs w:val="20"/>
              </w:rPr>
              <w:t>1. Leilão / Outorga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C" w14:textId="77777777" w:rsidR="008B2037" w:rsidRDefault="00222726">
            <w:r>
              <w:rPr>
                <w:color w:val="2C2C2A"/>
                <w:sz w:val="20"/>
                <w:szCs w:val="20"/>
              </w:rPr>
              <w:t>Vitória no leilão, assinatura do CCEAR, emissão da outorga pela ANEEL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D" w14:textId="77777777" w:rsidR="008B2037" w:rsidRDefault="00222726">
            <w:r>
              <w:rPr>
                <w:color w:val="2C2C2A"/>
                <w:sz w:val="20"/>
                <w:szCs w:val="20"/>
              </w:rPr>
              <w:t>Início das declarações mensais no RAPEEL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4E" w14:textId="77777777" w:rsidR="008B2037" w:rsidRDefault="00222726">
            <w:r>
              <w:rPr>
                <w:i/>
                <w:iCs/>
                <w:color w:val="5F5E5A"/>
                <w:sz w:val="20"/>
                <w:szCs w:val="20"/>
              </w:rPr>
              <w:t xml:space="preserve">Estruturação inicial e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due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diligence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 xml:space="preserve"> regulatória</w:t>
            </w:r>
          </w:p>
        </w:tc>
      </w:tr>
      <w:tr w:rsidR="008B2037" w14:paraId="3B8CD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0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Pré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>-obra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1" w14:textId="77777777" w:rsidR="008B2037" w:rsidRDefault="00222726">
            <w:r>
              <w:rPr>
                <w:color w:val="2C2C2A"/>
                <w:sz w:val="20"/>
                <w:szCs w:val="20"/>
              </w:rPr>
              <w:t>Licenciamento (LP, LI), CUST/CUSD, financiamento, projetos EPC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2" w14:textId="77777777" w:rsidR="008B2037" w:rsidRDefault="00222726">
            <w:r>
              <w:rPr>
                <w:color w:val="2C2C2A"/>
                <w:sz w:val="20"/>
                <w:szCs w:val="20"/>
              </w:rPr>
              <w:t>Declarações mensais, cronograma de obras, status de licenças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3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FOCO PRINCIPAL</w:t>
            </w:r>
          </w:p>
        </w:tc>
      </w:tr>
      <w:tr w:rsidR="008B2037" w14:paraId="3B8CD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5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3. Obras / Implantação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6" w14:textId="77777777" w:rsidR="008B2037" w:rsidRDefault="00222726">
            <w:r>
              <w:rPr>
                <w:color w:val="2C2C2A"/>
                <w:sz w:val="20"/>
                <w:szCs w:val="20"/>
              </w:rPr>
              <w:t>Construção civil, montagem eletromecânica, obras de conexão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7" w14:textId="77777777" w:rsidR="008B2037" w:rsidRDefault="00222726">
            <w:r>
              <w:rPr>
                <w:color w:val="2C2C2A"/>
                <w:sz w:val="20"/>
                <w:szCs w:val="20"/>
              </w:rPr>
              <w:t>Avanço físico mensal, registros fotográficos, previsão atualizada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8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FOCO PRINCIPAL</w:t>
            </w:r>
          </w:p>
        </w:tc>
      </w:tr>
      <w:tr w:rsidR="008B2037" w14:paraId="3B8CD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A" w14:textId="77777777" w:rsidR="008B2037" w:rsidRDefault="00222726">
            <w:r>
              <w:rPr>
                <w:b/>
                <w:bCs/>
                <w:color w:val="633806"/>
                <w:sz w:val="20"/>
                <w:szCs w:val="20"/>
              </w:rPr>
              <w:t>4. Operação em Teste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B" w14:textId="77777777" w:rsidR="008B2037" w:rsidRDefault="00222726">
            <w:r>
              <w:rPr>
                <w:color w:val="2C2C2A"/>
                <w:sz w:val="20"/>
                <w:szCs w:val="20"/>
              </w:rPr>
              <w:t>Primeiro sincronismo, comissionamento operacional, verificação de sistemas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C" w14:textId="77777777" w:rsidR="008B2037" w:rsidRDefault="00222726">
            <w:r>
              <w:rPr>
                <w:color w:val="2C2C2A"/>
                <w:sz w:val="20"/>
                <w:szCs w:val="20"/>
              </w:rPr>
              <w:t>Requerimento de teste, laudos de comissionamento, prazo máximo de teste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D" w14:textId="77777777" w:rsidR="008B2037" w:rsidRDefault="00222726">
            <w:r>
              <w:rPr>
                <w:b/>
                <w:bCs/>
                <w:color w:val="633806"/>
                <w:sz w:val="20"/>
                <w:szCs w:val="20"/>
              </w:rPr>
              <w:t>FOCO SECUNDÁRIO</w:t>
            </w:r>
          </w:p>
        </w:tc>
      </w:tr>
      <w:tr w:rsidR="008B2037" w14:paraId="3B8CD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5F" w14:textId="77777777" w:rsidR="008B2037" w:rsidRDefault="00222726">
            <w:r>
              <w:rPr>
                <w:b/>
                <w:bCs/>
                <w:color w:val="5F5E5A"/>
                <w:sz w:val="20"/>
                <w:szCs w:val="20"/>
              </w:rPr>
              <w:t>5. Operação Comercial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60" w14:textId="77777777" w:rsidR="008B2037" w:rsidRDefault="00222726">
            <w:r>
              <w:rPr>
                <w:color w:val="2C2C2A"/>
                <w:sz w:val="20"/>
                <w:szCs w:val="20"/>
              </w:rPr>
              <w:t>ANEEL emite Portaria no DOU, implantação encerrada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61" w14:textId="77777777" w:rsidR="008B2037" w:rsidRDefault="00222726">
            <w:r>
              <w:rPr>
                <w:color w:val="2C2C2A"/>
                <w:sz w:val="20"/>
                <w:szCs w:val="20"/>
              </w:rPr>
              <w:t>Dossiê completo de comissionamento, confirmação de conexão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62" w14:textId="77777777" w:rsidR="008B2037" w:rsidRDefault="00222726">
            <w:r>
              <w:rPr>
                <w:i/>
                <w:iCs/>
                <w:color w:val="5F5E5A"/>
                <w:sz w:val="20"/>
                <w:szCs w:val="20"/>
              </w:rPr>
              <w:t>Encerramento e suporte eventual</w:t>
            </w:r>
          </w:p>
        </w:tc>
      </w:tr>
    </w:tbl>
    <w:p w14:paraId="3B8CD464" w14:textId="77777777" w:rsidR="008B2037" w:rsidRDefault="008B2037">
      <w:pPr>
        <w:spacing w:after="200"/>
      </w:pPr>
    </w:p>
    <w:p w14:paraId="3B8CD465" w14:textId="77777777" w:rsidR="008B2037" w:rsidRDefault="00222726">
      <w:r>
        <w:br w:type="page"/>
      </w:r>
    </w:p>
    <w:p w14:paraId="3B8CD466" w14:textId="77777777" w:rsidR="008B2037" w:rsidRDefault="00222726">
      <w:pPr>
        <w:pStyle w:val="Ttulo1"/>
        <w:pBdr>
          <w:bottom w:val="single" w:sz="6" w:space="4" w:color="1D9E75"/>
        </w:pBdr>
      </w:pPr>
      <w:bookmarkStart w:id="4" w:name="_Toc227934623"/>
      <w:r>
        <w:rPr>
          <w:color w:val="534AB7"/>
        </w:rPr>
        <w:lastRenderedPageBreak/>
        <w:t xml:space="preserve">3. A Fase </w:t>
      </w:r>
      <w:proofErr w:type="spellStart"/>
      <w:r>
        <w:rPr>
          <w:color w:val="534AB7"/>
        </w:rPr>
        <w:t>Pré</w:t>
      </w:r>
      <w:proofErr w:type="spellEnd"/>
      <w:r>
        <w:rPr>
          <w:color w:val="534AB7"/>
        </w:rPr>
        <w:t>-obra</w:t>
      </w:r>
      <w:bookmarkEnd w:id="4"/>
    </w:p>
    <w:p w14:paraId="3B8CD467" w14:textId="04905F92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A fase </w:t>
      </w:r>
      <w:proofErr w:type="spellStart"/>
      <w:r>
        <w:rPr>
          <w:color w:val="2C2C2A"/>
        </w:rPr>
        <w:t>pré</w:t>
      </w:r>
      <w:proofErr w:type="spellEnd"/>
      <w:r>
        <w:rPr>
          <w:color w:val="2C2C2A"/>
        </w:rPr>
        <w:t>-obra é a mais subestimada do ciclo. A maioria dos empreendedores foca na construção</w:t>
      </w:r>
      <w:r>
        <w:rPr>
          <w:color w:val="2C2C2A"/>
        </w:rPr>
        <w:t xml:space="preserve"> </w:t>
      </w:r>
      <w:r w:rsidR="007F4953">
        <w:rPr>
          <w:color w:val="2C2C2A"/>
        </w:rPr>
        <w:t>(</w:t>
      </w:r>
      <w:r>
        <w:rPr>
          <w:color w:val="2C2C2A"/>
        </w:rPr>
        <w:t>onde o dinheiro físico sai</w:t>
      </w:r>
      <w:r w:rsidR="007F4953">
        <w:rPr>
          <w:color w:val="2C2C2A"/>
        </w:rPr>
        <w:t xml:space="preserve">) </w:t>
      </w:r>
      <w:r>
        <w:rPr>
          <w:color w:val="2C2C2A"/>
        </w:rPr>
        <w:t xml:space="preserve">mas é na </w:t>
      </w:r>
      <w:proofErr w:type="spellStart"/>
      <w:r>
        <w:rPr>
          <w:color w:val="2C2C2A"/>
        </w:rPr>
        <w:t>pré</w:t>
      </w:r>
      <w:proofErr w:type="spellEnd"/>
      <w:r>
        <w:rPr>
          <w:color w:val="2C2C2A"/>
        </w:rPr>
        <w:t>-obra que os projetos ganham ou perdem a batalha regulatória. Um erro aqui contamina todas as fases seguintes e é muito mais difícil de corrigir depois. A fase vai da emissão da outorga ao início das obras civis, com cinco frentes paralelas.</w:t>
      </w:r>
    </w:p>
    <w:p w14:paraId="3B8CD468" w14:textId="77777777" w:rsidR="008B2037" w:rsidRDefault="00222726">
      <w:pPr>
        <w:pStyle w:val="Ttulo2"/>
      </w:pPr>
      <w:bookmarkStart w:id="5" w:name="_Toc227934624"/>
      <w:r>
        <w:rPr>
          <w:color w:val="26215C"/>
        </w:rPr>
        <w:t>3.1 Licenciamento Ambiental</w:t>
      </w:r>
      <w:bookmarkEnd w:id="5"/>
    </w:p>
    <w:p w14:paraId="3B8CD469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A frente mais crítica e imprevisível. O licenciamento passa por três etapas sequenciais:</w:t>
      </w:r>
    </w:p>
    <w:p w14:paraId="3B8CD46A" w14:textId="77777777" w:rsidR="008B2037" w:rsidRDefault="00222726">
      <w:pPr>
        <w:pStyle w:val="PargrafodaLista"/>
        <w:numPr>
          <w:ilvl w:val="0"/>
          <w:numId w:val="2"/>
        </w:numPr>
        <w:spacing w:line="260" w:lineRule="auto"/>
      </w:pPr>
      <w:r>
        <w:rPr>
          <w:color w:val="2C2C2A"/>
        </w:rPr>
        <w:t>LP — Licença Prévia: atesta a viabilidade ambiental do local. Em muitos leilões exigida como condição de habilitação.</w:t>
      </w:r>
    </w:p>
    <w:p w14:paraId="3B8CD46B" w14:textId="77777777" w:rsidR="008B2037" w:rsidRDefault="00222726">
      <w:pPr>
        <w:pStyle w:val="PargrafodaLista"/>
        <w:numPr>
          <w:ilvl w:val="0"/>
          <w:numId w:val="2"/>
        </w:numPr>
        <w:spacing w:line="260" w:lineRule="auto"/>
      </w:pPr>
      <w:r>
        <w:rPr>
          <w:color w:val="2C2C2A"/>
        </w:rPr>
        <w:t>LI — Licença de Instalação: autoriza o início das obras físicas. Sem ela, nenhuma movimentação de terra é permitida. O órgão pode ser IBAMA, SEMA estadual ou municipal.</w:t>
      </w:r>
    </w:p>
    <w:p w14:paraId="3B8CD46C" w14:textId="77777777" w:rsidR="008B2037" w:rsidRDefault="00222726">
      <w:pPr>
        <w:pStyle w:val="PargrafodaLista"/>
        <w:numPr>
          <w:ilvl w:val="0"/>
          <w:numId w:val="2"/>
        </w:numPr>
        <w:spacing w:line="260" w:lineRule="auto"/>
      </w:pPr>
      <w:r>
        <w:rPr>
          <w:color w:val="2C2C2A"/>
        </w:rPr>
        <w:t>LO — Licença de Operação: necessária antes da operação comercial. O processo deve ser iniciado durante as obras.</w:t>
      </w:r>
    </w:p>
    <w:p w14:paraId="3B8CD46D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7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</w:tcPr>
          <w:p w14:paraId="3B8CD46E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6F" w14:textId="1FAF3754" w:rsidR="008B2037" w:rsidRDefault="00222726">
            <w:pPr>
              <w:spacing w:line="265" w:lineRule="auto"/>
              <w:jc w:val="both"/>
            </w:pPr>
            <w:r>
              <w:rPr>
                <w:color w:val="26215C"/>
                <w:sz w:val="20"/>
                <w:szCs w:val="20"/>
              </w:rPr>
              <w:t>Quando o IBAMA demora além do prazo regulamentar para emitir a LI, configura-se mora do Poder Público</w:t>
            </w:r>
            <w:r w:rsidR="003A5624">
              <w:rPr>
                <w:color w:val="26215C"/>
                <w:sz w:val="20"/>
                <w:szCs w:val="20"/>
              </w:rPr>
              <w:t xml:space="preserve">, </w:t>
            </w:r>
            <w:r>
              <w:rPr>
                <w:color w:val="26215C"/>
                <w:sz w:val="20"/>
                <w:szCs w:val="20"/>
              </w:rPr>
              <w:t xml:space="preserve">fundamento para excludente de responsabilidade. Para usar esse argumento é imprescindível ter documentado: data de protocolo do pedido, todos os ofícios enviados e recebidos, todas as </w:t>
            </w:r>
            <w:r w:rsidR="007F4953">
              <w:rPr>
                <w:color w:val="26215C"/>
                <w:sz w:val="20"/>
                <w:szCs w:val="20"/>
              </w:rPr>
              <w:t>diligências</w:t>
            </w:r>
            <w:r>
              <w:rPr>
                <w:color w:val="26215C"/>
                <w:sz w:val="20"/>
                <w:szCs w:val="20"/>
              </w:rPr>
              <w:t xml:space="preserve"> atendidas.</w:t>
            </w:r>
          </w:p>
        </w:tc>
      </w:tr>
    </w:tbl>
    <w:p w14:paraId="3B8CD471" w14:textId="77777777" w:rsidR="008B2037" w:rsidRDefault="00222726">
      <w:pPr>
        <w:pStyle w:val="Ttulo2"/>
      </w:pPr>
      <w:bookmarkStart w:id="6" w:name="_Toc227934625"/>
      <w:r>
        <w:rPr>
          <w:color w:val="26215C"/>
        </w:rPr>
        <w:t>3.2 Conexão à Rede (CUST / CUSD)</w:t>
      </w:r>
      <w:bookmarkEnd w:id="6"/>
    </w:p>
    <w:p w14:paraId="3B8CD472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O problema mais silencioso e mais fatal da </w:t>
      </w:r>
      <w:proofErr w:type="spellStart"/>
      <w:r>
        <w:rPr>
          <w:color w:val="2C2C2A"/>
        </w:rPr>
        <w:t>pré</w:t>
      </w:r>
      <w:proofErr w:type="spellEnd"/>
      <w:r>
        <w:rPr>
          <w:color w:val="2C2C2A"/>
        </w:rPr>
        <w:t>-obra. Uma usina pode ser construída com perfeição técnica e não conseguir ligar na rede porque o contrato de conexão não foi assinado a tempo. O CUST (Transmissão) ou CUSD (Distribuição) exige: solicitação ao ONS do Relatório de Viabilidade de Acesso, aprovação do estudo, negociação e assinatura, e construção da subestação e linha de conexão. O processo pode levar meses e precisa começar imediatamente após a outorga.</w:t>
      </w:r>
    </w:p>
    <w:p w14:paraId="3B8CD473" w14:textId="77777777" w:rsidR="008B2037" w:rsidRDefault="00222726">
      <w:pPr>
        <w:pStyle w:val="Ttulo2"/>
      </w:pPr>
      <w:bookmarkStart w:id="7" w:name="_Toc227934626"/>
      <w:r>
        <w:rPr>
          <w:color w:val="26215C"/>
        </w:rPr>
        <w:t>3.3 Declarações Obrigatórias no RAPEEL</w:t>
      </w:r>
      <w:bookmarkEnd w:id="7"/>
    </w:p>
    <w:p w14:paraId="3B8CD474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A obrigação declaratória não começa com a obra — começa com a outorga. Desde o primeiro mês, o empreendedor já deve alimentar o RAPEEL até o dia 15. Na </w:t>
      </w:r>
      <w:proofErr w:type="spellStart"/>
      <w:r>
        <w:rPr>
          <w:color w:val="2C2C2A"/>
        </w:rPr>
        <w:t>pré</w:t>
      </w:r>
      <w:proofErr w:type="spellEnd"/>
      <w:r>
        <w:rPr>
          <w:color w:val="2C2C2A"/>
        </w:rPr>
        <w:t>-obra, as declarações cobrem o status das licenças, andamento das negociações de conexão e a previsão atualizada de operação comercial.</w:t>
      </w:r>
    </w:p>
    <w:p w14:paraId="3B8CD475" w14:textId="77777777" w:rsidR="008B2037" w:rsidRDefault="00222726">
      <w:pPr>
        <w:pStyle w:val="Ttulo2"/>
      </w:pPr>
      <w:bookmarkStart w:id="8" w:name="_Toc227934627"/>
      <w:r>
        <w:rPr>
          <w:color w:val="26215C"/>
        </w:rPr>
        <w:t>3.4 Projetos de Engenharia e Contratações</w:t>
      </w:r>
      <w:bookmarkEnd w:id="8"/>
    </w:p>
    <w:p w14:paraId="3B8CD476" w14:textId="7E28C454" w:rsidR="008B2037" w:rsidRDefault="00222726">
      <w:pPr>
        <w:spacing w:after="120" w:line="270" w:lineRule="auto"/>
        <w:jc w:val="both"/>
      </w:pPr>
      <w:r>
        <w:rPr>
          <w:color w:val="2C2C2A"/>
        </w:rPr>
        <w:t>Em paralelo às licenças e conexão, o empreendedor deve fechar os contratos de EPC (</w:t>
      </w:r>
      <w:proofErr w:type="spellStart"/>
      <w:r>
        <w:rPr>
          <w:color w:val="2C2C2A"/>
        </w:rPr>
        <w:t>Engineering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Procurement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and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Construction</w:t>
      </w:r>
      <w:proofErr w:type="spellEnd"/>
      <w:r>
        <w:rPr>
          <w:color w:val="2C2C2A"/>
        </w:rPr>
        <w:t xml:space="preserve">). O lead time de equipamentos </w:t>
      </w:r>
      <w:r w:rsidR="00D37DA2">
        <w:rPr>
          <w:color w:val="2C2C2A"/>
        </w:rPr>
        <w:t>principais (</w:t>
      </w:r>
      <w:r>
        <w:rPr>
          <w:color w:val="2C2C2A"/>
        </w:rPr>
        <w:t>aerogeradores, módulos fotovoltaicos</w:t>
      </w:r>
      <w:r w:rsidR="00D37DA2">
        <w:rPr>
          <w:color w:val="2C2C2A"/>
        </w:rPr>
        <w:t>)</w:t>
      </w:r>
      <w:r>
        <w:rPr>
          <w:color w:val="2C2C2A"/>
        </w:rPr>
        <w:t xml:space="preserve"> pode ser de 12 a 18 meses. Empresas que não fecham cedo frequentemente descobrem que os equipamentos chegam depois da data comprometida.</w:t>
      </w:r>
    </w:p>
    <w:p w14:paraId="3B8CD477" w14:textId="77777777" w:rsidR="008B2037" w:rsidRDefault="00222726">
      <w:pPr>
        <w:pStyle w:val="Ttulo2"/>
      </w:pPr>
      <w:bookmarkStart w:id="9" w:name="_Toc227934628"/>
      <w:r>
        <w:rPr>
          <w:color w:val="26215C"/>
        </w:rPr>
        <w:t>3.5 Fechamento do Financiamento</w:t>
      </w:r>
      <w:bookmarkEnd w:id="9"/>
    </w:p>
    <w:p w14:paraId="3B8CD478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Quase toda usina é financiada com dívida de longo prazo: BNDES, bancos multilaterais (BID, IFC), bancos comerciais ou fundos de infraestrutura. O </w:t>
      </w:r>
      <w:r w:rsidRPr="00D37DA2">
        <w:rPr>
          <w:i/>
          <w:iCs/>
          <w:color w:val="2C2C2A"/>
        </w:rPr>
        <w:t>financial close</w:t>
      </w:r>
      <w:r>
        <w:rPr>
          <w:color w:val="2C2C2A"/>
        </w:rPr>
        <w:t xml:space="preserve"> é pré-condição para o início das obras. Um projeto com licenciamento inconsistente ou CUST pendente não fecha o financiamento.</w:t>
      </w:r>
    </w:p>
    <w:p w14:paraId="3B8CD479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7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</w:tcPr>
          <w:p w14:paraId="3B8CD47A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7B" w14:textId="77777777" w:rsidR="008B2037" w:rsidRDefault="00222726">
            <w:pPr>
              <w:spacing w:line="265" w:lineRule="auto"/>
              <w:jc w:val="both"/>
            </w:pPr>
            <w:r>
              <w:rPr>
                <w:color w:val="08504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85041"/>
                <w:sz w:val="20"/>
                <w:szCs w:val="20"/>
              </w:rPr>
              <w:t>pré</w:t>
            </w:r>
            <w:proofErr w:type="spellEnd"/>
            <w:r>
              <w:rPr>
                <w:color w:val="085041"/>
                <w:sz w:val="20"/>
                <w:szCs w:val="20"/>
              </w:rPr>
              <w:t>-obra é o melhor momento para contratar o escritório: os riscos ainda são potenciais e gerenciáveis. Além disso, é nessa fase que se constroem os registros documentais que vão fundamentar um eventual excludente no futuro. Um ofício protocolado corretamente hoje vale ouro num processo regulatório dois anos depois.</w:t>
            </w:r>
          </w:p>
        </w:tc>
      </w:tr>
    </w:tbl>
    <w:p w14:paraId="3B8CD47D" w14:textId="77777777" w:rsidR="008B2037" w:rsidRDefault="008B2037">
      <w:pPr>
        <w:spacing w:after="200"/>
      </w:pPr>
    </w:p>
    <w:p w14:paraId="3B8CD47E" w14:textId="77777777" w:rsidR="008B2037" w:rsidRDefault="00222726">
      <w:r>
        <w:br w:type="page"/>
      </w:r>
    </w:p>
    <w:p w14:paraId="3B8CD47F" w14:textId="77777777" w:rsidR="008B2037" w:rsidRDefault="00222726">
      <w:pPr>
        <w:pStyle w:val="Ttulo1"/>
        <w:pBdr>
          <w:bottom w:val="single" w:sz="6" w:space="4" w:color="1D9E75"/>
        </w:pBdr>
      </w:pPr>
      <w:bookmarkStart w:id="10" w:name="_Toc227934629"/>
      <w:r>
        <w:rPr>
          <w:color w:val="534AB7"/>
        </w:rPr>
        <w:lastRenderedPageBreak/>
        <w:t>4. A Fase de Obras e Implantação</w:t>
      </w:r>
      <w:bookmarkEnd w:id="10"/>
    </w:p>
    <w:p w14:paraId="3B8CD480" w14:textId="464FCC93" w:rsidR="008B2037" w:rsidRDefault="00222726">
      <w:pPr>
        <w:spacing w:after="120" w:line="270" w:lineRule="auto"/>
        <w:jc w:val="both"/>
      </w:pPr>
      <w:r>
        <w:rPr>
          <w:color w:val="2C2C2A"/>
        </w:rPr>
        <w:t>A fase de obras é onde o projeto sai do papel</w:t>
      </w:r>
      <w:r>
        <w:rPr>
          <w:color w:val="2C2C2A"/>
        </w:rPr>
        <w:t xml:space="preserve"> e onde o maior número de problemas regulatórios se materializa. O cronograma comprometido está correndo ativamente, a ANEEL fiscaliza de forma intensa e múltiplos agentes externos operam simultaneamente com riscos de desalinhamento.</w:t>
      </w:r>
    </w:p>
    <w:p w14:paraId="3B8CD481" w14:textId="77777777" w:rsidR="008B2037" w:rsidRDefault="00222726">
      <w:pPr>
        <w:pStyle w:val="Ttulo2"/>
      </w:pPr>
      <w:bookmarkStart w:id="11" w:name="_Toc227934630"/>
      <w:r>
        <w:rPr>
          <w:color w:val="26215C"/>
        </w:rPr>
        <w:t>4.1 Como a ANEEL Fiscaliza</w:t>
      </w:r>
      <w:bookmarkEnd w:id="11"/>
    </w:p>
    <w:p w14:paraId="3B8CD482" w14:textId="38BCA33C" w:rsidR="008B2037" w:rsidRDefault="00222726">
      <w:pPr>
        <w:spacing w:after="120" w:line="270" w:lineRule="auto"/>
        <w:jc w:val="both"/>
      </w:pPr>
      <w:r>
        <w:rPr>
          <w:color w:val="2C2C2A"/>
        </w:rPr>
        <w:t>A fiscalização é exercida pela SFG</w:t>
      </w:r>
      <w:r w:rsidR="00842FFC">
        <w:rPr>
          <w:color w:val="2C2C2A"/>
        </w:rPr>
        <w:t xml:space="preserve"> (</w:t>
      </w:r>
      <w:r>
        <w:rPr>
          <w:color w:val="2C2C2A"/>
        </w:rPr>
        <w:t>Superintendência de Fiscalização dos Serviços de Geração</w:t>
      </w:r>
      <w:r w:rsidR="00842FFC">
        <w:rPr>
          <w:color w:val="2C2C2A"/>
        </w:rPr>
        <w:t>)</w:t>
      </w:r>
      <w:r>
        <w:rPr>
          <w:color w:val="2C2C2A"/>
        </w:rPr>
        <w:t xml:space="preserve"> em duas modalidades:</w:t>
      </w:r>
    </w:p>
    <w:p w14:paraId="3B8CD483" w14:textId="77777777" w:rsidR="008B2037" w:rsidRDefault="00222726">
      <w:pPr>
        <w:pStyle w:val="PargrafodaLista"/>
        <w:numPr>
          <w:ilvl w:val="0"/>
          <w:numId w:val="2"/>
        </w:numPr>
        <w:spacing w:line="260" w:lineRule="auto"/>
      </w:pPr>
      <w:r>
        <w:rPr>
          <w:color w:val="2C2C2A"/>
        </w:rPr>
        <w:t>Monitoramento a distância: análise mensal das declarações do RAPEEL cruzada com dados de outros órgãos. Contínuo e automático. Gera o RALIE público mensalmente.</w:t>
      </w:r>
    </w:p>
    <w:p w14:paraId="3B8CD484" w14:textId="77777777" w:rsidR="008B2037" w:rsidRDefault="00222726">
      <w:pPr>
        <w:pStyle w:val="PargrafodaLista"/>
        <w:numPr>
          <w:ilvl w:val="0"/>
          <w:numId w:val="2"/>
        </w:numPr>
        <w:spacing w:line="260" w:lineRule="auto"/>
      </w:pPr>
      <w:r>
        <w:rPr>
          <w:color w:val="2C2C2A"/>
        </w:rPr>
        <w:t>Fiscalização de campo: vistorias físicas com registro fotográfico e relatório técnico. Acionada por inconsistência, atraso significativo ou amostragem.</w:t>
      </w:r>
    </w:p>
    <w:p w14:paraId="3B8CD485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8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</w:tcPr>
          <w:p w14:paraId="3B8CD486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87" w14:textId="7E27AB17" w:rsidR="008B2037" w:rsidRDefault="00222726">
            <w:pPr>
              <w:spacing w:line="265" w:lineRule="auto"/>
              <w:jc w:val="both"/>
            </w:pPr>
            <w:r>
              <w:rPr>
                <w:color w:val="712B13"/>
                <w:sz w:val="20"/>
                <w:szCs w:val="20"/>
              </w:rPr>
              <w:t>Existe uma dupla narrativa do projeto: a do empreendedor (declarado no RAPEEL) e a da ANEEL (verificado em campo). Quando as duas divergem, o problema é da empresa. Divergência relevante pode ser tratada como declaração falsa</w:t>
            </w:r>
            <w:r w:rsidR="00842FFC">
              <w:rPr>
                <w:color w:val="712B13"/>
                <w:sz w:val="20"/>
                <w:szCs w:val="20"/>
              </w:rPr>
              <w:t xml:space="preserve">: </w:t>
            </w:r>
            <w:r>
              <w:rPr>
                <w:color w:val="712B13"/>
                <w:sz w:val="20"/>
                <w:szCs w:val="20"/>
              </w:rPr>
              <w:t>infração autônoma independente de qualquer atraso.</w:t>
            </w:r>
          </w:p>
        </w:tc>
      </w:tr>
    </w:tbl>
    <w:p w14:paraId="3B8CD489" w14:textId="77777777" w:rsidR="008B2037" w:rsidRDefault="00222726">
      <w:pPr>
        <w:pStyle w:val="Ttulo2"/>
      </w:pPr>
      <w:bookmarkStart w:id="12" w:name="_Toc227934631"/>
      <w:r>
        <w:rPr>
          <w:color w:val="26215C"/>
        </w:rPr>
        <w:t>4.2 Obrigações Mensais Declaradas na Fase de Obras</w:t>
      </w:r>
      <w:bookmarkEnd w:id="12"/>
    </w:p>
    <w:p w14:paraId="3B8CD48A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4250"/>
        <w:gridCol w:w="3366"/>
      </w:tblGrid>
      <w:tr w:rsidR="008B2037" w14:paraId="3B8CD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8B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Campo RAPEEL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8C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O que declarar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8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Risco de inconsistência</w:t>
            </w:r>
          </w:p>
        </w:tc>
      </w:tr>
      <w:tr w:rsidR="008B2037" w14:paraId="3B8CD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8F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Avanço físico global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0" w14:textId="77777777" w:rsidR="008B2037" w:rsidRDefault="00222726">
            <w:r>
              <w:rPr>
                <w:color w:val="2C2C2A"/>
                <w:sz w:val="20"/>
                <w:szCs w:val="20"/>
              </w:rPr>
              <w:t>Percentual das obras em relação ao total. ANEEL tem curvas de referência por tipo de usina.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1" w14:textId="77777777" w:rsidR="008B2037" w:rsidRDefault="00222726">
            <w:r>
              <w:rPr>
                <w:color w:val="D85A30"/>
                <w:sz w:val="20"/>
                <w:szCs w:val="20"/>
              </w:rPr>
              <w:t>Vistoria + autuação por declaração falsa se discrepância for relevante</w:t>
            </w:r>
          </w:p>
        </w:tc>
      </w:tr>
      <w:tr w:rsidR="008B2037" w14:paraId="3B8CD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3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Avanço por frente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4" w14:textId="6905D02C" w:rsidR="008B2037" w:rsidRDefault="00222726">
            <w:r>
              <w:rPr>
                <w:color w:val="2C2C2A"/>
                <w:sz w:val="20"/>
                <w:szCs w:val="20"/>
              </w:rPr>
              <w:t>Obras civis, montagem eletromecânica, obras de conexão</w:t>
            </w:r>
            <w:r w:rsidR="00232CD0">
              <w:rPr>
                <w:color w:val="2C2C2A"/>
                <w:sz w:val="20"/>
                <w:szCs w:val="20"/>
              </w:rPr>
              <w:t>,</w:t>
            </w:r>
            <w:r>
              <w:rPr>
                <w:color w:val="2C2C2A"/>
                <w:sz w:val="20"/>
                <w:szCs w:val="20"/>
              </w:rPr>
              <w:t xml:space="preserve"> percentual individual por frente.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5" w14:textId="77777777" w:rsidR="008B2037" w:rsidRDefault="00222726">
            <w:r>
              <w:rPr>
                <w:color w:val="BA7517"/>
                <w:sz w:val="20"/>
                <w:szCs w:val="20"/>
              </w:rPr>
              <w:t>Inconsistência interna indica declaração incorreta</w:t>
            </w:r>
          </w:p>
        </w:tc>
      </w:tr>
      <w:tr w:rsidR="008B2037" w14:paraId="3B8CD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7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Registros fotográficos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8" w14:textId="77777777" w:rsidR="008B2037" w:rsidRDefault="00222726">
            <w:r>
              <w:rPr>
                <w:color w:val="2C2C2A"/>
                <w:sz w:val="20"/>
                <w:szCs w:val="20"/>
              </w:rPr>
              <w:t>Obrigatórios, datados e georreferenciados. Instrumento primário de verificação do avanço real.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9" w14:textId="77777777" w:rsidR="008B2037" w:rsidRDefault="00222726">
            <w:r>
              <w:rPr>
                <w:color w:val="BA7517"/>
                <w:sz w:val="20"/>
                <w:szCs w:val="20"/>
              </w:rPr>
              <w:t>Ausência enfraquece o dossiê defensivo</w:t>
            </w:r>
          </w:p>
        </w:tc>
      </w:tr>
      <w:tr w:rsidR="008B2037" w14:paraId="3B8CD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B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Status de licenciamento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C" w14:textId="77777777" w:rsidR="008B2037" w:rsidRDefault="00222726">
            <w:r>
              <w:rPr>
                <w:color w:val="2C2C2A"/>
                <w:sz w:val="20"/>
                <w:szCs w:val="20"/>
              </w:rPr>
              <w:t>Fase atual de LP, LI e LO. Cruzado automaticamente com sistemas dos órgãos ambientais.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D" w14:textId="77777777" w:rsidR="008B2037" w:rsidRDefault="00222726">
            <w:r>
              <w:rPr>
                <w:color w:val="D85A30"/>
                <w:sz w:val="20"/>
                <w:szCs w:val="20"/>
              </w:rPr>
              <w:t>Dados desatualizados identificados automaticamente pela ANEEL</w:t>
            </w:r>
          </w:p>
        </w:tc>
      </w:tr>
      <w:tr w:rsidR="008B2037" w14:paraId="3B8CD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9F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Previsão de operação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A0" w14:textId="77777777" w:rsidR="008B2037" w:rsidRDefault="00222726">
            <w:r>
              <w:rPr>
                <w:color w:val="2C2C2A"/>
                <w:sz w:val="20"/>
                <w:szCs w:val="20"/>
              </w:rPr>
              <w:t>Data atualizada. Previsão empurrada mês a mês sem processo formal gera narrativa adversa.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A1" w14:textId="77777777" w:rsidR="008B2037" w:rsidRDefault="00222726">
            <w:r>
              <w:rPr>
                <w:color w:val="D85A30"/>
                <w:sz w:val="20"/>
                <w:szCs w:val="20"/>
              </w:rPr>
              <w:t xml:space="preserve">Reclassificação de viabilidade </w:t>
            </w:r>
            <w:proofErr w:type="gramStart"/>
            <w:r>
              <w:rPr>
                <w:color w:val="D85A30"/>
                <w:sz w:val="20"/>
                <w:szCs w:val="20"/>
              </w:rPr>
              <w:t>para Média</w:t>
            </w:r>
            <w:proofErr w:type="gramEnd"/>
            <w:r>
              <w:rPr>
                <w:color w:val="D85A30"/>
                <w:sz w:val="20"/>
                <w:szCs w:val="20"/>
              </w:rPr>
              <w:t xml:space="preserve"> ou Baixa</w:t>
            </w:r>
          </w:p>
        </w:tc>
      </w:tr>
    </w:tbl>
    <w:p w14:paraId="3B8CD4A3" w14:textId="77777777" w:rsidR="008B2037" w:rsidRDefault="00222726">
      <w:pPr>
        <w:pStyle w:val="Ttulo2"/>
      </w:pPr>
      <w:bookmarkStart w:id="13" w:name="_Toc227934632"/>
      <w:r>
        <w:rPr>
          <w:color w:val="26215C"/>
        </w:rPr>
        <w:t>4.3 Principais Riscos na Fase de Obras</w:t>
      </w:r>
      <w:bookmarkEnd w:id="13"/>
    </w:p>
    <w:p w14:paraId="3B8CD4A4" w14:textId="77777777" w:rsidR="008B2037" w:rsidRDefault="00222726">
      <w:pPr>
        <w:pStyle w:val="Ttulo3"/>
      </w:pPr>
      <w:bookmarkStart w:id="14" w:name="_Toc227934633"/>
      <w:r>
        <w:rPr>
          <w:color w:val="5F5E5A"/>
        </w:rPr>
        <w:t>Atraso na entrega de equipamentos</w:t>
      </w:r>
      <w:bookmarkEnd w:id="14"/>
    </w:p>
    <w:p w14:paraId="3B8CD4A5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risco mais frequente. Aerogeradores e módulos fotovoltaicos são produzidos majoritariamente na Europa e China. Crises logísticas e filas de espera em fábricas podem atrasar a entrega em 3 a 12 meses. Contratos sem clausulado robusto deixam o empreendedor sem instrumento de pressão e sem documentação para excludente.</w:t>
      </w:r>
    </w:p>
    <w:p w14:paraId="3B8CD4A6" w14:textId="77777777" w:rsidR="008B2037" w:rsidRDefault="00222726">
      <w:pPr>
        <w:pStyle w:val="Ttulo3"/>
      </w:pPr>
      <w:bookmarkStart w:id="15" w:name="_Toc227934634"/>
      <w:r>
        <w:rPr>
          <w:color w:val="5F5E5A"/>
        </w:rPr>
        <w:t>Problemas com a construtora</w:t>
      </w:r>
      <w:bookmarkEnd w:id="15"/>
    </w:p>
    <w:p w14:paraId="3B8CD4A7" w14:textId="36D00E1A" w:rsidR="008B2037" w:rsidRDefault="00222726">
      <w:pPr>
        <w:spacing w:after="120" w:line="270" w:lineRule="auto"/>
        <w:jc w:val="both"/>
      </w:pPr>
      <w:r>
        <w:rPr>
          <w:color w:val="2C2C2A"/>
        </w:rPr>
        <w:t>Inadimplência, falência, rescisão contratual</w:t>
      </w:r>
      <w:r w:rsidR="00232CD0">
        <w:rPr>
          <w:color w:val="2C2C2A"/>
        </w:rPr>
        <w:t>:</w:t>
      </w:r>
      <w:r>
        <w:rPr>
          <w:color w:val="2C2C2A"/>
        </w:rPr>
        <w:t xml:space="preserve"> qualquer um paralisa fisicamente a obra. Contratos de EPC mal estruturados, sem garantias de performance adequadas, são a causa raiz mais comum.</w:t>
      </w:r>
    </w:p>
    <w:p w14:paraId="3B8CD4A8" w14:textId="77777777" w:rsidR="008B2037" w:rsidRDefault="00222726">
      <w:pPr>
        <w:pStyle w:val="Ttulo3"/>
      </w:pPr>
      <w:bookmarkStart w:id="16" w:name="_Toc227934635"/>
      <w:r>
        <w:rPr>
          <w:color w:val="5F5E5A"/>
        </w:rPr>
        <w:lastRenderedPageBreak/>
        <w:t>Atraso nas obras de conexão e interferências ambientais</w:t>
      </w:r>
      <w:bookmarkEnd w:id="16"/>
    </w:p>
    <w:p w14:paraId="3B8CD4A9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Mesmo com a usina 100% construída, se a linha de conexão da transmissora não estiver pronta ela não pode operar. Surgimento de espécies protegidas, sítios arqueológicos e condicionantes não atendidas podem resultar em embargo. Embargos de órgão público (IBAMA, IPHAN) são potencialmente causa excludente quando documentados com rigor.</w:t>
      </w:r>
    </w:p>
    <w:p w14:paraId="3B8CD4AA" w14:textId="77777777" w:rsidR="008B2037" w:rsidRDefault="008B2037">
      <w:pPr>
        <w:spacing w:after="200"/>
      </w:pPr>
    </w:p>
    <w:p w14:paraId="3B8CD4AB" w14:textId="77777777" w:rsidR="008B2037" w:rsidRDefault="00222726">
      <w:r>
        <w:br w:type="page"/>
      </w:r>
    </w:p>
    <w:p w14:paraId="3B8CD4AC" w14:textId="77777777" w:rsidR="008B2037" w:rsidRDefault="00222726">
      <w:pPr>
        <w:pStyle w:val="Ttulo1"/>
        <w:pBdr>
          <w:bottom w:val="single" w:sz="6" w:space="4" w:color="1D9E75"/>
        </w:pBdr>
      </w:pPr>
      <w:bookmarkStart w:id="17" w:name="_Toc227934636"/>
      <w:r>
        <w:rPr>
          <w:color w:val="534AB7"/>
        </w:rPr>
        <w:lastRenderedPageBreak/>
        <w:t>5. A Operação em Teste</w:t>
      </w:r>
      <w:bookmarkEnd w:id="17"/>
    </w:p>
    <w:p w14:paraId="3B8CD4AD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A operação em teste é a fase mais mal compreendida do ciclo. O empreendedor olha para a usina gerando energia e pensa que o problema acabou. </w:t>
      </w:r>
      <w:proofErr w:type="spellStart"/>
      <w:r>
        <w:rPr>
          <w:color w:val="2C2C2A"/>
        </w:rPr>
        <w:t>Regulatoriamente</w:t>
      </w:r>
      <w:proofErr w:type="spellEnd"/>
      <w:r>
        <w:rPr>
          <w:color w:val="2C2C2A"/>
        </w:rPr>
        <w:t>, ele ainda está na fase de implantação, com cronograma correndo e penalidades possíveis.</w:t>
      </w:r>
    </w:p>
    <w:p w14:paraId="3B8CD4AE" w14:textId="77777777" w:rsidR="008B2037" w:rsidRDefault="00222726">
      <w:pPr>
        <w:pStyle w:val="Ttulo2"/>
      </w:pPr>
      <w:bookmarkStart w:id="18" w:name="_Toc227934637"/>
      <w:r>
        <w:rPr>
          <w:color w:val="26215C"/>
        </w:rPr>
        <w:t>5.1 Conceito e Fundamento</w:t>
      </w:r>
      <w:bookmarkEnd w:id="18"/>
    </w:p>
    <w:p w14:paraId="3B8CD4AF" w14:textId="0FC0B378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Uma usina fisicamente pronta não é automaticamente autorizada a operar. A operação em teste existe porque a usina precisa demonstrar, sob condições reais de geração, que todos os seus sistemas funcionam corretamente antes de ser integrada definitivamente ao sistema elétrico. Durante o teste a usina pode gerar e faturar no mercado </w:t>
      </w:r>
      <w:r w:rsidRPr="003715C2">
        <w:rPr>
          <w:i/>
          <w:iCs/>
          <w:color w:val="2C2C2A"/>
        </w:rPr>
        <w:t>spot</w:t>
      </w:r>
      <w:r w:rsidR="003715C2">
        <w:rPr>
          <w:color w:val="2C2C2A"/>
        </w:rPr>
        <w:t>,</w:t>
      </w:r>
      <w:r>
        <w:rPr>
          <w:color w:val="2C2C2A"/>
        </w:rPr>
        <w:t xml:space="preserve"> mas para fins do CCEAR e da regulação da ANEEL, ela ainda está em implantação.</w:t>
      </w:r>
    </w:p>
    <w:p w14:paraId="3B8CD4B0" w14:textId="77777777" w:rsidR="008B2037" w:rsidRDefault="00222726">
      <w:pPr>
        <w:pStyle w:val="Ttulo2"/>
      </w:pPr>
      <w:bookmarkStart w:id="19" w:name="_Toc227934638"/>
      <w:r>
        <w:rPr>
          <w:color w:val="26215C"/>
        </w:rPr>
        <w:t>5.2 Requerimento de Autorização de Teste</w:t>
      </w:r>
      <w:bookmarkEnd w:id="19"/>
    </w:p>
    <w:p w14:paraId="3B8CD4B1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A operação em teste não começa automaticamente. O empreendedor deve protocolar requerimento formal junto à ANEEL com: confirmação do agente de transmissão de que a conexão está energizada, declaração de que equipamentos foram comissionados pelo fabricante, documentação dos sistemas de proteção conforme especificações do ONS, e confirmação de vigência da LI.</w:t>
      </w:r>
    </w:p>
    <w:p w14:paraId="3B8CD4B2" w14:textId="77777777" w:rsidR="008B2037" w:rsidRDefault="00222726">
      <w:pPr>
        <w:pStyle w:val="Ttulo2"/>
      </w:pPr>
      <w:bookmarkStart w:id="20" w:name="_Toc227934639"/>
      <w:r>
        <w:rPr>
          <w:color w:val="26215C"/>
        </w:rPr>
        <w:t>5.3 O Prazo Máximo de Teste</w:t>
      </w:r>
      <w:bookmarkEnd w:id="20"/>
    </w:p>
    <w:p w14:paraId="3B8CD4B3" w14:textId="3E3F7A3B" w:rsidR="008B2037" w:rsidRDefault="00222726">
      <w:pPr>
        <w:spacing w:after="120" w:line="270" w:lineRule="auto"/>
        <w:jc w:val="both"/>
      </w:pPr>
      <w:r>
        <w:rPr>
          <w:color w:val="2C2C2A"/>
        </w:rPr>
        <w:t>A ANEEL estabelece prazo máximo para a operação em teste</w:t>
      </w:r>
      <w:r w:rsidR="003715C2">
        <w:rPr>
          <w:color w:val="2C2C2A"/>
        </w:rPr>
        <w:t>,</w:t>
      </w:r>
      <w:r>
        <w:rPr>
          <w:color w:val="2C2C2A"/>
        </w:rPr>
        <w:t xml:space="preserve"> em geral</w:t>
      </w:r>
      <w:r w:rsidR="00C26B1B">
        <w:rPr>
          <w:color w:val="2C2C2A"/>
        </w:rPr>
        <w:t xml:space="preserve">, </w:t>
      </w:r>
      <w:r>
        <w:rPr>
          <w:color w:val="2C2C2A"/>
        </w:rPr>
        <w:t>da ordem de 6 meses para renováveis. Quando esse prazo vence sem que o empreendedor tenha protocolado o requerimento de operação comercial, configura-se novo atraso regulatório</w:t>
      </w:r>
      <w:r>
        <w:rPr>
          <w:color w:val="2C2C2A"/>
        </w:rPr>
        <w:t xml:space="preserve"> mesmo que a usina esteja gerando perfeitamente.</w:t>
      </w:r>
    </w:p>
    <w:p w14:paraId="3B8CD4B4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B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</w:tcPr>
          <w:p w14:paraId="3B8CD4B5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B6" w14:textId="797E17BD" w:rsidR="008B2037" w:rsidRDefault="00222726">
            <w:pPr>
              <w:spacing w:line="265" w:lineRule="auto"/>
              <w:jc w:val="both"/>
            </w:pPr>
            <w:r>
              <w:rPr>
                <w:color w:val="712B13"/>
                <w:sz w:val="20"/>
                <w:szCs w:val="20"/>
              </w:rPr>
              <w:t>Este é um dos erros mais comuns: a usina está operando, o cliente está satisfeito e o responsável técnico está focado em outra coisa</w:t>
            </w:r>
            <w:r w:rsidR="00C639CE">
              <w:rPr>
                <w:color w:val="712B13"/>
                <w:sz w:val="20"/>
                <w:szCs w:val="20"/>
              </w:rPr>
              <w:t>,</w:t>
            </w:r>
            <w:r>
              <w:rPr>
                <w:color w:val="712B13"/>
                <w:sz w:val="20"/>
                <w:szCs w:val="20"/>
              </w:rPr>
              <w:t xml:space="preserve"> enquanto o prazo de teste corre silenciosamente. O empreendedor pode ter construído e iniciado o teste no prazo e mesmo assim cair em atraso por omissão burocrática. É inteiramente evitável com acompanhamento especializado.</w:t>
            </w:r>
          </w:p>
        </w:tc>
      </w:tr>
    </w:tbl>
    <w:p w14:paraId="3B8CD4B8" w14:textId="77777777" w:rsidR="008B2037" w:rsidRDefault="00222726">
      <w:pPr>
        <w:pStyle w:val="Ttulo2"/>
      </w:pPr>
      <w:bookmarkStart w:id="21" w:name="_Toc227934640"/>
      <w:r>
        <w:rPr>
          <w:color w:val="26215C"/>
        </w:rPr>
        <w:t>5.4 Documentação do Comissionamento e Implicações no CCEAR</w:t>
      </w:r>
      <w:bookmarkEnd w:id="21"/>
    </w:p>
    <w:p w14:paraId="3B8CD4B9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dossiê que instruirá o requerimento de operação comercial inclui: laudos de comissionamento por unidade geradora (emitidos pelo fabricante), relatório de ensaios elétricos, confirmação do agente de transmissão, e confirmação de vigência da LO. Qualquer documento faltando atrasa a emissão da Portaria — e enquanto ela não sai, a usina está tecnicamente em atraso mesmo gerando energia. Se a Portaria não é obtida até a data de início de suprimento do CCEAR, a usina fica exposta ao PLD e à obrigação de recompo</w:t>
      </w:r>
      <w:r>
        <w:rPr>
          <w:color w:val="2C2C2A"/>
        </w:rPr>
        <w:t>sição de lastro.</w:t>
      </w:r>
    </w:p>
    <w:p w14:paraId="3B8CD4BA" w14:textId="77777777" w:rsidR="008B2037" w:rsidRDefault="008B2037">
      <w:pPr>
        <w:spacing w:after="200"/>
      </w:pPr>
    </w:p>
    <w:p w14:paraId="3B8CD4BB" w14:textId="77777777" w:rsidR="008B2037" w:rsidRDefault="00222726">
      <w:r>
        <w:br w:type="page"/>
      </w:r>
    </w:p>
    <w:p w14:paraId="3B8CD4BC" w14:textId="77777777" w:rsidR="008B2037" w:rsidRDefault="00222726">
      <w:pPr>
        <w:pStyle w:val="Ttulo1"/>
        <w:pBdr>
          <w:bottom w:val="single" w:sz="6" w:space="4" w:color="1D9E75"/>
        </w:pBdr>
      </w:pPr>
      <w:bookmarkStart w:id="22" w:name="_Toc227934641"/>
      <w:r>
        <w:rPr>
          <w:color w:val="534AB7"/>
        </w:rPr>
        <w:lastRenderedPageBreak/>
        <w:t>6. Penalidades Regulatórias</w:t>
      </w:r>
      <w:bookmarkEnd w:id="22"/>
    </w:p>
    <w:p w14:paraId="3B8CD4BD" w14:textId="7D87C718" w:rsidR="008B2037" w:rsidRDefault="00222726">
      <w:pPr>
        <w:spacing w:after="120" w:line="270" w:lineRule="auto"/>
        <w:jc w:val="both"/>
      </w:pPr>
      <w:r>
        <w:rPr>
          <w:color w:val="2C2C2A"/>
        </w:rPr>
        <w:t>As penalidades são o argumento comercial central</w:t>
      </w:r>
      <w:r w:rsidR="00195ADF">
        <w:rPr>
          <w:color w:val="2C2C2A"/>
        </w:rPr>
        <w:t>:</w:t>
      </w:r>
      <w:r>
        <w:rPr>
          <w:color w:val="2C2C2A"/>
        </w:rPr>
        <w:t xml:space="preserve"> o que cria urgência no cliente. Estão organizadas em três camadas que se acumulam sobre o mesmo evento de atraso. Não são alternativas entre si: podem ser aplicadas simultaneamente.</w:t>
      </w:r>
    </w:p>
    <w:p w14:paraId="3B8CD4BE" w14:textId="77777777" w:rsidR="008B2037" w:rsidRDefault="00222726">
      <w:pPr>
        <w:spacing w:before="140" w:after="140"/>
        <w:jc w:val="center"/>
      </w:pPr>
      <w:r>
        <w:rPr>
          <w:noProof/>
        </w:rPr>
        <w:drawing>
          <wp:inline distT="0" distB="0" distL="0" distR="0" wp14:anchorId="3B8CD5FD" wp14:editId="3B8CD5FE">
            <wp:extent cx="5962650" cy="2590800"/>
            <wp:effectExtent l="0" t="0" r="0" b="0"/>
            <wp:docPr id="691030143" name="Três camadas de penalidade regulatória" descr="Três camadas de penalidade regulatória" title="Três camadas de penalidade regulató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4BF" w14:textId="77777777" w:rsidR="008B2037" w:rsidRDefault="00222726">
      <w:pPr>
        <w:pStyle w:val="Ttulo2"/>
      </w:pPr>
      <w:bookmarkStart w:id="23" w:name="_Toc227934642"/>
      <w:r>
        <w:rPr>
          <w:color w:val="26215C"/>
        </w:rPr>
        <w:t>6.1 Editalícias — Do Contrato do Leilão</w:t>
      </w:r>
      <w:bookmarkEnd w:id="23"/>
    </w:p>
    <w:p w14:paraId="3B8CD4C0" w14:textId="3C7257D9" w:rsidR="008B2037" w:rsidRDefault="00222726">
      <w:pPr>
        <w:spacing w:after="120" w:line="270" w:lineRule="auto"/>
        <w:jc w:val="both"/>
      </w:pPr>
      <w:r>
        <w:rPr>
          <w:color w:val="2C2C2A"/>
        </w:rPr>
        <w:t>Nascem do edital do leilão e do contrato de concessão/autorização. São penalidades contratuais. A multa pode chegar a 10% do valor total do investimento declarado. Para uma usina de R$ 400 milhões, isso é R$ 40 milhões. A execução da garantia é imediata</w:t>
      </w:r>
      <w:r w:rsidR="006C17B5">
        <w:rPr>
          <w:color w:val="2C2C2A"/>
        </w:rPr>
        <w:t>,</w:t>
      </w:r>
      <w:r>
        <w:rPr>
          <w:color w:val="2C2C2A"/>
        </w:rPr>
        <w:t xml:space="preserve"> a ANEEL pode acionar a fiança bancária sem ação judicial. A </w:t>
      </w:r>
      <w:r w:rsidR="00195ADF">
        <w:rPr>
          <w:color w:val="2C2C2A"/>
        </w:rPr>
        <w:t>cassação</w:t>
      </w:r>
      <w:r>
        <w:rPr>
          <w:color w:val="2C2C2A"/>
        </w:rPr>
        <w:t xml:space="preserve"> da outorga significa a perda total do projeto com o ativo retornando a leilão.</w:t>
      </w:r>
    </w:p>
    <w:p w14:paraId="3B8CD4C1" w14:textId="77777777" w:rsidR="008B2037" w:rsidRDefault="00222726">
      <w:pPr>
        <w:pStyle w:val="Ttulo2"/>
      </w:pPr>
      <w:bookmarkStart w:id="24" w:name="_Toc227934643"/>
      <w:r>
        <w:rPr>
          <w:color w:val="26215C"/>
        </w:rPr>
        <w:t>6.2 Administrativas — Poder de Polícia da ANEEL</w:t>
      </w:r>
      <w:bookmarkEnd w:id="24"/>
    </w:p>
    <w:p w14:paraId="3B8CD4C2" w14:textId="55944291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Derivam do poder de polícia regulatório previsto na Lei nº 9.427/1996. Não dependem de descumprimento contratual específico </w:t>
      </w:r>
      <w:r w:rsidR="00641286">
        <w:rPr>
          <w:color w:val="2C2C2A"/>
        </w:rPr>
        <w:t>e</w:t>
      </w:r>
      <w:r>
        <w:rPr>
          <w:color w:val="2C2C2A"/>
        </w:rPr>
        <w:t xml:space="preserve"> podem ser aplicadas por qualquer infração às normas do setor. O embargo de obras é especialmente grave: cria um ciclo vicioso onde a interrupção forçada gera mais atraso, que gera mais penalidades. A caducidade da concessão é a extinção unilateral do direito de gerar.</w:t>
      </w:r>
    </w:p>
    <w:p w14:paraId="3B8CD4C3" w14:textId="77777777" w:rsidR="008B2037" w:rsidRDefault="00222726">
      <w:pPr>
        <w:pStyle w:val="Ttulo2"/>
      </w:pPr>
      <w:bookmarkStart w:id="25" w:name="_Toc227934644"/>
      <w:r>
        <w:rPr>
          <w:color w:val="26215C"/>
        </w:rPr>
        <w:t>6.3 Comerciais — Mercado de Energia</w:t>
      </w:r>
      <w:bookmarkEnd w:id="25"/>
    </w:p>
    <w:p w14:paraId="0FDEA0FF" w14:textId="37E99E95" w:rsidR="00531807" w:rsidRPr="00531807" w:rsidRDefault="00531807" w:rsidP="00531807">
      <w:pPr>
        <w:spacing w:after="120" w:line="270" w:lineRule="auto"/>
        <w:jc w:val="both"/>
        <w:rPr>
          <w:color w:val="2C2C2A"/>
        </w:rPr>
      </w:pPr>
      <w:r w:rsidRPr="00531807">
        <w:rPr>
          <w:color w:val="2C2C2A"/>
        </w:rPr>
        <w:t xml:space="preserve">As menos compreendidas pelos empreendedores e em alguns cenários as mais caras. Quando a usina atrasa e não entra em operação na data prevista, ela descumpre o cronograma de suprimento do CCEAR. Pela regulação, o gerador não fica isento da obrigação de entregar a energia contratada; pelo contrário, é imediatamente acionada a </w:t>
      </w:r>
      <w:r w:rsidRPr="003B5E16">
        <w:rPr>
          <w:color w:val="2C2C2A"/>
        </w:rPr>
        <w:t>obrigação de recomposição de lastro.</w:t>
      </w:r>
    </w:p>
    <w:p w14:paraId="6AD317AC" w14:textId="77777777" w:rsidR="00531807" w:rsidRPr="00531807" w:rsidRDefault="00531807" w:rsidP="00531807">
      <w:pPr>
        <w:spacing w:after="120" w:line="270" w:lineRule="auto"/>
        <w:jc w:val="both"/>
        <w:rPr>
          <w:color w:val="2C2C2A"/>
        </w:rPr>
      </w:pPr>
      <w:r w:rsidRPr="00531807">
        <w:rPr>
          <w:color w:val="2C2C2A"/>
        </w:rPr>
        <w:t xml:space="preserve">Para entender a dinâmica, imagine que o CCEAR funciona como um “compromisso de entrega” firmado com as distribuidoras. Se a usina não está gerando, a distribuidora não espera: ela precisa da energia para atender o consumidor final. Assim, o empreendedor é obrigado a cobrir esse rombo comprando energia no mercado de curto prazo (mercado </w:t>
      </w:r>
      <w:r w:rsidRPr="00531807">
        <w:rPr>
          <w:i/>
          <w:iCs/>
          <w:color w:val="2C2C2A"/>
        </w:rPr>
        <w:t>spot</w:t>
      </w:r>
      <w:r w:rsidRPr="00531807">
        <w:rPr>
          <w:color w:val="2C2C2A"/>
        </w:rPr>
        <w:t xml:space="preserve">, administrado pela CCEE) pelo Preço de Liquidação das Diferenças (PLD). É como se o gerador tivesse vendido um produto que ainda não fabricou e, para honrar o contrato, precisasse comprá-lo no mercado à vista, a preço de pico. Em períodos de estresse hídrico ou crise de oferta, o PLD dispara (podendo atingir R$ 1.000–2.000/MWh). Diferente de uma multa administrativa ou contratual (que são eventos pontuais), essa exposição gera um </w:t>
      </w:r>
      <w:r w:rsidRPr="00531807">
        <w:rPr>
          <w:b/>
          <w:bCs/>
          <w:color w:val="2C2C2A"/>
        </w:rPr>
        <w:t>custo recorrente e imprevisível</w:t>
      </w:r>
      <w:r w:rsidRPr="00531807">
        <w:rPr>
          <w:color w:val="2C2C2A"/>
        </w:rPr>
        <w:t xml:space="preserve"> que corrói a viabilidade financeira do projeto mês a mês, até a emissão da Portaria de operação comercial. Para uma usina de 100 MW, a exposição mensal pode facilmente chegar a dezenas de milhões.</w:t>
      </w:r>
    </w:p>
    <w:p w14:paraId="3B8CD4C4" w14:textId="697A320A" w:rsidR="008B2037" w:rsidRDefault="00222726">
      <w:pPr>
        <w:spacing w:after="120" w:line="270" w:lineRule="auto"/>
        <w:jc w:val="both"/>
      </w:pPr>
      <w:r>
        <w:rPr>
          <w:color w:val="2C2C2A"/>
        </w:rPr>
        <w:lastRenderedPageBreak/>
        <w:t>.</w:t>
      </w:r>
    </w:p>
    <w:p w14:paraId="3B8CD4C5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C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</w:tcPr>
          <w:p w14:paraId="3B8CD4C6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C7" w14:textId="77777777" w:rsidR="008B2037" w:rsidRDefault="00222726">
            <w:pPr>
              <w:spacing w:line="265" w:lineRule="auto"/>
              <w:jc w:val="both"/>
            </w:pPr>
            <w:r>
              <w:rPr>
                <w:color w:val="712B13"/>
                <w:sz w:val="20"/>
                <w:szCs w:val="20"/>
              </w:rPr>
              <w:t>O risco não é linear — é multiplicativo. O mesmo atraso pode gerar simultaneamente: multa contratual de 10% + execução da garantia bancária + embargo administrativo + exposição total ao PLD + indenização às distribuidoras. Para uma usina de R$ 400 milhões, a exposição combinada pode ultrapassar R$ 60–80 milhões.</w:t>
            </w:r>
          </w:p>
        </w:tc>
      </w:tr>
    </w:tbl>
    <w:p w14:paraId="3B8CD4C9" w14:textId="77777777" w:rsidR="008B2037" w:rsidRDefault="00222726">
      <w:pPr>
        <w:pStyle w:val="Ttulo2"/>
      </w:pPr>
      <w:bookmarkStart w:id="26" w:name="_Toc227934645"/>
      <w:r>
        <w:rPr>
          <w:color w:val="26215C"/>
        </w:rPr>
        <w:t>6.4 Lógica de Escalonamento</w:t>
      </w:r>
      <w:bookmarkEnd w:id="26"/>
    </w:p>
    <w:p w14:paraId="3B8CD4CA" w14:textId="6077BD88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A ANEEL normalmente não aplica a pena máxima de imediato. A gradação típica é: advertência (aviso formal registrado no histórico) → multa (proporcional à gravidade e à reincidência) → medidas acautelatórias (embargo, </w:t>
      </w:r>
      <w:r w:rsidR="00E131E5">
        <w:rPr>
          <w:color w:val="2C2C2A"/>
        </w:rPr>
        <w:t>interdição</w:t>
      </w:r>
      <w:r>
        <w:rPr>
          <w:color w:val="2C2C2A"/>
        </w:rPr>
        <w:t xml:space="preserve">) → </w:t>
      </w:r>
      <w:r w:rsidR="00E131E5">
        <w:rPr>
          <w:color w:val="2C2C2A"/>
        </w:rPr>
        <w:t>cassação</w:t>
      </w:r>
      <w:r>
        <w:rPr>
          <w:color w:val="2C2C2A"/>
        </w:rPr>
        <w:t xml:space="preserve"> ou caducidade (abandono ou violações gravíssimas reiteradas). O cliente que chega com uma advertência ainda está em boa posição para corrigir o rumo.</w:t>
      </w:r>
    </w:p>
    <w:p w14:paraId="3B8CD4CB" w14:textId="77777777" w:rsidR="008B2037" w:rsidRDefault="008B2037">
      <w:pPr>
        <w:spacing w:after="200"/>
      </w:pPr>
    </w:p>
    <w:p w14:paraId="3B8CD4CC" w14:textId="77777777" w:rsidR="008B2037" w:rsidRDefault="00222726">
      <w:r>
        <w:br w:type="page"/>
      </w:r>
    </w:p>
    <w:p w14:paraId="3B8CD4CD" w14:textId="77777777" w:rsidR="008B2037" w:rsidRDefault="00222726">
      <w:pPr>
        <w:pStyle w:val="Ttulo1"/>
        <w:pBdr>
          <w:bottom w:val="single" w:sz="6" w:space="4" w:color="1D9E75"/>
        </w:pBdr>
      </w:pPr>
      <w:bookmarkStart w:id="27" w:name="_Toc227934646"/>
      <w:r>
        <w:rPr>
          <w:color w:val="534AB7"/>
        </w:rPr>
        <w:lastRenderedPageBreak/>
        <w:t>7. Excludente de Responsabilidade</w:t>
      </w:r>
      <w:bookmarkEnd w:id="27"/>
    </w:p>
    <w:p w14:paraId="3B8CD4CE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excludente de responsabilidade é o serviço de maior valor agregado e menor conhecimento do mercado. É o instituto regulatório que permite ao empreendedor demonstrar que o atraso ocorreu por causa de um fator externo, imprevisível e irresistível. Quando reconhecido pela ANEEL, suspende todas as consequências do atraso.</w:t>
      </w:r>
    </w:p>
    <w:p w14:paraId="3B8CD4CF" w14:textId="77777777" w:rsidR="008B2037" w:rsidRDefault="00222726">
      <w:pPr>
        <w:pStyle w:val="Ttulo2"/>
      </w:pPr>
      <w:bookmarkStart w:id="28" w:name="_Toc227934647"/>
      <w:r>
        <w:rPr>
          <w:color w:val="26215C"/>
        </w:rPr>
        <w:t>7.1 O que o Excludente Suspende</w:t>
      </w:r>
      <w:bookmarkEnd w:id="28"/>
    </w:p>
    <w:p w14:paraId="3B8CD4D0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6408"/>
      </w:tblGrid>
      <w:tr w:rsidR="008B2037" w14:paraId="3B8CD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1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2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Escopo</w:t>
            </w:r>
          </w:p>
        </w:tc>
      </w:tr>
      <w:tr w:rsidR="008B2037" w14:paraId="3B8CD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4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Isenção de penalidade administrativa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5" w14:textId="49534077" w:rsidR="008B2037" w:rsidRDefault="00222726">
            <w:r>
              <w:rPr>
                <w:color w:val="2C2C2A"/>
                <w:sz w:val="20"/>
                <w:szCs w:val="20"/>
              </w:rPr>
              <w:t xml:space="preserve">Multa, embargo, </w:t>
            </w:r>
            <w:r w:rsidR="00875863">
              <w:rPr>
                <w:color w:val="2C2C2A"/>
                <w:sz w:val="20"/>
                <w:szCs w:val="20"/>
              </w:rPr>
              <w:t>interdição</w:t>
            </w:r>
            <w:r>
              <w:rPr>
                <w:color w:val="2C2C2A"/>
                <w:sz w:val="20"/>
                <w:szCs w:val="20"/>
              </w:rPr>
              <w:t xml:space="preserve"> — todas as sanções do poder de polícia da ANEEL</w:t>
            </w:r>
          </w:p>
        </w:tc>
      </w:tr>
      <w:tr w:rsidR="008B2037" w14:paraId="3B8CD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7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Isenção de penalidade editalícia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8" w14:textId="77777777" w:rsidR="008B2037" w:rsidRDefault="00222726">
            <w:r>
              <w:rPr>
                <w:color w:val="2C2C2A"/>
                <w:sz w:val="20"/>
                <w:szCs w:val="20"/>
              </w:rPr>
              <w:t>Multa contratual de até 10%, execução da garantia, demais sanções do contrato de leilão</w:t>
            </w:r>
          </w:p>
        </w:tc>
      </w:tr>
      <w:tr w:rsidR="008B2037" w14:paraId="3B8CD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A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Isenção de recomposição de lastro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B" w14:textId="77777777" w:rsidR="008B2037" w:rsidRDefault="00222726">
            <w:r>
              <w:rPr>
                <w:color w:val="2C2C2A"/>
                <w:sz w:val="20"/>
                <w:szCs w:val="20"/>
              </w:rPr>
              <w:t>Suspende a obrigação de cobrir a posição contratual de venda de energia no período coberto</w:t>
            </w:r>
          </w:p>
        </w:tc>
      </w:tr>
      <w:tr w:rsidR="008B2037" w14:paraId="3B8CD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D" w14:textId="77777777" w:rsidR="008B2037" w:rsidRDefault="00222726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Posterg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>. formal do cronograma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DE" w14:textId="77777777" w:rsidR="008B2037" w:rsidRDefault="00222726">
            <w:r>
              <w:rPr>
                <w:color w:val="2C2C2A"/>
                <w:sz w:val="20"/>
                <w:szCs w:val="20"/>
              </w:rPr>
              <w:t>A ANEEL reconhece o novo prazo como válido, sem ônus regulatório pelo atraso coberto</w:t>
            </w:r>
          </w:p>
        </w:tc>
      </w:tr>
    </w:tbl>
    <w:p w14:paraId="3B8CD4E0" w14:textId="77777777" w:rsidR="008B2037" w:rsidRDefault="00222726">
      <w:pPr>
        <w:pStyle w:val="Ttulo2"/>
      </w:pPr>
      <w:bookmarkStart w:id="29" w:name="_Toc227934648"/>
      <w:r>
        <w:rPr>
          <w:color w:val="26215C"/>
        </w:rPr>
        <w:t>7.2 As Causas Excludentes</w:t>
      </w:r>
      <w:bookmarkEnd w:id="29"/>
    </w:p>
    <w:p w14:paraId="3B8CD4E1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4736"/>
        <w:gridCol w:w="3123"/>
      </w:tblGrid>
      <w:tr w:rsidR="008B2037" w14:paraId="3B8CD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2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3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O que cobre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4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Prova exigida</w:t>
            </w:r>
          </w:p>
        </w:tc>
      </w:tr>
      <w:tr w:rsidR="008B2037" w14:paraId="3B8CD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6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Climáticas extremas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7" w14:textId="77777777" w:rsidR="008B2037" w:rsidRDefault="00222726">
            <w:r>
              <w:rPr>
                <w:color w:val="2C2C2A"/>
                <w:sz w:val="20"/>
                <w:szCs w:val="20"/>
              </w:rPr>
              <w:t>Eventos meteorológicos atipicamente acima da média histórica. Seca extrema, enchentes, pluviometria fora da série histórica.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8" w14:textId="77777777" w:rsidR="008B2037" w:rsidRDefault="00222726">
            <w:r>
              <w:rPr>
                <w:color w:val="2C2C2A"/>
                <w:sz w:val="20"/>
                <w:szCs w:val="20"/>
              </w:rPr>
              <w:t>Dados do INMET demonstrando desvio estatístico significativo. A régua é estatística.</w:t>
            </w:r>
          </w:p>
        </w:tc>
      </w:tr>
      <w:tr w:rsidR="008B2037" w14:paraId="3B8CD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A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Atos do Poder Público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B" w14:textId="4A7366BB" w:rsidR="008B2037" w:rsidRDefault="00222726">
            <w:r>
              <w:rPr>
                <w:color w:val="2C2C2A"/>
                <w:sz w:val="20"/>
                <w:szCs w:val="20"/>
              </w:rPr>
              <w:t xml:space="preserve">Demora do IBAMA/SEMA na emissão de licenças, embargos ambientais, decisões judiciais, desapropriações lentas, </w:t>
            </w:r>
            <w:r w:rsidR="00875863">
              <w:rPr>
                <w:color w:val="2C2C2A"/>
                <w:sz w:val="20"/>
                <w:szCs w:val="20"/>
              </w:rPr>
              <w:t>interdições</w:t>
            </w:r>
            <w:r>
              <w:rPr>
                <w:color w:val="2C2C2A"/>
                <w:sz w:val="20"/>
                <w:szCs w:val="20"/>
              </w:rPr>
              <w:t xml:space="preserve"> de acesso. A mais frequente na prática.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C" w14:textId="77777777" w:rsidR="008B2037" w:rsidRDefault="00222726">
            <w:r>
              <w:rPr>
                <w:color w:val="2C2C2A"/>
                <w:sz w:val="20"/>
                <w:szCs w:val="20"/>
              </w:rPr>
              <w:t>Datas de protocolo vs. emissão da licença. Mora superior ao prazo legal do órgão.</w:t>
            </w:r>
          </w:p>
        </w:tc>
      </w:tr>
      <w:tr w:rsidR="008B2037" w14:paraId="3B8CD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E" w14:textId="77777777" w:rsidR="008B2037" w:rsidRDefault="00222726">
            <w:proofErr w:type="gramStart"/>
            <w:r>
              <w:rPr>
                <w:b/>
                <w:bCs/>
                <w:color w:val="26215C"/>
                <w:sz w:val="20"/>
                <w:szCs w:val="20"/>
              </w:rPr>
              <w:t>Situações de emergência</w:t>
            </w:r>
            <w:proofErr w:type="gramEnd"/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EF" w14:textId="4A545E9F" w:rsidR="008B2037" w:rsidRDefault="00222726">
            <w:r>
              <w:rPr>
                <w:color w:val="2C2C2A"/>
                <w:sz w:val="20"/>
                <w:szCs w:val="20"/>
              </w:rPr>
              <w:t xml:space="preserve">Pandemias (COVID-19 gerou enorme volume processual em 2020-21), </w:t>
            </w:r>
            <w:r w:rsidR="00875863">
              <w:rPr>
                <w:color w:val="2C2C2A"/>
                <w:sz w:val="20"/>
                <w:szCs w:val="20"/>
              </w:rPr>
              <w:t>epidemias</w:t>
            </w:r>
            <w:r>
              <w:rPr>
                <w:color w:val="2C2C2A"/>
                <w:sz w:val="20"/>
                <w:szCs w:val="20"/>
              </w:rPr>
              <w:t xml:space="preserve"> regionais, desastres naturais, crises na cadeia de suprimentos.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F0" w14:textId="77777777" w:rsidR="008B2037" w:rsidRDefault="00222726">
            <w:r>
              <w:rPr>
                <w:color w:val="2C2C2A"/>
                <w:sz w:val="20"/>
                <w:szCs w:val="20"/>
              </w:rPr>
              <w:t>Decretos e atos oficiais. Documentação de impacto concreto no empreendimento.</w:t>
            </w:r>
          </w:p>
        </w:tc>
      </w:tr>
      <w:tr w:rsidR="008B2037" w14:paraId="3B8CD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F2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Outros motivos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F3" w14:textId="77777777" w:rsidR="008B2037" w:rsidRDefault="00222726">
            <w:r>
              <w:rPr>
                <w:color w:val="2C2C2A"/>
                <w:sz w:val="20"/>
                <w:szCs w:val="20"/>
              </w:rPr>
              <w:t>Interpretação relativamente ampla, mas com exigência de demonstração rigorosa. Greve de transportadores, eventos geopolíticos com impacto comprovável.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4F4" w14:textId="77777777" w:rsidR="008B2037" w:rsidRDefault="00222726">
            <w:r>
              <w:rPr>
                <w:color w:val="2C2C2A"/>
                <w:sz w:val="20"/>
                <w:szCs w:val="20"/>
              </w:rPr>
              <w:t>Documentação robusta de impacto direto e proporcional ao empreendimento.</w:t>
            </w:r>
          </w:p>
        </w:tc>
      </w:tr>
    </w:tbl>
    <w:p w14:paraId="3B8CD4F6" w14:textId="77777777" w:rsidR="008B2037" w:rsidRDefault="00222726">
      <w:pPr>
        <w:pStyle w:val="Ttulo2"/>
      </w:pPr>
      <w:bookmarkStart w:id="30" w:name="_Toc227934649"/>
      <w:r>
        <w:rPr>
          <w:color w:val="26215C"/>
        </w:rPr>
        <w:t>7.3 O Nexo Causal — Onde a Maioria dos Pedidos Falha</w:t>
      </w:r>
      <w:bookmarkEnd w:id="30"/>
    </w:p>
    <w:p w14:paraId="3B8CD4F7" w14:textId="627D491C" w:rsidR="008B2037" w:rsidRDefault="00222726">
      <w:pPr>
        <w:spacing w:after="120" w:line="270" w:lineRule="auto"/>
        <w:jc w:val="both"/>
      </w:pPr>
      <w:r>
        <w:rPr>
          <w:color w:val="2C2C2A"/>
        </w:rPr>
        <w:t>Não basta provar que o evento ocorreu. É preciso provar que aquele evento causou aquele atraso, naquela magnitude, naquele empreendimento específico. O excludente é proporcional ao impacto comprovado</w:t>
      </w:r>
      <w:r w:rsidR="00875863">
        <w:rPr>
          <w:color w:val="2C2C2A"/>
        </w:rPr>
        <w:t xml:space="preserve">, </w:t>
      </w:r>
      <w:r>
        <w:rPr>
          <w:color w:val="2C2C2A"/>
        </w:rPr>
        <w:t>não ao evento total.</w:t>
      </w:r>
    </w:p>
    <w:p w14:paraId="3B8CD4F8" w14:textId="77777777" w:rsidR="008B2037" w:rsidRDefault="008B2037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4F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</w:tcPr>
          <w:p w14:paraId="3B8CD4F9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4FA" w14:textId="0018ADE6" w:rsidR="008B2037" w:rsidRDefault="00222726">
            <w:pPr>
              <w:spacing w:line="265" w:lineRule="auto"/>
              <w:jc w:val="both"/>
            </w:pPr>
            <w:r>
              <w:rPr>
                <w:color w:val="26215C"/>
                <w:sz w:val="20"/>
                <w:szCs w:val="20"/>
              </w:rPr>
              <w:t xml:space="preserve">EXEMPLO: Usina eólica no Piauí com atraso de 8 meses. Empreendedor alega demora do IBAMA na LI. Para o nexo causal ser robusto é necessário demonstrar: (1) data de protocolo do pedido; (2) data de emissão da LI; </w:t>
            </w:r>
            <w:r>
              <w:rPr>
                <w:color w:val="26215C"/>
                <w:sz w:val="20"/>
                <w:szCs w:val="20"/>
              </w:rPr>
              <w:lastRenderedPageBreak/>
              <w:t>(3) que durante esse intervalo a obra estava especificamente impedida por falta dessa licença</w:t>
            </w:r>
            <w:r w:rsidR="00875863">
              <w:rPr>
                <w:color w:val="26215C"/>
                <w:sz w:val="20"/>
                <w:szCs w:val="20"/>
              </w:rPr>
              <w:t xml:space="preserve"> e</w:t>
            </w:r>
            <w:r>
              <w:rPr>
                <w:color w:val="26215C"/>
                <w:sz w:val="20"/>
                <w:szCs w:val="20"/>
              </w:rPr>
              <w:t xml:space="preserve"> não por outros fatores; (4) que a demora foi superior ao prazo legal. Se o atraso total é 8 </w:t>
            </w:r>
            <w:r w:rsidR="00875863">
              <w:rPr>
                <w:color w:val="26215C"/>
                <w:sz w:val="20"/>
                <w:szCs w:val="20"/>
              </w:rPr>
              <w:t>meses,</w:t>
            </w:r>
            <w:r>
              <w:rPr>
                <w:color w:val="26215C"/>
                <w:sz w:val="20"/>
                <w:szCs w:val="20"/>
              </w:rPr>
              <w:t xml:space="preserve"> mas a demora do IBAMA explica apenas 3, o excludente cobre somente esses 3 meses.</w:t>
            </w:r>
          </w:p>
        </w:tc>
      </w:tr>
    </w:tbl>
    <w:p w14:paraId="3B8CD4FC" w14:textId="77777777" w:rsidR="008B2037" w:rsidRDefault="00222726">
      <w:pPr>
        <w:pStyle w:val="Ttulo2"/>
      </w:pPr>
      <w:bookmarkStart w:id="31" w:name="_Toc227934650"/>
      <w:r>
        <w:rPr>
          <w:color w:val="26215C"/>
        </w:rPr>
        <w:lastRenderedPageBreak/>
        <w:t>7.4 O Fluxo Processual</w:t>
      </w:r>
      <w:bookmarkEnd w:id="31"/>
    </w:p>
    <w:p w14:paraId="3B8CD4FD" w14:textId="77777777" w:rsidR="008B2037" w:rsidRDefault="00222726">
      <w:pPr>
        <w:spacing w:before="140" w:after="140"/>
        <w:jc w:val="center"/>
      </w:pPr>
      <w:r>
        <w:rPr>
          <w:noProof/>
        </w:rPr>
        <w:drawing>
          <wp:inline distT="0" distB="0" distL="0" distR="0" wp14:anchorId="3B8CD5FF" wp14:editId="3B8CD600">
            <wp:extent cx="5962650" cy="4629150"/>
            <wp:effectExtent l="0" t="0" r="0" b="0"/>
            <wp:docPr id="1567119054" name="Fluxo processual do excludente de responsabilidade" descr="Fluxo processual do excludente de responsabilidade" title="Fluxo processual do excludente de responsa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4FE" w14:textId="77777777" w:rsidR="008B2037" w:rsidRDefault="008B2037">
      <w:pPr>
        <w:spacing w:after="200"/>
      </w:pPr>
    </w:p>
    <w:p w14:paraId="3B8CD4FF" w14:textId="77777777" w:rsidR="008B2037" w:rsidRDefault="00222726">
      <w:r>
        <w:br w:type="page"/>
      </w:r>
    </w:p>
    <w:p w14:paraId="3B8CD500" w14:textId="77777777" w:rsidR="008B2037" w:rsidRDefault="00222726">
      <w:pPr>
        <w:pStyle w:val="Ttulo1"/>
        <w:pBdr>
          <w:bottom w:val="single" w:sz="6" w:space="4" w:color="1D9E75"/>
        </w:pBdr>
      </w:pPr>
      <w:bookmarkStart w:id="32" w:name="_Toc227934651"/>
      <w:r>
        <w:rPr>
          <w:color w:val="534AB7"/>
        </w:rPr>
        <w:lastRenderedPageBreak/>
        <w:t>8. Gestão de Conformidade Regulatória</w:t>
      </w:r>
      <w:bookmarkEnd w:id="32"/>
    </w:p>
    <w:p w14:paraId="3B8CD501" w14:textId="1451DED0" w:rsidR="008B2037" w:rsidRDefault="00222726">
      <w:pPr>
        <w:spacing w:after="120" w:line="270" w:lineRule="auto"/>
        <w:jc w:val="both"/>
      </w:pPr>
      <w:r>
        <w:rPr>
          <w:color w:val="2C2C2A"/>
        </w:rPr>
        <w:t>A gestão de conformidade é o serviço âncora</w:t>
      </w:r>
      <w:r w:rsidR="00875863">
        <w:rPr>
          <w:color w:val="2C2C2A"/>
        </w:rPr>
        <w:t>:</w:t>
      </w:r>
      <w:r>
        <w:rPr>
          <w:color w:val="2C2C2A"/>
        </w:rPr>
        <w:t xml:space="preserve"> o que sustenta o relacionamento de longo prazo e evita que o cliente precise dos serviços emergenciais de excludente e defesa em penalidade. Quando uma empresa recebe uma outorga, ela assume obrigações que persistem continuamente durante toda a implantação. Não cumprir qualquer uma é infração autônoma, independente do andamento das obras.</w:t>
      </w:r>
    </w:p>
    <w:p w14:paraId="3B8CD502" w14:textId="77777777" w:rsidR="008B2037" w:rsidRDefault="00222726">
      <w:pPr>
        <w:pStyle w:val="Ttulo2"/>
      </w:pPr>
      <w:bookmarkStart w:id="33" w:name="_Toc227934652"/>
      <w:r>
        <w:rPr>
          <w:color w:val="26215C"/>
        </w:rPr>
        <w:t>8.1 Por que o Empreendedor Não Consegue Fazer Isso Sozinho</w:t>
      </w:r>
      <w:bookmarkEnd w:id="33"/>
    </w:p>
    <w:p w14:paraId="3B8CD503" w14:textId="6D0782DE" w:rsidR="008B2037" w:rsidRDefault="00222726">
      <w:pPr>
        <w:spacing w:after="120" w:line="270" w:lineRule="auto"/>
        <w:jc w:val="both"/>
      </w:pPr>
      <w:r>
        <w:rPr>
          <w:color w:val="2C2C2A"/>
        </w:rPr>
        <w:t xml:space="preserve">A equipe que toca a obra está focada em prazo de entrega, custo e performance técnica dos equipamentos. Projetos de geração são geridos por SPEs </w:t>
      </w:r>
      <w:r w:rsidR="00204AC9">
        <w:rPr>
          <w:color w:val="2C2C2A"/>
        </w:rPr>
        <w:t>com</w:t>
      </w:r>
      <w:r>
        <w:rPr>
          <w:color w:val="2C2C2A"/>
        </w:rPr>
        <w:t xml:space="preserve"> estruturas </w:t>
      </w:r>
      <w:r w:rsidR="00006A0A">
        <w:rPr>
          <w:color w:val="2C2C2A"/>
        </w:rPr>
        <w:t>enxut</w:t>
      </w:r>
      <w:r w:rsidR="00204AC9">
        <w:rPr>
          <w:color w:val="2C2C2A"/>
        </w:rPr>
        <w:t>a</w:t>
      </w:r>
      <w:r w:rsidR="00006A0A">
        <w:rPr>
          <w:color w:val="2C2C2A"/>
        </w:rPr>
        <w:t>s</w:t>
      </w:r>
      <w:r>
        <w:rPr>
          <w:color w:val="2C2C2A"/>
        </w:rPr>
        <w:t xml:space="preserve"> cujo foco é construir e operar. A capacidade de compliance regulatório simplesmente não existe internamente. Declarações feitas incorretamente, marcos que passam sem que ninguém perceba, documentação estratégica que nunca é produzida.</w:t>
      </w:r>
    </w:p>
    <w:p w14:paraId="3B8CD504" w14:textId="77777777" w:rsidR="008B2037" w:rsidRDefault="00222726">
      <w:pPr>
        <w:pStyle w:val="Ttulo2"/>
      </w:pPr>
      <w:bookmarkStart w:id="34" w:name="_Toc227934653"/>
      <w:r>
        <w:rPr>
          <w:color w:val="26215C"/>
        </w:rPr>
        <w:t>8.2 As Quatro Dimensões da Gestão de Conformidade</w:t>
      </w:r>
      <w:bookmarkEnd w:id="34"/>
    </w:p>
    <w:p w14:paraId="3B8CD505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4181"/>
        <w:gridCol w:w="3551"/>
      </w:tblGrid>
      <w:tr w:rsidR="008B2037" w14:paraId="3B8CD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6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7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O que cobre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8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Valor entregue</w:t>
            </w:r>
          </w:p>
        </w:tc>
      </w:tr>
      <w:tr w:rsidR="008B2037" w14:paraId="3B8CD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A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1. Declarações periódicas (mensais)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B" w14:textId="77777777" w:rsidR="008B2037" w:rsidRDefault="00222726">
            <w:r>
              <w:rPr>
                <w:color w:val="2C2C2A"/>
                <w:sz w:val="20"/>
                <w:szCs w:val="20"/>
              </w:rPr>
              <w:t>Status de licenciamento (LP/LI/LO), conexão (CUST/CUSD), percentual de avanço físico, previsão de operação e registros fotográficos. Prazo: dia 15 de cada mês.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C" w14:textId="77777777" w:rsidR="008B2037" w:rsidRDefault="00222726">
            <w:r>
              <w:rPr>
                <w:color w:val="2C2C2A"/>
                <w:sz w:val="20"/>
                <w:szCs w:val="20"/>
              </w:rPr>
              <w:t>Declarações corretas e defensáveis — não apenas preenchidas. Narrativa regulatória mais favorável ao projeto.</w:t>
            </w:r>
          </w:p>
        </w:tc>
      </w:tr>
      <w:tr w:rsidR="008B2037" w14:paraId="3B8CD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E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2. Controle de marcos e prazos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0F" w14:textId="77777777" w:rsidR="008B2037" w:rsidRDefault="00222726">
            <w:r>
              <w:rPr>
                <w:color w:val="2C2C2A"/>
                <w:sz w:val="20"/>
                <w:szCs w:val="20"/>
              </w:rPr>
              <w:t>Monitoramento contínuo de cada marco do cronograma comprometido, com alertas escalonados: 90, 30 e 15 dias antes de cada marco crítico.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0" w14:textId="77777777" w:rsidR="008B2037" w:rsidRDefault="00222726">
            <w:r>
              <w:rPr>
                <w:color w:val="2C2C2A"/>
                <w:sz w:val="20"/>
                <w:szCs w:val="20"/>
              </w:rPr>
              <w:t>Antecipação de riscos: excludente, alteração formal de cronograma ou gestão do impacto do descumprimento.</w:t>
            </w:r>
          </w:p>
        </w:tc>
      </w:tr>
      <w:tr w:rsidR="008B2037" w14:paraId="3B8CD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2" w14:textId="77777777" w:rsidR="008B2037" w:rsidRDefault="00222726">
            <w:r>
              <w:rPr>
                <w:b/>
                <w:bCs/>
                <w:color w:val="633806"/>
                <w:sz w:val="20"/>
                <w:szCs w:val="20"/>
              </w:rPr>
              <w:t>3. Processos formais de alteração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3" w14:textId="77777777" w:rsidR="008B2037" w:rsidRDefault="00222726">
            <w:r>
              <w:rPr>
                <w:color w:val="2C2C2A"/>
                <w:sz w:val="20"/>
                <w:szCs w:val="20"/>
              </w:rPr>
              <w:t>Alteração de cronograma, de características técnicas, de potência e transferência de titularidade (M&amp;A). Qualquer alteração precisa de aprovação formal ANTES da implementação.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4" w14:textId="77777777" w:rsidR="008B2037" w:rsidRDefault="00222726">
            <w:r>
              <w:rPr>
                <w:color w:val="2C2C2A"/>
                <w:sz w:val="20"/>
                <w:szCs w:val="20"/>
              </w:rPr>
              <w:t>Garantia de que o projeto nunca opera em situação irregular por mudança não aprovada.</w:t>
            </w:r>
          </w:p>
        </w:tc>
      </w:tr>
      <w:tr w:rsidR="008B2037" w14:paraId="3B8CD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6" w14:textId="77777777" w:rsidR="008B2037" w:rsidRDefault="00222726">
            <w:r>
              <w:rPr>
                <w:b/>
                <w:bCs/>
                <w:color w:val="712B13"/>
                <w:sz w:val="20"/>
                <w:szCs w:val="20"/>
              </w:rPr>
              <w:t>4. Gestão documental estratégica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7" w14:textId="77777777" w:rsidR="008B2037" w:rsidRDefault="00222726">
            <w:r>
              <w:rPr>
                <w:color w:val="2C2C2A"/>
                <w:sz w:val="20"/>
                <w:szCs w:val="20"/>
              </w:rPr>
              <w:t>Construção sistemática do arquivo regulatório: protocolos RAPEEL, registros fotográficos, ofícios a órgãos ambientais, comunicações com a transmissora, atas de reuniões relevantes.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8" w14:textId="77777777" w:rsidR="008B2037" w:rsidRDefault="00222726">
            <w:r>
              <w:rPr>
                <w:color w:val="2C2C2A"/>
                <w:sz w:val="20"/>
                <w:szCs w:val="20"/>
              </w:rPr>
              <w:t>Dossiê defensivo mobilizável a qualquer momento. Um excludente com 60% do dossiê já pronto tem resultado radicalmente diferente.</w:t>
            </w:r>
          </w:p>
        </w:tc>
      </w:tr>
    </w:tbl>
    <w:p w14:paraId="3B8CD51A" w14:textId="77777777" w:rsidR="008B2037" w:rsidRDefault="00222726">
      <w:pPr>
        <w:pStyle w:val="Ttulo2"/>
      </w:pPr>
      <w:bookmarkStart w:id="35" w:name="_Toc227934654"/>
      <w:r>
        <w:rPr>
          <w:color w:val="26215C"/>
        </w:rPr>
        <w:t>8.3 O RAPEEL, o RALIE e o Modelo de Engajamento</w:t>
      </w:r>
      <w:bookmarkEnd w:id="35"/>
    </w:p>
    <w:p w14:paraId="3B8CD51B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RAPEEL (sistema declaratório) e o RALIE (painel público) são duas faces do mesmo dado. O que o mercado vê no RALIE — situação de obra, viabilidade, atraso — é exatamente o que o empreendedor declarou no RAPEEL. Gerenciar bem o RAPEEL é controlar a narrativa pública do projeto perante a ANEEL e o mercado.</w:t>
      </w:r>
    </w:p>
    <w:p w14:paraId="3B8CD51C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5369"/>
        <w:gridCol w:w="2453"/>
      </w:tblGrid>
      <w:tr w:rsidR="008B2037" w14:paraId="3B8CD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Modalidade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E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Escopo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1F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Para quem</w:t>
            </w:r>
          </w:p>
        </w:tc>
      </w:tr>
      <w:tr w:rsidR="008B2037" w14:paraId="3B8CD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1" w14:textId="77777777" w:rsidR="008B2037" w:rsidRDefault="00222726">
            <w:proofErr w:type="spellStart"/>
            <w:r w:rsidRPr="00875863">
              <w:rPr>
                <w:b/>
                <w:bCs/>
                <w:i/>
                <w:iCs/>
                <w:color w:val="26215C"/>
                <w:sz w:val="20"/>
                <w:szCs w:val="20"/>
              </w:rPr>
              <w:t>Retainer</w:t>
            </w:r>
            <w:proofErr w:type="spellEnd"/>
            <w:r>
              <w:rPr>
                <w:b/>
                <w:bCs/>
                <w:color w:val="26215C"/>
                <w:sz w:val="20"/>
                <w:szCs w:val="20"/>
              </w:rPr>
              <w:t xml:space="preserve"> mensal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2" w14:textId="77777777" w:rsidR="008B2037" w:rsidRDefault="00222726">
            <w:r>
              <w:rPr>
                <w:color w:val="2C2C2A"/>
                <w:sz w:val="20"/>
                <w:szCs w:val="20"/>
              </w:rPr>
              <w:t>Declarações mensais, monitoramento de prazos, alerta proativo de riscos emergentes. Receita previsível para o escritório.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3" w14:textId="77777777" w:rsidR="008B2037" w:rsidRDefault="00222726">
            <w:r>
              <w:rPr>
                <w:color w:val="2C2C2A"/>
                <w:sz w:val="20"/>
                <w:szCs w:val="20"/>
              </w:rPr>
              <w:t>Qualquer empreendedor em implantação</w:t>
            </w:r>
          </w:p>
        </w:tc>
      </w:tr>
      <w:tr w:rsidR="008B2037" w14:paraId="3B8CD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5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Projetos específicos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6" w14:textId="77777777" w:rsidR="008B2037" w:rsidRDefault="00222726">
            <w:r>
              <w:rPr>
                <w:color w:val="2C2C2A"/>
                <w:sz w:val="20"/>
                <w:szCs w:val="20"/>
              </w:rPr>
              <w:t>Alterações de outorga pontuais, pedidos de excludente, defesa em processos de penalidade, transferência de titularidade.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7" w14:textId="77777777" w:rsidR="008B2037" w:rsidRDefault="00222726">
            <w:r>
              <w:rPr>
                <w:color w:val="2C2C2A"/>
                <w:sz w:val="20"/>
                <w:szCs w:val="20"/>
              </w:rPr>
              <w:t>Demanda pontual específica</w:t>
            </w:r>
          </w:p>
        </w:tc>
      </w:tr>
      <w:tr w:rsidR="008B2037" w14:paraId="3B8CD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9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lastRenderedPageBreak/>
              <w:t>Portfólio múltiplo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A" w14:textId="77777777" w:rsidR="008B2037" w:rsidRDefault="00222726">
            <w:r>
              <w:rPr>
                <w:color w:val="2C2C2A"/>
                <w:sz w:val="20"/>
                <w:szCs w:val="20"/>
              </w:rPr>
              <w:t>Gestão consolidada de todos os projetos com visão integrada de riscos e prazos. Serviço de maior valor agregado.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2B" w14:textId="77777777" w:rsidR="008B2037" w:rsidRDefault="00222726">
            <w:r>
              <w:rPr>
                <w:color w:val="2C2C2A"/>
                <w:sz w:val="20"/>
                <w:szCs w:val="20"/>
              </w:rPr>
              <w:t>Fundos, grupos com 5+ projetos</w:t>
            </w:r>
          </w:p>
        </w:tc>
      </w:tr>
    </w:tbl>
    <w:p w14:paraId="3B8CD52D" w14:textId="77777777" w:rsidR="008B2037" w:rsidRDefault="008B2037">
      <w:pPr>
        <w:spacing w:after="200"/>
      </w:pPr>
    </w:p>
    <w:p w14:paraId="3B8CD52E" w14:textId="77777777" w:rsidR="008B2037" w:rsidRDefault="00222726">
      <w:r>
        <w:br w:type="page"/>
      </w:r>
    </w:p>
    <w:p w14:paraId="3B8CD52F" w14:textId="77777777" w:rsidR="008B2037" w:rsidRDefault="00222726">
      <w:pPr>
        <w:pStyle w:val="Ttulo1"/>
        <w:pBdr>
          <w:bottom w:val="single" w:sz="6" w:space="4" w:color="1D9E75"/>
        </w:pBdr>
      </w:pPr>
      <w:bookmarkStart w:id="36" w:name="_Toc227934655"/>
      <w:r>
        <w:rPr>
          <w:color w:val="534AB7"/>
        </w:rPr>
        <w:lastRenderedPageBreak/>
        <w:t>9. Apoio Regulatório</w:t>
      </w:r>
      <w:bookmarkEnd w:id="36"/>
    </w:p>
    <w:p w14:paraId="3B8CD530" w14:textId="03A0B181" w:rsidR="008B2037" w:rsidRDefault="00222726">
      <w:pPr>
        <w:spacing w:after="120" w:line="270" w:lineRule="auto"/>
        <w:jc w:val="both"/>
      </w:pPr>
      <w:r>
        <w:rPr>
          <w:color w:val="2C2C2A"/>
        </w:rPr>
        <w:t>O apoio regulatório é o pilar mais amplo</w:t>
      </w:r>
      <w:r w:rsidR="00875863">
        <w:rPr>
          <w:color w:val="2C2C2A"/>
        </w:rPr>
        <w:t xml:space="preserve"> e </w:t>
      </w:r>
      <w:r>
        <w:rPr>
          <w:color w:val="2C2C2A"/>
        </w:rPr>
        <w:t>onde vive a expertise jurídica propriamente dita. É o que o escritório faz quando o cliente está em conflito ativo com a ANEEL ou em risco jurídico concreto. Compõe-se de cinco linhas de serviço integradas.</w:t>
      </w:r>
    </w:p>
    <w:p w14:paraId="3B8CD531" w14:textId="77777777" w:rsidR="008B2037" w:rsidRDefault="00222726">
      <w:pPr>
        <w:pStyle w:val="Ttulo2"/>
      </w:pPr>
      <w:bookmarkStart w:id="37" w:name="_Toc227934656"/>
      <w:r>
        <w:rPr>
          <w:color w:val="26215C"/>
        </w:rPr>
        <w:t>9.1 Representação Judicial e Extrajudicial</w:t>
      </w:r>
      <w:bookmarkEnd w:id="37"/>
    </w:p>
    <w:p w14:paraId="3B8CD532" w14:textId="6B02CAE8" w:rsidR="008B2037" w:rsidRDefault="00222726">
      <w:pPr>
        <w:spacing w:after="120" w:line="270" w:lineRule="auto"/>
        <w:jc w:val="both"/>
      </w:pPr>
      <w:r>
        <w:rPr>
          <w:color w:val="2C2C2A"/>
        </w:rPr>
        <w:t>O trabalho extrajudicial é a maior parte da atuação: defesas escritas, ofícios técnicos, recursos administrativos e eventual comparecimento a audiências na ANEEL para processos abertos</w:t>
      </w:r>
      <w:r w:rsidR="00875863">
        <w:rPr>
          <w:color w:val="2C2C2A"/>
        </w:rPr>
        <w:t xml:space="preserve">: </w:t>
      </w:r>
      <w:r>
        <w:rPr>
          <w:color w:val="2C2C2A"/>
        </w:rPr>
        <w:t>autos de infração, penalidades, excludentes indeferidos. O diferencial está em conhecer o rito processual próprio da ANEEL, sua jurisprudência interna e o que a Diretoria valoriza numa defesa. A representação judicial entra quando os remédios administrativos se esgotam: mandado de segurança para suspender atos da ANEEL, ações anulatórias de multas e impugnações de caducidade, julgadas pela Justiça Federal.</w:t>
      </w:r>
    </w:p>
    <w:p w14:paraId="3B8CD533" w14:textId="77777777" w:rsidR="008B2037" w:rsidRDefault="00222726">
      <w:pPr>
        <w:pStyle w:val="Ttulo2"/>
      </w:pPr>
      <w:bookmarkStart w:id="38" w:name="_Toc227934657"/>
      <w:r>
        <w:rPr>
          <w:color w:val="26215C"/>
        </w:rPr>
        <w:t>9.2 Consultoria Regulatória</w:t>
      </w:r>
      <w:bookmarkEnd w:id="38"/>
    </w:p>
    <w:p w14:paraId="3B8CD534" w14:textId="77777777" w:rsidR="008B2037" w:rsidRDefault="00222726" w:rsidP="00875863">
      <w:pPr>
        <w:pStyle w:val="PargrafodaLista"/>
        <w:numPr>
          <w:ilvl w:val="0"/>
          <w:numId w:val="2"/>
        </w:numPr>
        <w:spacing w:line="260" w:lineRule="auto"/>
        <w:jc w:val="both"/>
      </w:pPr>
      <w:r>
        <w:rPr>
          <w:color w:val="2C2C2A"/>
        </w:rPr>
        <w:t>Interpretação de normas e resoluções: a ANEEL publica resoluções normativas com frequência. O escritório acompanha e traduz o impacto de cada mudança para o projeto do cliente.</w:t>
      </w:r>
    </w:p>
    <w:p w14:paraId="3B8CD535" w14:textId="66586659" w:rsidR="008B2037" w:rsidRDefault="00222726" w:rsidP="00875863">
      <w:pPr>
        <w:pStyle w:val="PargrafodaLista"/>
        <w:numPr>
          <w:ilvl w:val="0"/>
          <w:numId w:val="2"/>
        </w:numPr>
        <w:spacing w:line="260" w:lineRule="auto"/>
        <w:jc w:val="both"/>
      </w:pPr>
      <w:proofErr w:type="spellStart"/>
      <w:r w:rsidRPr="00875863">
        <w:rPr>
          <w:i/>
          <w:iCs/>
          <w:color w:val="2C2C2A"/>
        </w:rPr>
        <w:t>Due</w:t>
      </w:r>
      <w:proofErr w:type="spellEnd"/>
      <w:r w:rsidRPr="00875863">
        <w:rPr>
          <w:i/>
          <w:iCs/>
          <w:color w:val="2C2C2A"/>
        </w:rPr>
        <w:t xml:space="preserve"> </w:t>
      </w:r>
      <w:proofErr w:type="spellStart"/>
      <w:r w:rsidRPr="00875863">
        <w:rPr>
          <w:i/>
          <w:iCs/>
          <w:color w:val="2C2C2A"/>
        </w:rPr>
        <w:t>diligence</w:t>
      </w:r>
      <w:proofErr w:type="spellEnd"/>
      <w:r>
        <w:rPr>
          <w:color w:val="2C2C2A"/>
        </w:rPr>
        <w:t xml:space="preserve"> regulatória: para processos de M&amp;A, é a fotografia completa do passivo regulatório</w:t>
      </w:r>
      <w:r w:rsidR="00875863">
        <w:rPr>
          <w:color w:val="2C2C2A"/>
        </w:rPr>
        <w:t>:</w:t>
      </w:r>
      <w:r>
        <w:rPr>
          <w:color w:val="2C2C2A"/>
        </w:rPr>
        <w:t xml:space="preserve"> processos abertos, status de cronograma, consistência das declarações RAPEEL, situação do licenciamento.</w:t>
      </w:r>
    </w:p>
    <w:p w14:paraId="3B8CD536" w14:textId="77777777" w:rsidR="008B2037" w:rsidRDefault="00222726" w:rsidP="00875863">
      <w:pPr>
        <w:pStyle w:val="PargrafodaLista"/>
        <w:numPr>
          <w:ilvl w:val="0"/>
          <w:numId w:val="2"/>
        </w:numPr>
        <w:spacing w:line="260" w:lineRule="auto"/>
        <w:jc w:val="both"/>
      </w:pPr>
      <w:r>
        <w:rPr>
          <w:color w:val="2C2C2A"/>
        </w:rPr>
        <w:t>Mapeamento de risco prospectivo: olhar os próximos 6 a 12 meses e identificar onde estão os marcos em risco, qual a consequência de um atraso e se há causa excludente potencial.</w:t>
      </w:r>
    </w:p>
    <w:p w14:paraId="3B8CD537" w14:textId="77777777" w:rsidR="008B2037" w:rsidRDefault="00222726">
      <w:pPr>
        <w:pStyle w:val="Ttulo2"/>
      </w:pPr>
      <w:bookmarkStart w:id="39" w:name="_Toc227934658"/>
      <w:r>
        <w:rPr>
          <w:color w:val="26215C"/>
        </w:rPr>
        <w:t>9.3 Atuação junto à ANEEL</w:t>
      </w:r>
      <w:bookmarkEnd w:id="39"/>
    </w:p>
    <w:p w14:paraId="3B8CD538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regulador é um interlocutor ativo e a qualidade do relacionamento tem impacto real nos resultados. Isso inclui: pleitos de reconhecimento de marcos formalmente registrados, solicitação de esclarecimentos quando a ANEEL reclassifica a viabilidade sem que o empreendedor entenda o motivo, e reuniões técnicas proativas com a SFG em projetos com atraso relevante.</w:t>
      </w:r>
    </w:p>
    <w:p w14:paraId="3B8CD539" w14:textId="77777777" w:rsidR="008B2037" w:rsidRDefault="00222726">
      <w:pPr>
        <w:pStyle w:val="Ttulo2"/>
      </w:pPr>
      <w:bookmarkStart w:id="40" w:name="_Toc227934659"/>
      <w:r>
        <w:rPr>
          <w:color w:val="26215C"/>
        </w:rPr>
        <w:t>9.4 Defesa em Processos de Penalidades</w:t>
      </w:r>
      <w:bookmarkEnd w:id="40"/>
    </w:p>
    <w:p w14:paraId="3B8CD53A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8061"/>
      </w:tblGrid>
      <w:tr w:rsidR="008B2037" w14:paraId="3B8CD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3B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3C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Característica e conteúdo da defesa</w:t>
            </w:r>
          </w:p>
        </w:tc>
      </w:tr>
      <w:tr w:rsidR="008B2037" w14:paraId="3B8CD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3E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Defesa prévia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3F" w14:textId="77777777" w:rsidR="008B2037" w:rsidRDefault="00222726" w:rsidP="00376980">
            <w:pPr>
              <w:jc w:val="both"/>
            </w:pPr>
            <w:r>
              <w:rPr>
                <w:color w:val="2C2C2A"/>
                <w:sz w:val="20"/>
                <w:szCs w:val="20"/>
              </w:rPr>
              <w:t>Apresentada antes da decisão de primeira instância. Maior potencial de influência. Inclui: contestação dos fatos, apresentação de causa excludente, argumentos de proporcionalidade e razoabilidade, histórico de conformidade como atenuante, e argumentos sobre a legalidade do ato punitivo.</w:t>
            </w:r>
          </w:p>
        </w:tc>
      </w:tr>
      <w:tr w:rsidR="008B2037" w14:paraId="3B8CD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41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Recurso à Diretoria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42" w14:textId="77777777" w:rsidR="008B2037" w:rsidRDefault="00222726" w:rsidP="00376980">
            <w:pPr>
              <w:jc w:val="both"/>
            </w:pPr>
            <w:r>
              <w:rPr>
                <w:color w:val="2C2C2A"/>
                <w:sz w:val="20"/>
                <w:szCs w:val="20"/>
              </w:rPr>
              <w:t>Quando a decisão de primeira instância é desfavorável. Julgado em sessão pública com possibilidade de sustentação oral perante os diretores. A Diretoria pode manter, reduzir ou cancelar a penalidade.</w:t>
            </w:r>
          </w:p>
        </w:tc>
      </w:tr>
    </w:tbl>
    <w:p w14:paraId="3B8CD544" w14:textId="77777777" w:rsidR="008B2037" w:rsidRDefault="00222726">
      <w:pPr>
        <w:pStyle w:val="Ttulo2"/>
      </w:pPr>
      <w:bookmarkStart w:id="41" w:name="_Toc227934660"/>
      <w:r>
        <w:rPr>
          <w:color w:val="26215C"/>
        </w:rPr>
        <w:t>9.5 Suporte em Processos de Excludente</w:t>
      </w:r>
      <w:bookmarkEnd w:id="41"/>
    </w:p>
    <w:p w14:paraId="3B8CD545" w14:textId="30E32505" w:rsidR="008B2037" w:rsidRDefault="00222726">
      <w:pPr>
        <w:spacing w:after="120" w:line="270" w:lineRule="auto"/>
        <w:jc w:val="both"/>
      </w:pPr>
      <w:r>
        <w:rPr>
          <w:color w:val="2C2C2A"/>
        </w:rPr>
        <w:t>O excludente não é serviço isolado</w:t>
      </w:r>
      <w:r w:rsidR="00376980">
        <w:rPr>
          <w:color w:val="2C2C2A"/>
        </w:rPr>
        <w:t>,</w:t>
      </w:r>
      <w:r>
        <w:rPr>
          <w:color w:val="2C2C2A"/>
        </w:rPr>
        <w:t xml:space="preserve"> é parte do ecossistema de apoio regulatório. O escritório que faz a conformidade mensal já está construindo o dossiê do excludente mês a mês. Quando o evento ocorre, 60% do trabalho já está feito</w:t>
      </w:r>
      <w:r w:rsidR="00376980">
        <w:rPr>
          <w:color w:val="2C2C2A"/>
        </w:rPr>
        <w:t>,</w:t>
      </w:r>
      <w:r>
        <w:rPr>
          <w:color w:val="2C2C2A"/>
        </w:rPr>
        <w:t xml:space="preserve"> acelerando dramaticamente o processo e aumentando as chances de êxito.</w:t>
      </w:r>
    </w:p>
    <w:p w14:paraId="3B8CD546" w14:textId="77777777" w:rsidR="008B2037" w:rsidRDefault="008B2037">
      <w:pPr>
        <w:spacing w:after="200"/>
      </w:pPr>
    </w:p>
    <w:p w14:paraId="3B8CD547" w14:textId="77777777" w:rsidR="008B2037" w:rsidRDefault="00222726">
      <w:r>
        <w:br w:type="page"/>
      </w:r>
    </w:p>
    <w:p w14:paraId="3B8CD548" w14:textId="4AC22291" w:rsidR="008B2037" w:rsidRDefault="00222726" w:rsidP="0083780C">
      <w:pPr>
        <w:pStyle w:val="Ttulo1"/>
        <w:pBdr>
          <w:bottom w:val="single" w:sz="6" w:space="4" w:color="1D9E75"/>
        </w:pBdr>
        <w:tabs>
          <w:tab w:val="left" w:pos="5907"/>
        </w:tabs>
      </w:pPr>
      <w:bookmarkStart w:id="42" w:name="_Toc227934661"/>
      <w:r>
        <w:rPr>
          <w:color w:val="534AB7"/>
        </w:rPr>
        <w:lastRenderedPageBreak/>
        <w:t>10. Assessoria Estratégica</w:t>
      </w:r>
      <w:bookmarkEnd w:id="42"/>
      <w:r w:rsidR="0083780C">
        <w:rPr>
          <w:color w:val="534AB7"/>
        </w:rPr>
        <w:tab/>
      </w:r>
    </w:p>
    <w:p w14:paraId="3B8CD549" w14:textId="77777777" w:rsidR="008B2037" w:rsidRDefault="00222726">
      <w:pPr>
        <w:spacing w:after="120" w:line="270" w:lineRule="auto"/>
        <w:jc w:val="both"/>
      </w:pPr>
      <w:r>
        <w:rPr>
          <w:color w:val="2C2C2A"/>
        </w:rPr>
        <w:t>O pilar mais sofisticado e de maior ticket. Transforma o escritório de prestador jurídico-regulatório em parceiro estratégico do negócio. Opera numa camada anterior: as decisões que determinam se o projeto vai ter condições de ser viabilizado financeira e economicamente.</w:t>
      </w:r>
    </w:p>
    <w:p w14:paraId="3B8CD54A" w14:textId="77777777" w:rsidR="008B2037" w:rsidRDefault="00222726">
      <w:pPr>
        <w:pStyle w:val="Ttulo2"/>
      </w:pPr>
      <w:bookmarkStart w:id="43" w:name="_Toc227934662"/>
      <w:r>
        <w:rPr>
          <w:color w:val="26215C"/>
        </w:rPr>
        <w:t>10.1 Apoio junto a Instituições Financiadoras</w:t>
      </w:r>
      <w:bookmarkEnd w:id="43"/>
    </w:p>
    <w:p w14:paraId="3B8CD54B" w14:textId="1DB6E935" w:rsidR="008B2037" w:rsidRDefault="00222726">
      <w:pPr>
        <w:spacing w:after="120" w:line="270" w:lineRule="auto"/>
        <w:jc w:val="both"/>
      </w:pPr>
      <w:r>
        <w:rPr>
          <w:color w:val="2C2C2A"/>
        </w:rPr>
        <w:t>Praticamente todo empreendimento no Brasil é financiado com dívida de longo prazo</w:t>
      </w:r>
      <w:r w:rsidR="002D3E68">
        <w:rPr>
          <w:color w:val="2C2C2A"/>
        </w:rPr>
        <w:t xml:space="preserve">: </w:t>
      </w:r>
      <w:r>
        <w:rPr>
          <w:color w:val="2C2C2A"/>
        </w:rPr>
        <w:t>BNDES, bancos multilaterais (BID, IFC), bancos comerciais ou fundos de infraestrutura. A relação dívida/capital próprio pode chegar a 70% ou mais. O financiador tem exigências próprias, muitas vezes mais rigorosas do que as da própria ANEEL, e o nível de regularidade regulatória do projeto determina se os desembolsos serão liberados ou não.</w:t>
      </w:r>
    </w:p>
    <w:p w14:paraId="3B8CD54C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7133"/>
      </w:tblGrid>
      <w:tr w:rsidR="008B2037" w14:paraId="3B8CD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4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4E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B2037" w14:paraId="3B8CD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0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 xml:space="preserve">Dossiê regulatório para </w:t>
            </w:r>
            <w:r w:rsidRPr="002D3E68">
              <w:rPr>
                <w:b/>
                <w:bCs/>
                <w:i/>
                <w:iCs/>
                <w:color w:val="26215C"/>
                <w:sz w:val="20"/>
                <w:szCs w:val="20"/>
              </w:rPr>
              <w:t>financial close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1" w14:textId="77777777" w:rsidR="008B2037" w:rsidRPr="002D3E68" w:rsidRDefault="00222726" w:rsidP="002D3E68">
            <w:pPr>
              <w:jc w:val="both"/>
            </w:pPr>
            <w:r w:rsidRPr="002D3E68">
              <w:rPr>
                <w:color w:val="2C2C2A"/>
                <w:sz w:val="20"/>
                <w:szCs w:val="20"/>
              </w:rPr>
              <w:t>Relatório demonstrando regularidade completa: outorga válida, licença vigente, CUST/CUSD assinado, RAPEEL em dia, sem processos abertos. Quando há irregularidades, define o plano para regularizar antes do fechamento.</w:t>
            </w:r>
          </w:p>
        </w:tc>
      </w:tr>
      <w:tr w:rsidR="008B2037" w14:paraId="3B8CD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3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Condições suspensivas regulatórias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4" w14:textId="4671681D" w:rsidR="008B2037" w:rsidRPr="002D3E68" w:rsidRDefault="00222726" w:rsidP="002D3E68">
            <w:pPr>
              <w:jc w:val="both"/>
            </w:pPr>
            <w:r w:rsidRPr="002D3E68">
              <w:rPr>
                <w:color w:val="2C2C2A"/>
                <w:sz w:val="20"/>
                <w:szCs w:val="20"/>
              </w:rPr>
              <w:t>Monitoramento das condições que o banco exige para</w:t>
            </w:r>
            <w:r w:rsidRPr="002D3E68">
              <w:rPr>
                <w:color w:val="2C2C2A"/>
                <w:sz w:val="20"/>
                <w:szCs w:val="20"/>
              </w:rPr>
              <w:t xml:space="preserve"> liberar</w:t>
            </w:r>
            <w:r w:rsidRPr="002D3E68">
              <w:rPr>
                <w:color w:val="2C2C2A"/>
                <w:sz w:val="20"/>
                <w:szCs w:val="20"/>
              </w:rPr>
              <w:t xml:space="preserve"> desembolsos</w:t>
            </w:r>
            <w:r w:rsidR="00586833">
              <w:rPr>
                <w:color w:val="2C2C2A"/>
                <w:sz w:val="20"/>
                <w:szCs w:val="20"/>
              </w:rPr>
              <w:t>:</w:t>
            </w:r>
            <w:r w:rsidRPr="002D3E68">
              <w:rPr>
                <w:color w:val="2C2C2A"/>
                <w:sz w:val="20"/>
                <w:szCs w:val="20"/>
              </w:rPr>
              <w:t xml:space="preserve"> manutenção da outorga, renovação de licenças, cumprimento do cronograma. Alerta quando há risco de travar um desembolso.</w:t>
            </w:r>
          </w:p>
        </w:tc>
      </w:tr>
      <w:tr w:rsidR="008B2037" w14:paraId="3B8CD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6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Interlocução com o banco durante a obra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7" w14:textId="77777777" w:rsidR="008B2037" w:rsidRPr="002D3E68" w:rsidRDefault="00222726" w:rsidP="002D3E68">
            <w:pPr>
              <w:jc w:val="both"/>
            </w:pPr>
            <w:r w:rsidRPr="002D3E68">
              <w:rPr>
                <w:color w:val="2C2C2A"/>
                <w:sz w:val="20"/>
                <w:szCs w:val="20"/>
              </w:rPr>
              <w:t>Quando o projeto enfrenta problema regulatório, prepara relatório técnico que explica, contextualiza e apresenta o plano de resolução. A diferença entre o banco que suspende desembolsos e o banco que acompanha tranquilamente.</w:t>
            </w:r>
          </w:p>
        </w:tc>
      </w:tr>
      <w:tr w:rsidR="008B2037" w14:paraId="3B8CD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9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Financiamentos estruturados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A" w14:textId="77777777" w:rsidR="008B2037" w:rsidRPr="002D3E68" w:rsidRDefault="00222726" w:rsidP="002D3E68">
            <w:pPr>
              <w:jc w:val="both"/>
            </w:pPr>
            <w:r w:rsidRPr="002D3E68">
              <w:rPr>
                <w:color w:val="2C2C2A"/>
                <w:sz w:val="20"/>
                <w:szCs w:val="20"/>
              </w:rPr>
              <w:t xml:space="preserve">Em </w:t>
            </w:r>
            <w:proofErr w:type="spellStart"/>
            <w:r w:rsidRPr="002D3E68">
              <w:rPr>
                <w:i/>
                <w:iCs/>
                <w:color w:val="2C2C2A"/>
                <w:sz w:val="20"/>
                <w:szCs w:val="20"/>
              </w:rPr>
              <w:t>project</w:t>
            </w:r>
            <w:proofErr w:type="spellEnd"/>
            <w:r w:rsidRPr="002D3E68">
              <w:rPr>
                <w:i/>
                <w:iCs/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2D3E68">
              <w:rPr>
                <w:i/>
                <w:iCs/>
                <w:color w:val="2C2C2A"/>
                <w:sz w:val="20"/>
                <w:szCs w:val="20"/>
              </w:rPr>
              <w:t>finance</w:t>
            </w:r>
            <w:proofErr w:type="spellEnd"/>
            <w:r w:rsidRPr="002D3E68">
              <w:rPr>
                <w:color w:val="2C2C2A"/>
                <w:sz w:val="20"/>
                <w:szCs w:val="20"/>
              </w:rPr>
              <w:t>, o fluxo de caixa do projeto é a garantia do empréstimo. A robustez regulatória é elemento central da análise de crédito. O escritório participa ativamente das discussões sobre riscos regulatórios e suas mitigações.</w:t>
            </w:r>
          </w:p>
        </w:tc>
      </w:tr>
    </w:tbl>
    <w:p w14:paraId="3B8CD55C" w14:textId="77777777" w:rsidR="008B2037" w:rsidRDefault="00222726">
      <w:pPr>
        <w:pStyle w:val="Ttulo2"/>
      </w:pPr>
      <w:bookmarkStart w:id="44" w:name="_Toc227934663"/>
      <w:r>
        <w:rPr>
          <w:color w:val="26215C"/>
        </w:rPr>
        <w:t>10.2 Assessoria para Obtenção de Incentivos Fiscais</w:t>
      </w:r>
      <w:bookmarkEnd w:id="44"/>
    </w:p>
    <w:p w14:paraId="3B8CD55D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4711"/>
        <w:gridCol w:w="3427"/>
      </w:tblGrid>
      <w:tr w:rsidR="008B2037" w14:paraId="3B8CD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E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Incentivo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5F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0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Condição principal</w:t>
            </w:r>
          </w:p>
        </w:tc>
      </w:tr>
      <w:tr w:rsidR="008B2037" w14:paraId="3B8CD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2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SUDENE / SUDAM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3" w14:textId="77777777" w:rsidR="008B2037" w:rsidRDefault="00222726" w:rsidP="007D6B73">
            <w:pPr>
              <w:jc w:val="both"/>
            </w:pPr>
            <w:r>
              <w:rPr>
                <w:color w:val="2C2C2A"/>
                <w:sz w:val="20"/>
                <w:szCs w:val="20"/>
              </w:rPr>
              <w:t>Redução de 75% do IRPJ sobre o lucro da exploração por até 10 anos. Para uma usina gerando receita expressiva, pode representar dezenas de milhões.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4" w14:textId="77777777" w:rsidR="008B2037" w:rsidRDefault="00222726">
            <w:r>
              <w:rPr>
                <w:color w:val="2C2C2A"/>
                <w:sz w:val="20"/>
                <w:szCs w:val="20"/>
              </w:rPr>
              <w:t>Habilitação formal + acompanhamento periódico de manutenção do benefício.</w:t>
            </w:r>
          </w:p>
        </w:tc>
      </w:tr>
      <w:tr w:rsidR="008B2037" w14:paraId="3B8CD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6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REIDI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7" w14:textId="77777777" w:rsidR="008B2037" w:rsidRDefault="00222726" w:rsidP="007D6B73">
            <w:pPr>
              <w:jc w:val="both"/>
            </w:pPr>
            <w:r>
              <w:rPr>
                <w:color w:val="2C2C2A"/>
                <w:sz w:val="20"/>
                <w:szCs w:val="20"/>
              </w:rPr>
              <w:t>Suspensão de PIS e COFINS na aquisição de máquinas e equipamentos. Para usinas com equipamentos de centenas de milhões, gera economia expressiva de caixa.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8" w14:textId="77777777" w:rsidR="008B2037" w:rsidRDefault="00222726">
            <w:r>
              <w:rPr>
                <w:color w:val="2C2C2A"/>
                <w:sz w:val="20"/>
                <w:szCs w:val="20"/>
              </w:rPr>
              <w:t>Aprovação pelo Ministério + controle rigoroso de notas fiscais e destinação dos equipamentos.</w:t>
            </w:r>
          </w:p>
        </w:tc>
      </w:tr>
      <w:tr w:rsidR="008B2037" w14:paraId="3B8CD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A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Isenção de ICMS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B" w14:textId="77777777" w:rsidR="008B2037" w:rsidRDefault="00222726" w:rsidP="007D6B73">
            <w:pPr>
              <w:jc w:val="both"/>
            </w:pPr>
            <w:r>
              <w:rPr>
                <w:color w:val="2C2C2A"/>
                <w:sz w:val="20"/>
                <w:szCs w:val="20"/>
              </w:rPr>
              <w:t>Maioria dos estados isenta ou reduz ICMS em equipamentos de geração renovável. Condições variam por estado e tipo de equipamento.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C" w14:textId="77777777" w:rsidR="008B2037" w:rsidRDefault="00222726">
            <w:r>
              <w:rPr>
                <w:color w:val="2C2C2A"/>
                <w:sz w:val="20"/>
                <w:szCs w:val="20"/>
              </w:rPr>
              <w:t>Análise da legislação estadual específica + estruturação correta das notas fiscais.</w:t>
            </w:r>
          </w:p>
        </w:tc>
      </w:tr>
      <w:tr w:rsidR="008B2037" w14:paraId="3B8CD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E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Isenção II / IPI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6F" w14:textId="77777777" w:rsidR="008B2037" w:rsidRDefault="00222726" w:rsidP="007D6B73">
            <w:pPr>
              <w:jc w:val="both"/>
            </w:pPr>
            <w:r>
              <w:rPr>
                <w:color w:val="2C2C2A"/>
                <w:sz w:val="20"/>
                <w:szCs w:val="20"/>
              </w:rPr>
              <w:t>Equipamentos de geração renovável sem similar nacional podem ter isenção ou redução do Imposto de Importação e IPI.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70" w14:textId="77777777" w:rsidR="008B2037" w:rsidRDefault="00222726">
            <w:r>
              <w:rPr>
                <w:color w:val="2C2C2A"/>
                <w:sz w:val="20"/>
                <w:szCs w:val="20"/>
              </w:rPr>
              <w:t>Processo junto à CAMEX + comprovação de ausência de similar nacional.</w:t>
            </w:r>
          </w:p>
        </w:tc>
      </w:tr>
    </w:tbl>
    <w:p w14:paraId="3B8CD572" w14:textId="77777777" w:rsidR="008B2037" w:rsidRDefault="008B2037">
      <w:pPr>
        <w:spacing w:after="10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66"/>
      </w:tblGrid>
      <w:tr w:rsidR="008B2037" w14:paraId="3B8CD575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</w:tcPr>
          <w:p w14:paraId="3B8CD573" w14:textId="77777777" w:rsidR="008B2037" w:rsidRDefault="008B2037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8CD574" w14:textId="0DDC2220" w:rsidR="008B2037" w:rsidRDefault="00222726">
            <w:pPr>
              <w:spacing w:line="265" w:lineRule="auto"/>
              <w:jc w:val="both"/>
            </w:pPr>
            <w:r>
              <w:rPr>
                <w:color w:val="085041"/>
                <w:sz w:val="20"/>
                <w:szCs w:val="20"/>
              </w:rPr>
              <w:t>ARGUMENTO COMERCIAL: A assessoria estratégica vende captura de valor</w:t>
            </w:r>
            <w:r w:rsidR="007D6B73">
              <w:rPr>
                <w:color w:val="085041"/>
                <w:sz w:val="20"/>
                <w:szCs w:val="20"/>
              </w:rPr>
              <w:t>,</w:t>
            </w:r>
            <w:r>
              <w:rPr>
                <w:color w:val="085041"/>
                <w:sz w:val="20"/>
                <w:szCs w:val="20"/>
              </w:rPr>
              <w:t xml:space="preserve"> não apenas prevenção de perda. Para um parque solar de 100 MW no Nordeste com investimento de R$ 400 milhões, a combinação SUDENE + REIDI + </w:t>
            </w:r>
            <w:proofErr w:type="gramStart"/>
            <w:r>
              <w:rPr>
                <w:color w:val="085041"/>
                <w:sz w:val="20"/>
                <w:szCs w:val="20"/>
              </w:rPr>
              <w:t>isenções estaduais pode</w:t>
            </w:r>
            <w:proofErr w:type="gramEnd"/>
            <w:r>
              <w:rPr>
                <w:color w:val="085041"/>
                <w:sz w:val="20"/>
                <w:szCs w:val="20"/>
              </w:rPr>
              <w:t xml:space="preserve"> representar R$ 30–50 milhões em benefícios ao longo da vida do projeto. O custo da assessoria que obtém e mantém esses benefícios é uma fração disso.</w:t>
            </w:r>
          </w:p>
        </w:tc>
      </w:tr>
    </w:tbl>
    <w:p w14:paraId="3B8CD576" w14:textId="77777777" w:rsidR="008B2037" w:rsidRDefault="008B2037">
      <w:pPr>
        <w:spacing w:after="200"/>
      </w:pPr>
    </w:p>
    <w:p w14:paraId="3B8CD577" w14:textId="77777777" w:rsidR="008B2037" w:rsidRDefault="00222726">
      <w:r>
        <w:br w:type="page"/>
      </w:r>
    </w:p>
    <w:p w14:paraId="3B8CD578" w14:textId="77777777" w:rsidR="008B2037" w:rsidRDefault="00222726">
      <w:pPr>
        <w:pStyle w:val="Ttulo1"/>
        <w:pBdr>
          <w:bottom w:val="single" w:sz="6" w:space="4" w:color="1D9E75"/>
        </w:pBdr>
      </w:pPr>
      <w:bookmarkStart w:id="45" w:name="_Toc227934664"/>
      <w:r>
        <w:rPr>
          <w:color w:val="534AB7"/>
        </w:rPr>
        <w:lastRenderedPageBreak/>
        <w:t>11. O RALIE como Ferramenta de Prospecção</w:t>
      </w:r>
      <w:bookmarkEnd w:id="45"/>
    </w:p>
    <w:p w14:paraId="733B4DF4" w14:textId="2A769A90" w:rsidR="00B42107" w:rsidRDefault="00222726">
      <w:pPr>
        <w:spacing w:after="120" w:line="270" w:lineRule="auto"/>
        <w:jc w:val="both"/>
        <w:rPr>
          <w:color w:val="2C2C2A"/>
        </w:rPr>
      </w:pPr>
      <w:r>
        <w:rPr>
          <w:color w:val="2C2C2A"/>
        </w:rPr>
        <w:t>O RALIE (Relatório de Acompanhamento da Expansão da Oferta de Geração de Energia Elétrica) é o painel público da ANEEL que lista todos os empreendimentos em implantação no Brasil, atualizado até o dia 15 de cada mês. Foi criado para fiscalização</w:t>
      </w:r>
      <w:r w:rsidR="003E61C3">
        <w:rPr>
          <w:color w:val="2C2C2A"/>
        </w:rPr>
        <w:t>,</w:t>
      </w:r>
      <w:r>
        <w:rPr>
          <w:color w:val="2C2C2A"/>
        </w:rPr>
        <w:t xml:space="preserve"> mas revela exatamente onde estão os problemas. E problemas são o nosso mercado. </w:t>
      </w:r>
    </w:p>
    <w:p w14:paraId="3B8CD579" w14:textId="66641E55" w:rsidR="008B2037" w:rsidRPr="003E61C3" w:rsidRDefault="003E61C3">
      <w:pPr>
        <w:spacing w:after="120" w:line="270" w:lineRule="auto"/>
        <w:jc w:val="both"/>
        <w:rPr>
          <w:sz w:val="18"/>
          <w:szCs w:val="18"/>
        </w:rPr>
      </w:pPr>
      <w:r>
        <w:rPr>
          <w:color w:val="2C2C2A"/>
          <w:sz w:val="18"/>
          <w:szCs w:val="18"/>
        </w:rPr>
        <w:t>*</w:t>
      </w:r>
      <w:r w:rsidR="00222726" w:rsidRPr="003E61C3">
        <w:rPr>
          <w:color w:val="2C2C2A"/>
          <w:sz w:val="18"/>
          <w:szCs w:val="18"/>
        </w:rPr>
        <w:t>Acesso: portalrelatorios.aneel.gov.br/</w:t>
      </w:r>
      <w:proofErr w:type="spellStart"/>
      <w:r w:rsidR="00222726" w:rsidRPr="003E61C3">
        <w:rPr>
          <w:color w:val="2C2C2A"/>
          <w:sz w:val="18"/>
          <w:szCs w:val="18"/>
        </w:rPr>
        <w:t>Ralie</w:t>
      </w:r>
      <w:proofErr w:type="spellEnd"/>
      <w:r w:rsidR="00222726" w:rsidRPr="003E61C3">
        <w:rPr>
          <w:color w:val="2C2C2A"/>
          <w:sz w:val="18"/>
          <w:szCs w:val="18"/>
        </w:rPr>
        <w:t>. Base CSV: dadosabertos.aneel.gov.br (histórico desde junho de 2021).</w:t>
      </w:r>
    </w:p>
    <w:p w14:paraId="3B8CD57A" w14:textId="77777777" w:rsidR="008B2037" w:rsidRDefault="00222726">
      <w:pPr>
        <w:pStyle w:val="Ttulo2"/>
      </w:pPr>
      <w:bookmarkStart w:id="46" w:name="_Toc227934665"/>
      <w:r>
        <w:rPr>
          <w:color w:val="26215C"/>
        </w:rPr>
        <w:t>11.1 Os Dois Indicadores-Chave de Qualificação de Lead</w:t>
      </w:r>
      <w:bookmarkEnd w:id="46"/>
    </w:p>
    <w:p w14:paraId="3B8CD57B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5"/>
        <w:gridCol w:w="4651"/>
      </w:tblGrid>
      <w:tr w:rsidR="008B2037" w14:paraId="3B8CD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7C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Indicador 1 — Situação da Obra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7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Indicador 2 — Viabilidade da Implantação</w:t>
            </w:r>
          </w:p>
        </w:tc>
      </w:tr>
      <w:tr w:rsidR="008B2037" w14:paraId="3B8CD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7F" w14:textId="77777777" w:rsidR="008B2037" w:rsidRDefault="00222726">
            <w:pPr>
              <w:spacing w:after="60"/>
            </w:pPr>
            <w:r>
              <w:rPr>
                <w:b/>
                <w:bCs/>
                <w:color w:val="BA7517"/>
              </w:rPr>
              <w:t xml:space="preserve">Não iniciada: </w:t>
            </w:r>
            <w:r>
              <w:rPr>
                <w:color w:val="2C2C2A"/>
                <w:sz w:val="20"/>
                <w:szCs w:val="20"/>
              </w:rPr>
              <w:t>Outorga emitida, obras não começaram. Risco silencioso acumulando.</w:t>
            </w:r>
          </w:p>
          <w:p w14:paraId="3B8CD580" w14:textId="77777777" w:rsidR="008B2037" w:rsidRDefault="00222726">
            <w:pPr>
              <w:spacing w:after="60"/>
            </w:pPr>
            <w:r>
              <w:rPr>
                <w:b/>
                <w:bCs/>
                <w:color w:val="1D9E75"/>
              </w:rPr>
              <w:t xml:space="preserve">Em andamento: </w:t>
            </w:r>
            <w:r>
              <w:rPr>
                <w:color w:val="2C2C2A"/>
                <w:sz w:val="20"/>
                <w:szCs w:val="20"/>
              </w:rPr>
              <w:t>Obras em curso. Não significa no prazo — avaliar o desvio do cronograma.</w:t>
            </w:r>
          </w:p>
          <w:p w14:paraId="3B8CD581" w14:textId="2A14AFD4" w:rsidR="008B2037" w:rsidRDefault="00222726">
            <w:pPr>
              <w:spacing w:after="60"/>
            </w:pPr>
            <w:r>
              <w:rPr>
                <w:b/>
                <w:bCs/>
                <w:color w:val="D85A30"/>
              </w:rPr>
              <w:t xml:space="preserve">Paralisada: </w:t>
            </w:r>
            <w:r>
              <w:rPr>
                <w:b/>
                <w:bCs/>
                <w:color w:val="D85A30"/>
                <w:sz w:val="20"/>
                <w:szCs w:val="20"/>
              </w:rPr>
              <w:t>LEAD URGENTE. Sem previsão de operação. Risco máximo de cass</w:t>
            </w:r>
            <w:r w:rsidR="003E61C3">
              <w:rPr>
                <w:b/>
                <w:bCs/>
                <w:color w:val="D85A30"/>
                <w:sz w:val="20"/>
                <w:szCs w:val="20"/>
              </w:rPr>
              <w:t>aç</w:t>
            </w:r>
            <w:r>
              <w:rPr>
                <w:b/>
                <w:bCs/>
                <w:color w:val="D85A30"/>
                <w:sz w:val="20"/>
                <w:szCs w:val="20"/>
              </w:rPr>
              <w:t>ão.</w:t>
            </w:r>
          </w:p>
          <w:p w14:paraId="3B8CD582" w14:textId="77777777" w:rsidR="008B2037" w:rsidRDefault="00222726">
            <w:r>
              <w:rPr>
                <w:b/>
                <w:bCs/>
                <w:color w:val="5F5E5A"/>
              </w:rPr>
              <w:t xml:space="preserve">Concluída: </w:t>
            </w:r>
            <w:r>
              <w:rPr>
                <w:color w:val="5F5E5A"/>
                <w:sz w:val="20"/>
                <w:szCs w:val="20"/>
              </w:rPr>
              <w:t>Aguardando operação. Apoio de desbloqueio documental.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83" w14:textId="77777777" w:rsidR="008B2037" w:rsidRDefault="00222726">
            <w:pPr>
              <w:spacing w:after="60"/>
            </w:pPr>
            <w:r>
              <w:rPr>
                <w:b/>
                <w:bCs/>
                <w:color w:val="1D9E75"/>
              </w:rPr>
              <w:t xml:space="preserve">Alta: </w:t>
            </w:r>
            <w:r>
              <w:rPr>
                <w:color w:val="2C2C2A"/>
                <w:sz w:val="20"/>
                <w:szCs w:val="20"/>
              </w:rPr>
              <w:t>LI vigente + obras em andamento. Prospecção preventiva de conformidade.</w:t>
            </w:r>
          </w:p>
          <w:p w14:paraId="3B8CD584" w14:textId="77777777" w:rsidR="008B2037" w:rsidRDefault="00222726">
            <w:pPr>
              <w:spacing w:after="60"/>
            </w:pPr>
            <w:r>
              <w:rPr>
                <w:b/>
                <w:bCs/>
                <w:color w:val="BA7517"/>
              </w:rPr>
              <w:t xml:space="preserve">Média: </w:t>
            </w:r>
            <w:r>
              <w:rPr>
                <w:color w:val="2C2C2A"/>
                <w:sz w:val="20"/>
                <w:szCs w:val="20"/>
              </w:rPr>
              <w:t>Obras paradas ou sem LI. Risco crescente — conversa de prevenção.</w:t>
            </w:r>
          </w:p>
          <w:p w14:paraId="3B8CD585" w14:textId="77777777" w:rsidR="008B2037" w:rsidRDefault="00222726">
            <w:pPr>
              <w:spacing w:after="60"/>
            </w:pPr>
            <w:r>
              <w:rPr>
                <w:b/>
                <w:bCs/>
                <w:color w:val="D85A30"/>
              </w:rPr>
              <w:t xml:space="preserve">Baixa: </w:t>
            </w:r>
            <w:r>
              <w:rPr>
                <w:b/>
                <w:bCs/>
                <w:color w:val="D85A30"/>
                <w:sz w:val="20"/>
                <w:szCs w:val="20"/>
              </w:rPr>
              <w:t>LEAD QUENTE. Suspensão de licença, processo de revogação, obras paralisadas.</w:t>
            </w:r>
          </w:p>
          <w:p w14:paraId="3B8CD586" w14:textId="77777777" w:rsidR="008B2037" w:rsidRDefault="00222726">
            <w:r>
              <w:rPr>
                <w:b/>
                <w:bCs/>
                <w:color w:val="5F5E5A"/>
                <w:sz w:val="17"/>
                <w:szCs w:val="17"/>
              </w:rPr>
              <w:t xml:space="preserve">NOTA: </w:t>
            </w:r>
            <w:r>
              <w:rPr>
                <w:i/>
                <w:iCs/>
                <w:color w:val="5F5E5A"/>
                <w:sz w:val="17"/>
                <w:szCs w:val="17"/>
              </w:rPr>
              <w:t>A viabilidade é julgamento prospectivo da ANEEL, independe do cronograma.</w:t>
            </w:r>
          </w:p>
        </w:tc>
      </w:tr>
    </w:tbl>
    <w:p w14:paraId="3B8CD588" w14:textId="77777777" w:rsidR="008B2037" w:rsidRDefault="00222726">
      <w:pPr>
        <w:pStyle w:val="Ttulo2"/>
      </w:pPr>
      <w:bookmarkStart w:id="47" w:name="_Toc227934666"/>
      <w:r>
        <w:rPr>
          <w:color w:val="26215C"/>
        </w:rPr>
        <w:t>11.2 Score de Risco para Priorização de Leads</w:t>
      </w:r>
      <w:bookmarkEnd w:id="47"/>
    </w:p>
    <w:p w14:paraId="3B8CD589" w14:textId="77777777" w:rsidR="008B2037" w:rsidRDefault="00222726">
      <w:pPr>
        <w:spacing w:before="140" w:after="140"/>
        <w:jc w:val="center"/>
      </w:pPr>
      <w:r>
        <w:rPr>
          <w:noProof/>
        </w:rPr>
        <w:drawing>
          <wp:inline distT="0" distB="0" distL="0" distR="0" wp14:anchorId="3B8CD601" wp14:editId="3B8CD602">
            <wp:extent cx="5962650" cy="1733550"/>
            <wp:effectExtent l="0" t="0" r="0" b="0"/>
            <wp:docPr id="1444346081" name="Score de risco para priorização de leads RALIE" descr="Score de risco para priorização de leads RALIE" title="Score de risco para priorização de leads RAL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58A" w14:textId="77777777" w:rsidR="008B2037" w:rsidRDefault="00222726">
      <w:pPr>
        <w:pStyle w:val="Ttulo2"/>
      </w:pPr>
      <w:bookmarkStart w:id="48" w:name="_Toc227934667"/>
      <w:r>
        <w:rPr>
          <w:color w:val="26215C"/>
        </w:rPr>
        <w:t>11.3 Roteiro de Prospecção Mensal</w:t>
      </w:r>
      <w:bookmarkEnd w:id="48"/>
    </w:p>
    <w:p w14:paraId="3B8CD58B" w14:textId="77777777" w:rsidR="008B2037" w:rsidRDefault="00222726">
      <w:pPr>
        <w:spacing w:before="140" w:after="140"/>
        <w:jc w:val="center"/>
      </w:pPr>
      <w:r>
        <w:rPr>
          <w:noProof/>
        </w:rPr>
        <w:drawing>
          <wp:inline distT="0" distB="0" distL="0" distR="0" wp14:anchorId="3B8CD603" wp14:editId="3B8CD604">
            <wp:extent cx="5962650" cy="1295400"/>
            <wp:effectExtent l="0" t="0" r="0" b="0"/>
            <wp:docPr id="1427375086" name="Roteiro de prospecção mensal via RALIE" descr="Roteiro de prospecção mensal via RALIE" title="Roteiro de prospecção mensal via RAL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D58C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"/>
        <w:gridCol w:w="1610"/>
        <w:gridCol w:w="7394"/>
      </w:tblGrid>
      <w:tr w:rsidR="008B2037" w14:paraId="3B8CD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8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8E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8F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Detalhamento</w:t>
            </w:r>
          </w:p>
        </w:tc>
      </w:tr>
      <w:tr w:rsidR="008B2037" w14:paraId="3B8CD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1" w14:textId="77777777" w:rsidR="008B2037" w:rsidRDefault="002227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2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Baixar a base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3" w14:textId="77777777" w:rsidR="008B2037" w:rsidRDefault="00222726">
            <w:r>
              <w:rPr>
                <w:color w:val="2C2C2A"/>
                <w:sz w:val="20"/>
                <w:szCs w:val="20"/>
              </w:rPr>
              <w:t>CSV mensal do portal de dados abertos da ANEEL (até dia 15 de cada mês) ou painel interativo.</w:t>
            </w:r>
          </w:p>
        </w:tc>
      </w:tr>
      <w:tr w:rsidR="008B2037" w14:paraId="3B8CD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5" w14:textId="77777777" w:rsidR="008B2037" w:rsidRDefault="002227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6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Filtrar atrasados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7" w14:textId="77777777" w:rsidR="008B2037" w:rsidRDefault="00222726">
            <w:r>
              <w:rPr>
                <w:color w:val="2C2C2A"/>
                <w:sz w:val="20"/>
                <w:szCs w:val="20"/>
              </w:rPr>
              <w:t>Filtrar empreendimentos com cronograma atrasado. Elimina projetos no prazo e concentra a análise em quem tem problema ativo.</w:t>
            </w:r>
          </w:p>
        </w:tc>
      </w:tr>
      <w:tr w:rsidR="008B2037" w14:paraId="3B8CD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9" w14:textId="77777777" w:rsidR="008B2037" w:rsidRDefault="002227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A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Filtrar região / tipo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B" w14:textId="77777777" w:rsidR="008B2037" w:rsidRDefault="00222726">
            <w:r>
              <w:rPr>
                <w:color w:val="2C2C2A"/>
                <w:sz w:val="20"/>
                <w:szCs w:val="20"/>
              </w:rPr>
              <w:t>Aplicar filtro geográfico (UF ou região) e de fonte (eólica, solar, PCH). Concentrar no perfil de cliente prioritário.</w:t>
            </w:r>
          </w:p>
        </w:tc>
      </w:tr>
      <w:tr w:rsidR="008B2037" w14:paraId="3B8CD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D" w14:textId="77777777" w:rsidR="008B2037" w:rsidRDefault="002227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E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Identificar pioramentos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9F" w14:textId="77777777" w:rsidR="008B2037" w:rsidRDefault="00222726">
            <w:r>
              <w:rPr>
                <w:color w:val="2C2C2A"/>
                <w:sz w:val="20"/>
                <w:szCs w:val="20"/>
              </w:rPr>
              <w:t>Comparar o arquivo atual com o do mês anterior. Empreendimentos que pioraram de classificação têm urgência crescente — momento ideal de abordagem.</w:t>
            </w:r>
          </w:p>
        </w:tc>
      </w:tr>
      <w:tr w:rsidR="008B2037" w14:paraId="3B8CD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1D9E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1" w14:textId="77777777" w:rsidR="008B2037" w:rsidRDefault="002227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2" w14:textId="77777777" w:rsidR="008B2037" w:rsidRDefault="00222726">
            <w:r>
              <w:rPr>
                <w:b/>
                <w:bCs/>
                <w:color w:val="085041"/>
                <w:sz w:val="20"/>
                <w:szCs w:val="20"/>
              </w:rPr>
              <w:t>Qualificar o lead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3" w14:textId="77777777" w:rsidR="008B2037" w:rsidRDefault="00222726">
            <w:r>
              <w:rPr>
                <w:color w:val="2C2C2A"/>
                <w:sz w:val="20"/>
                <w:szCs w:val="20"/>
              </w:rPr>
              <w:t>Na ficha: nome do empreendedor (o lead), CEG, tipo e potência, data de operação comprometida vs. atual (magnitude do atraso), status de LI e de CUST/CUSD.</w:t>
            </w:r>
          </w:p>
        </w:tc>
      </w:tr>
      <w:tr w:rsidR="008B2037" w14:paraId="3B8CD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2621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5" w14:textId="77777777" w:rsidR="008B2037" w:rsidRDefault="002227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6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Abordagem estruturada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7" w14:textId="77777777" w:rsidR="008B2037" w:rsidRDefault="00222726">
            <w:r>
              <w:rPr>
                <w:color w:val="2C2C2A"/>
                <w:sz w:val="20"/>
                <w:szCs w:val="20"/>
              </w:rPr>
              <w:t>"Identificamos no RALIE de [mês] que seu empreendimento [nome] está com [situação]. Isso representa exposição estimada de R$ X. Nossa assessoria atua preventivamente nessa fase." O cliente percebe que você já conhece o projeto antes de ele te procurar.</w:t>
            </w:r>
          </w:p>
        </w:tc>
      </w:tr>
    </w:tbl>
    <w:p w14:paraId="3B8CD5A9" w14:textId="77777777" w:rsidR="008B2037" w:rsidRDefault="008B2037">
      <w:pPr>
        <w:spacing w:after="200"/>
      </w:pPr>
    </w:p>
    <w:p w14:paraId="3B8CD5AA" w14:textId="77777777" w:rsidR="008B2037" w:rsidRDefault="00222726">
      <w:r>
        <w:br w:type="page"/>
      </w:r>
    </w:p>
    <w:p w14:paraId="3B8CD5AB" w14:textId="77777777" w:rsidR="008B2037" w:rsidRDefault="00222726">
      <w:pPr>
        <w:pStyle w:val="Ttulo1"/>
        <w:pBdr>
          <w:bottom w:val="single" w:sz="6" w:space="4" w:color="1D9E75"/>
        </w:pBdr>
      </w:pPr>
      <w:bookmarkStart w:id="49" w:name="_Toc227934668"/>
      <w:r>
        <w:rPr>
          <w:color w:val="534AB7"/>
        </w:rPr>
        <w:lastRenderedPageBreak/>
        <w:t>Glossário</w:t>
      </w:r>
      <w:bookmarkEnd w:id="49"/>
    </w:p>
    <w:p w14:paraId="3B8CD5AC" w14:textId="77777777" w:rsidR="008B2037" w:rsidRDefault="008B2037">
      <w:pPr>
        <w:spacing w:after="6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9"/>
        <w:gridCol w:w="8047"/>
      </w:tblGrid>
      <w:tr w:rsidR="008B2037" w14:paraId="3B8CD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D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AE" w14:textId="77777777" w:rsidR="008B2037" w:rsidRDefault="00222726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8B2037" w14:paraId="3B8CD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0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ACR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1" w14:textId="77777777" w:rsidR="008B2037" w:rsidRDefault="00222726">
            <w:r>
              <w:rPr>
                <w:color w:val="2C2C2A"/>
                <w:sz w:val="20"/>
                <w:szCs w:val="20"/>
              </w:rPr>
              <w:t>Ambiente de Contratação Regulada — mercado de leilões de energia onde as distribuidoras compram energia a longo prazo das geradoras.</w:t>
            </w:r>
          </w:p>
        </w:tc>
      </w:tr>
      <w:tr w:rsidR="008B2037" w14:paraId="3B8CD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3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ANEEL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4" w14:textId="77777777" w:rsidR="008B2037" w:rsidRDefault="00222726">
            <w:r>
              <w:rPr>
                <w:color w:val="2C2C2A"/>
                <w:sz w:val="20"/>
                <w:szCs w:val="20"/>
              </w:rPr>
              <w:t>Agência Nacional de Energia Elétrica — autarquia reguladora do setor elétrico brasileiro.</w:t>
            </w:r>
          </w:p>
        </w:tc>
      </w:tr>
      <w:tr w:rsidR="008B2037" w14:paraId="3B8CD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6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CCEAR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7" w14:textId="77777777" w:rsidR="008B2037" w:rsidRDefault="00222726">
            <w:r>
              <w:rPr>
                <w:color w:val="2C2C2A"/>
                <w:sz w:val="20"/>
                <w:szCs w:val="20"/>
              </w:rPr>
              <w:t>Contrato de Comercialização de Energia no Ambiente Regulado — assinado após o leilão, tipicamente 20 a 30 anos.</w:t>
            </w:r>
          </w:p>
        </w:tc>
      </w:tr>
      <w:tr w:rsidR="008B2037" w14:paraId="3B8CD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9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CCEE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A" w14:textId="77777777" w:rsidR="008B2037" w:rsidRDefault="00222726">
            <w:r>
              <w:rPr>
                <w:color w:val="2C2C2A"/>
                <w:sz w:val="20"/>
                <w:szCs w:val="20"/>
              </w:rPr>
              <w:t>Câmara de Comercialização de Energia Elétrica — administra o mercado de energia elétrica no Brasil, incluindo o mercado spot.</w:t>
            </w:r>
          </w:p>
        </w:tc>
      </w:tr>
      <w:tr w:rsidR="008B2037" w14:paraId="3B8CD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C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CEG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D" w14:textId="77777777" w:rsidR="008B2037" w:rsidRDefault="00222726">
            <w:r>
              <w:rPr>
                <w:color w:val="2C2C2A"/>
                <w:sz w:val="20"/>
                <w:szCs w:val="20"/>
              </w:rPr>
              <w:t>Código Único de Empreendimentos de Geração — identifica unicamente cada usina em todos os sistemas da ANEEL.</w:t>
            </w:r>
          </w:p>
        </w:tc>
      </w:tr>
      <w:tr w:rsidR="008B2037" w14:paraId="3B8CD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BF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CUST / CUSD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0" w14:textId="77777777" w:rsidR="008B2037" w:rsidRDefault="00222726">
            <w:r>
              <w:rPr>
                <w:color w:val="2C2C2A"/>
                <w:sz w:val="20"/>
                <w:szCs w:val="20"/>
              </w:rPr>
              <w:t>Contrato de Uso do Sistema de Transmissão / Distribuição — obrigatório para conectar a usina à rede. Sem ele, a usina não pode operar.</w:t>
            </w:r>
          </w:p>
        </w:tc>
      </w:tr>
      <w:tr w:rsidR="008B2037" w14:paraId="3B8CD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2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EPC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3" w14:textId="77777777" w:rsidR="008B2037" w:rsidRDefault="00222726">
            <w:proofErr w:type="spellStart"/>
            <w:r w:rsidRPr="002C5760">
              <w:rPr>
                <w:i/>
                <w:iCs/>
                <w:color w:val="2C2C2A"/>
                <w:sz w:val="20"/>
                <w:szCs w:val="20"/>
              </w:rPr>
              <w:t>Engineering</w:t>
            </w:r>
            <w:proofErr w:type="spellEnd"/>
            <w:r w:rsidRPr="002C5760">
              <w:rPr>
                <w:i/>
                <w:iCs/>
                <w:color w:val="2C2C2A"/>
                <w:sz w:val="20"/>
                <w:szCs w:val="20"/>
              </w:rPr>
              <w:t xml:space="preserve">, </w:t>
            </w:r>
            <w:proofErr w:type="spellStart"/>
            <w:r w:rsidRPr="002C5760">
              <w:rPr>
                <w:i/>
                <w:iCs/>
                <w:color w:val="2C2C2A"/>
                <w:sz w:val="20"/>
                <w:szCs w:val="20"/>
              </w:rPr>
              <w:t>Procurement</w:t>
            </w:r>
            <w:proofErr w:type="spellEnd"/>
            <w:r w:rsidRPr="002C5760">
              <w:rPr>
                <w:i/>
                <w:iCs/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2C5760">
              <w:rPr>
                <w:i/>
                <w:iCs/>
                <w:color w:val="2C2C2A"/>
                <w:sz w:val="20"/>
                <w:szCs w:val="20"/>
              </w:rPr>
              <w:t>and</w:t>
            </w:r>
            <w:proofErr w:type="spellEnd"/>
            <w:r w:rsidRPr="002C5760">
              <w:rPr>
                <w:i/>
                <w:iCs/>
                <w:color w:val="2C2C2A"/>
                <w:sz w:val="20"/>
                <w:szCs w:val="20"/>
              </w:rPr>
              <w:t xml:space="preserve"> </w:t>
            </w:r>
            <w:proofErr w:type="spellStart"/>
            <w:r w:rsidRPr="002C5760">
              <w:rPr>
                <w:i/>
                <w:iCs/>
                <w:color w:val="2C2C2A"/>
                <w:sz w:val="20"/>
                <w:szCs w:val="20"/>
              </w:rPr>
              <w:t>Construction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— modelo de contrato em que uma única empresa responde por engenharia, fornecimento de equipamentos e construção.</w:t>
            </w:r>
          </w:p>
        </w:tc>
      </w:tr>
      <w:tr w:rsidR="008B2037" w14:paraId="3B8CD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5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Financial Close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6" w14:textId="77777777" w:rsidR="008B2037" w:rsidRDefault="00222726">
            <w:r>
              <w:rPr>
                <w:color w:val="2C2C2A"/>
                <w:sz w:val="20"/>
                <w:szCs w:val="20"/>
              </w:rPr>
              <w:t>Momento em que o financiamento do projeto é formalmente fechado e os recursos começam a ser liberados para a construção.</w:t>
            </w:r>
          </w:p>
        </w:tc>
      </w:tr>
      <w:tr w:rsidR="008B2037" w14:paraId="3B8CD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8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Lastro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9" w14:textId="77777777" w:rsidR="008B2037" w:rsidRDefault="00222726">
            <w:r>
              <w:rPr>
                <w:color w:val="2C2C2A"/>
                <w:sz w:val="20"/>
                <w:szCs w:val="20"/>
              </w:rPr>
              <w:t>Garantia de que a usina vai entregar a energia contratada. A recomposição de lastro é a obrigação de cobrir a posição contratual quando a usina não está operando.</w:t>
            </w:r>
          </w:p>
        </w:tc>
      </w:tr>
      <w:tr w:rsidR="008B2037" w14:paraId="3B8CD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B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LI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C" w14:textId="77777777" w:rsidR="008B2037" w:rsidRDefault="00222726">
            <w:r>
              <w:rPr>
                <w:color w:val="2C2C2A"/>
                <w:sz w:val="20"/>
                <w:szCs w:val="20"/>
              </w:rPr>
              <w:t>Licença de Instalação — autoriza o início físico das obras. Sem ela nenhuma movimentação de terra é permitida.</w:t>
            </w:r>
          </w:p>
        </w:tc>
      </w:tr>
      <w:tr w:rsidR="008B2037" w14:paraId="3B8CD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E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LO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CF" w14:textId="77777777" w:rsidR="008B2037" w:rsidRDefault="00222726">
            <w:r>
              <w:rPr>
                <w:color w:val="2C2C2A"/>
                <w:sz w:val="20"/>
                <w:szCs w:val="20"/>
              </w:rPr>
              <w:t>Licença de Operação — necessária antes da operação comercial. Exigida para emissão da Portaria pela ANEEL.</w:t>
            </w:r>
          </w:p>
        </w:tc>
      </w:tr>
      <w:tr w:rsidR="008B2037" w14:paraId="3B8CD5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1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LP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2" w14:textId="77777777" w:rsidR="008B2037" w:rsidRDefault="00222726">
            <w:r>
              <w:rPr>
                <w:color w:val="2C2C2A"/>
                <w:sz w:val="20"/>
                <w:szCs w:val="20"/>
              </w:rPr>
              <w:t>Licença Prévia — atesta a viabilidade ambiental do local antes de qualquer intervenção física.</w:t>
            </w:r>
          </w:p>
        </w:tc>
      </w:tr>
      <w:tr w:rsidR="008B2037" w14:paraId="3B8CD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4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ONS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5" w14:textId="77777777" w:rsidR="008B2037" w:rsidRDefault="00222726">
            <w:r>
              <w:rPr>
                <w:color w:val="2C2C2A"/>
                <w:sz w:val="20"/>
                <w:szCs w:val="20"/>
              </w:rPr>
              <w:t>Operador Nacional do Sistema — responsável pela operação integrada e coordenada da rede de transmissão de energia elétrica.</w:t>
            </w:r>
          </w:p>
        </w:tc>
      </w:tr>
      <w:tr w:rsidR="008B2037" w14:paraId="3B8CD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7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Outorga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8" w14:textId="77777777" w:rsidR="008B2037" w:rsidRDefault="00222726">
            <w:r>
              <w:rPr>
                <w:color w:val="2C2C2A"/>
                <w:sz w:val="20"/>
                <w:szCs w:val="20"/>
              </w:rPr>
              <w:t>Ato jurídico da ANEEL que autoriza a construção e operação de uma usina geradora. Pode ser Concessão, Autorização ou Permissão.</w:t>
            </w:r>
          </w:p>
        </w:tc>
      </w:tr>
      <w:tr w:rsidR="008B2037" w14:paraId="3B8CD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A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PLD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B" w14:textId="77777777" w:rsidR="008B2037" w:rsidRDefault="00222726">
            <w:r>
              <w:rPr>
                <w:color w:val="2C2C2A"/>
                <w:sz w:val="20"/>
                <w:szCs w:val="20"/>
              </w:rPr>
              <w:t>Preço de Liquidação das Diferenças — preço do mercado spot de energia elétrica. Pode variar de próximo a zero até R$ 2.000+/MWh em momentos de estresse hídrico.</w:t>
            </w:r>
          </w:p>
        </w:tc>
      </w:tr>
      <w:tr w:rsidR="008B2037" w14:paraId="3B8CD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D" w14:textId="77777777" w:rsidR="008B2037" w:rsidRPr="002C5760" w:rsidRDefault="00222726">
            <w:pPr>
              <w:rPr>
                <w:i/>
                <w:iCs/>
              </w:rPr>
            </w:pPr>
            <w:r w:rsidRPr="002C5760">
              <w:rPr>
                <w:b/>
                <w:bCs/>
                <w:i/>
                <w:iCs/>
                <w:color w:val="26215C"/>
                <w:sz w:val="20"/>
                <w:szCs w:val="20"/>
              </w:rPr>
              <w:t xml:space="preserve">Project </w:t>
            </w:r>
            <w:proofErr w:type="spellStart"/>
            <w:r w:rsidRPr="002C5760">
              <w:rPr>
                <w:b/>
                <w:bCs/>
                <w:i/>
                <w:iCs/>
                <w:color w:val="26215C"/>
                <w:sz w:val="20"/>
                <w:szCs w:val="20"/>
              </w:rPr>
              <w:t>Finance</w:t>
            </w:r>
            <w:proofErr w:type="spellEnd"/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DE" w14:textId="77777777" w:rsidR="008B2037" w:rsidRDefault="00222726">
            <w:r>
              <w:rPr>
                <w:color w:val="2C2C2A"/>
                <w:sz w:val="20"/>
                <w:szCs w:val="20"/>
              </w:rPr>
              <w:t>Estrutura de financiamento em que o fluxo de caixa do próprio projeto é a garantia do empréstimo — sem recurso (ou com recurso limitado) ao patrocinador.</w:t>
            </w:r>
          </w:p>
        </w:tc>
      </w:tr>
      <w:tr w:rsidR="008B2037" w14:paraId="3B8CD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0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RAPEEL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1" w14:textId="77777777" w:rsidR="008B2037" w:rsidRDefault="00222726">
            <w:r>
              <w:rPr>
                <w:color w:val="2C2C2A"/>
                <w:sz w:val="20"/>
                <w:szCs w:val="20"/>
              </w:rPr>
              <w:t>Sistema de Registro de Agentes e Atividades do Setor Elétrico — plataforma onde o empreendedor realiza as declarações mensais. Seus dados alimentam o RALIE público.</w:t>
            </w:r>
          </w:p>
        </w:tc>
      </w:tr>
      <w:tr w:rsidR="008B2037" w14:paraId="3B8CD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3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RALIE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4" w14:textId="77777777" w:rsidR="008B2037" w:rsidRDefault="00222726">
            <w:r>
              <w:rPr>
                <w:color w:val="2C2C2A"/>
                <w:sz w:val="20"/>
                <w:szCs w:val="20"/>
              </w:rPr>
              <w:t>Relatório de Acompanhamento da Expansão da Oferta de Geração de Energia Elétrica — painel público da ANEEL atualizado mensalmente até o dia 15 com todos os empreendimentos em implantação.</w:t>
            </w:r>
          </w:p>
        </w:tc>
      </w:tr>
      <w:tr w:rsidR="008B2037" w14:paraId="3B8CD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6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REIDI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7" w14:textId="77777777" w:rsidR="008B2037" w:rsidRDefault="00222726">
            <w:r>
              <w:rPr>
                <w:color w:val="2C2C2A"/>
                <w:sz w:val="20"/>
                <w:szCs w:val="20"/>
              </w:rPr>
              <w:t>Regime Especial de Incentivos para o Desenvolvimento da Infraestrutura — suspensão de PIS e COFINS na aquisição de equipamentos para projetos habilitados.</w:t>
            </w:r>
          </w:p>
        </w:tc>
      </w:tr>
      <w:tr w:rsidR="008B2037" w14:paraId="3B8CD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9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lastRenderedPageBreak/>
              <w:t>SCG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A" w14:textId="77777777" w:rsidR="008B2037" w:rsidRDefault="00222726">
            <w:r>
              <w:rPr>
                <w:color w:val="2C2C2A"/>
                <w:sz w:val="20"/>
                <w:szCs w:val="20"/>
              </w:rPr>
              <w:t>Superintendência de Concessões e Autorizações de Geração — área da ANEEL responsável pela parte jurídico-regulatória das outorgas.</w:t>
            </w:r>
          </w:p>
        </w:tc>
      </w:tr>
      <w:tr w:rsidR="008B2037" w14:paraId="3B8CD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C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SFG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D" w14:textId="77777777" w:rsidR="008B2037" w:rsidRDefault="00222726">
            <w:r>
              <w:rPr>
                <w:color w:val="2C2C2A"/>
                <w:sz w:val="20"/>
                <w:szCs w:val="20"/>
              </w:rPr>
              <w:t>Superintendência de Fiscalização dos Serviços de Geração — área da ANEEL que fiscaliza as obras e analisa pedidos de excludente de responsabilidade.</w:t>
            </w:r>
          </w:p>
        </w:tc>
      </w:tr>
      <w:tr w:rsidR="008B2037" w14:paraId="3B8CD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EF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SIN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F0" w14:textId="77777777" w:rsidR="008B2037" w:rsidRDefault="00222726">
            <w:r>
              <w:rPr>
                <w:color w:val="2C2C2A"/>
                <w:sz w:val="20"/>
                <w:szCs w:val="20"/>
              </w:rPr>
              <w:t>Sistema Interligado Nacional — a rede integrada de transmissão de energia elétrica do Brasil.</w:t>
            </w:r>
          </w:p>
        </w:tc>
      </w:tr>
      <w:tr w:rsidR="008B2037" w14:paraId="3B8CD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F2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SPE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F3" w14:textId="77777777" w:rsidR="008B2037" w:rsidRDefault="00222726">
            <w:r>
              <w:rPr>
                <w:color w:val="2C2C2A"/>
                <w:sz w:val="20"/>
                <w:szCs w:val="20"/>
              </w:rPr>
              <w:t>Sociedade de Propósito Específico — empresa criada especificamente para um projeto de geração. Detentora típica da outorga no setor de renováveis.</w:t>
            </w:r>
          </w:p>
        </w:tc>
      </w:tr>
      <w:tr w:rsidR="008B2037" w14:paraId="3B8CD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F5" w14:textId="77777777" w:rsidR="008B2037" w:rsidRDefault="00222726">
            <w:r>
              <w:rPr>
                <w:b/>
                <w:bCs/>
                <w:color w:val="26215C"/>
                <w:sz w:val="20"/>
                <w:szCs w:val="20"/>
              </w:rPr>
              <w:t>SUDENE / SUDAM</w:t>
            </w:r>
          </w:p>
        </w:tc>
        <w:tc>
          <w:tcPr>
            <w:tcW w:w="0" w:type="auto"/>
            <w:tcBorders>
              <w:top w:val="single" w:sz="2" w:space="0" w:color="CECBF6"/>
              <w:left w:val="single" w:sz="2" w:space="0" w:color="CECBF6"/>
              <w:bottom w:val="single" w:sz="2" w:space="0" w:color="CECBF6"/>
              <w:right w:val="single" w:sz="2" w:space="0" w:color="CECBF6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D5F6" w14:textId="77777777" w:rsidR="008B2037" w:rsidRDefault="00222726">
            <w:r>
              <w:rPr>
                <w:color w:val="2C2C2A"/>
                <w:sz w:val="20"/>
                <w:szCs w:val="20"/>
              </w:rPr>
              <w:t>Superintendências de Desenvolvimento do Nordeste e da Amazônia — concedem incentivos fiscais como redução de 75% do IRPJ para projetos em suas áreas de atuação.</w:t>
            </w:r>
          </w:p>
        </w:tc>
      </w:tr>
    </w:tbl>
    <w:p w14:paraId="3B8CD5F8" w14:textId="77777777" w:rsidR="008B2037" w:rsidRDefault="008B2037">
      <w:pPr>
        <w:spacing w:after="280"/>
      </w:pPr>
    </w:p>
    <w:p w14:paraId="3B8CD5F9" w14:textId="43613261" w:rsidR="008B2037" w:rsidRDefault="00222726">
      <w:pPr>
        <w:spacing w:after="60"/>
        <w:jc w:val="center"/>
      </w:pPr>
      <w:r>
        <w:rPr>
          <w:b/>
          <w:bCs/>
          <w:color w:val="534AB7"/>
          <w:sz w:val="22"/>
          <w:szCs w:val="22"/>
        </w:rPr>
        <w:t xml:space="preserve">Edilson </w:t>
      </w:r>
      <w:r w:rsidR="002C5760">
        <w:rPr>
          <w:b/>
          <w:bCs/>
          <w:color w:val="534AB7"/>
          <w:sz w:val="22"/>
          <w:szCs w:val="22"/>
        </w:rPr>
        <w:t>Araújo</w:t>
      </w:r>
      <w:r>
        <w:rPr>
          <w:b/>
          <w:bCs/>
          <w:color w:val="534AB7"/>
          <w:sz w:val="22"/>
          <w:szCs w:val="22"/>
        </w:rPr>
        <w:t xml:space="preserve"> Advogados  ·  Thiago Fernandes Advogado</w:t>
      </w:r>
    </w:p>
    <w:p w14:paraId="3B8CD5FA" w14:textId="77777777" w:rsidR="008B2037" w:rsidRDefault="00222726">
      <w:pPr>
        <w:jc w:val="center"/>
      </w:pPr>
      <w:r>
        <w:rPr>
          <w:i/>
          <w:iCs/>
          <w:color w:val="B4B2A9"/>
          <w:sz w:val="19"/>
          <w:szCs w:val="19"/>
        </w:rPr>
        <w:t xml:space="preserve">Base de Conhecimento — Assessoria Regulatória em Geração de Energia Elétrica — </w:t>
      </w:r>
      <w:proofErr w:type="gramStart"/>
      <w:r>
        <w:rPr>
          <w:i/>
          <w:iCs/>
          <w:color w:val="B4B2A9"/>
          <w:sz w:val="19"/>
          <w:szCs w:val="19"/>
        </w:rPr>
        <w:t>Abril</w:t>
      </w:r>
      <w:proofErr w:type="gramEnd"/>
      <w:r>
        <w:rPr>
          <w:i/>
          <w:iCs/>
          <w:color w:val="B4B2A9"/>
          <w:sz w:val="19"/>
          <w:szCs w:val="19"/>
        </w:rPr>
        <w:t xml:space="preserve"> 2026</w:t>
      </w:r>
    </w:p>
    <w:sectPr w:rsidR="008B2037">
      <w:headerReference w:type="default" r:id="rId13"/>
      <w:footerReference w:type="default" r:id="rId14"/>
      <w:pgSz w:w="11906" w:h="16838"/>
      <w:pgMar w:top="1080" w:right="1080" w:bottom="1080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BAF9" w14:textId="77777777" w:rsidR="00222726" w:rsidRDefault="00222726">
      <w:r>
        <w:separator/>
      </w:r>
    </w:p>
  </w:endnote>
  <w:endnote w:type="continuationSeparator" w:id="0">
    <w:p w14:paraId="0843F86F" w14:textId="77777777" w:rsidR="00222726" w:rsidRDefault="00222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CD606" w14:textId="2E16D51C" w:rsidR="008B2037" w:rsidRDefault="00222726">
    <w:pPr>
      <w:pBdr>
        <w:top w:val="single" w:sz="4" w:space="0" w:color="CECBF6"/>
      </w:pBdr>
      <w:jc w:val="center"/>
    </w:pPr>
    <w:r>
      <w:rPr>
        <w:color w:val="5F5E5A"/>
        <w:sz w:val="17"/>
        <w:szCs w:val="17"/>
      </w:rPr>
      <w:t xml:space="preserve">Base de Conhecimento — Assessoria Regulatória em Geração </w:t>
    </w:r>
    <w:proofErr w:type="gramStart"/>
    <w:r>
      <w:rPr>
        <w:color w:val="5F5E5A"/>
        <w:sz w:val="17"/>
        <w:szCs w:val="17"/>
      </w:rPr>
      <w:t>Elétrica  |</w:t>
    </w:r>
    <w:proofErr w:type="gramEnd"/>
    <w:r>
      <w:rPr>
        <w:color w:val="5F5E5A"/>
        <w:sz w:val="17"/>
        <w:szCs w:val="17"/>
      </w:rPr>
      <w:t xml:space="preserve">  p. 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83780C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E95A" w14:textId="77777777" w:rsidR="00222726" w:rsidRDefault="00222726">
      <w:r>
        <w:separator/>
      </w:r>
    </w:p>
  </w:footnote>
  <w:footnote w:type="continuationSeparator" w:id="0">
    <w:p w14:paraId="665A92BB" w14:textId="77777777" w:rsidR="00222726" w:rsidRDefault="00222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CD605" w14:textId="0A883CFC" w:rsidR="008B2037" w:rsidRDefault="00222726">
    <w:pPr>
      <w:pBdr>
        <w:bottom w:val="single" w:sz="4" w:space="0" w:color="CECBF6"/>
      </w:pBdr>
      <w:jc w:val="right"/>
    </w:pPr>
    <w:r>
      <w:rPr>
        <w:b/>
        <w:bCs/>
        <w:color w:val="534AB7"/>
        <w:sz w:val="17"/>
        <w:szCs w:val="17"/>
      </w:rPr>
      <w:t xml:space="preserve">Edilson </w:t>
    </w:r>
    <w:r w:rsidR="0083780C">
      <w:rPr>
        <w:b/>
        <w:bCs/>
        <w:color w:val="534AB7"/>
        <w:sz w:val="17"/>
        <w:szCs w:val="17"/>
      </w:rPr>
      <w:t>Araújo</w:t>
    </w:r>
    <w:r>
      <w:rPr>
        <w:b/>
        <w:bCs/>
        <w:color w:val="534AB7"/>
        <w:sz w:val="17"/>
        <w:szCs w:val="17"/>
      </w:rPr>
      <w:t xml:space="preserve"> </w:t>
    </w:r>
    <w:proofErr w:type="gramStart"/>
    <w:r>
      <w:rPr>
        <w:b/>
        <w:bCs/>
        <w:color w:val="534AB7"/>
        <w:sz w:val="17"/>
        <w:szCs w:val="17"/>
      </w:rPr>
      <w:t>Advogados</w:t>
    </w:r>
    <w:r>
      <w:rPr>
        <w:color w:val="5F5E5A"/>
        <w:sz w:val="17"/>
        <w:szCs w:val="17"/>
      </w:rPr>
      <w:t xml:space="preserve">  ·</w:t>
    </w:r>
    <w:proofErr w:type="gramEnd"/>
    <w:r>
      <w:rPr>
        <w:color w:val="5F5E5A"/>
        <w:sz w:val="17"/>
        <w:szCs w:val="17"/>
      </w:rPr>
      <w:t xml:space="preserve">  Thiago Fernandes Advogado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B4C"/>
    <w:multiLevelType w:val="hybridMultilevel"/>
    <w:tmpl w:val="D4AE9A04"/>
    <w:lvl w:ilvl="0" w:tplc="06AEC2EE">
      <w:start w:val="1"/>
      <w:numFmt w:val="decimal"/>
      <w:lvlText w:val="%1."/>
      <w:lvlJc w:val="left"/>
      <w:pPr>
        <w:spacing w:after="60"/>
        <w:ind w:left="640" w:hanging="320"/>
      </w:pPr>
    </w:lvl>
    <w:lvl w:ilvl="1" w:tplc="DB748B54">
      <w:numFmt w:val="decimal"/>
      <w:lvlText w:val=""/>
      <w:lvlJc w:val="left"/>
    </w:lvl>
    <w:lvl w:ilvl="2" w:tplc="99864A00">
      <w:numFmt w:val="decimal"/>
      <w:lvlText w:val=""/>
      <w:lvlJc w:val="left"/>
    </w:lvl>
    <w:lvl w:ilvl="3" w:tplc="32CE78D6">
      <w:numFmt w:val="decimal"/>
      <w:lvlText w:val=""/>
      <w:lvlJc w:val="left"/>
    </w:lvl>
    <w:lvl w:ilvl="4" w:tplc="480C7A6E">
      <w:numFmt w:val="decimal"/>
      <w:lvlText w:val=""/>
      <w:lvlJc w:val="left"/>
    </w:lvl>
    <w:lvl w:ilvl="5" w:tplc="3CB44280">
      <w:numFmt w:val="decimal"/>
      <w:lvlText w:val=""/>
      <w:lvlJc w:val="left"/>
    </w:lvl>
    <w:lvl w:ilvl="6" w:tplc="88C09AF2">
      <w:numFmt w:val="decimal"/>
      <w:lvlText w:val=""/>
      <w:lvlJc w:val="left"/>
    </w:lvl>
    <w:lvl w:ilvl="7" w:tplc="D5C8D400">
      <w:numFmt w:val="decimal"/>
      <w:lvlText w:val=""/>
      <w:lvlJc w:val="left"/>
    </w:lvl>
    <w:lvl w:ilvl="8" w:tplc="8AE29DE2">
      <w:numFmt w:val="decimal"/>
      <w:lvlText w:val=""/>
      <w:lvlJc w:val="left"/>
    </w:lvl>
  </w:abstractNum>
  <w:abstractNum w:abstractNumId="1" w15:restartNumberingAfterBreak="0">
    <w:nsid w:val="214D3A8D"/>
    <w:multiLevelType w:val="hybridMultilevel"/>
    <w:tmpl w:val="FBC6A652"/>
    <w:lvl w:ilvl="0" w:tplc="0554A31A">
      <w:start w:val="1"/>
      <w:numFmt w:val="bullet"/>
      <w:lvlText w:val="•"/>
      <w:lvlJc w:val="left"/>
      <w:pPr>
        <w:spacing w:after="60"/>
        <w:ind w:left="640" w:hanging="320"/>
      </w:pPr>
    </w:lvl>
    <w:lvl w:ilvl="1" w:tplc="A524D770">
      <w:numFmt w:val="decimal"/>
      <w:lvlText w:val=""/>
      <w:lvlJc w:val="left"/>
    </w:lvl>
    <w:lvl w:ilvl="2" w:tplc="A2E49C08">
      <w:numFmt w:val="decimal"/>
      <w:lvlText w:val=""/>
      <w:lvlJc w:val="left"/>
    </w:lvl>
    <w:lvl w:ilvl="3" w:tplc="53461928">
      <w:numFmt w:val="decimal"/>
      <w:lvlText w:val=""/>
      <w:lvlJc w:val="left"/>
    </w:lvl>
    <w:lvl w:ilvl="4" w:tplc="7B387CC2">
      <w:numFmt w:val="decimal"/>
      <w:lvlText w:val=""/>
      <w:lvlJc w:val="left"/>
    </w:lvl>
    <w:lvl w:ilvl="5" w:tplc="9CC83314">
      <w:numFmt w:val="decimal"/>
      <w:lvlText w:val=""/>
      <w:lvlJc w:val="left"/>
    </w:lvl>
    <w:lvl w:ilvl="6" w:tplc="10EEDD52">
      <w:numFmt w:val="decimal"/>
      <w:lvlText w:val=""/>
      <w:lvlJc w:val="left"/>
    </w:lvl>
    <w:lvl w:ilvl="7" w:tplc="2D34B09A">
      <w:numFmt w:val="decimal"/>
      <w:lvlText w:val=""/>
      <w:lvlJc w:val="left"/>
    </w:lvl>
    <w:lvl w:ilvl="8" w:tplc="ADDA23AE">
      <w:numFmt w:val="decimal"/>
      <w:lvlText w:val=""/>
      <w:lvlJc w:val="left"/>
    </w:lvl>
  </w:abstractNum>
  <w:abstractNum w:abstractNumId="2" w15:restartNumberingAfterBreak="0">
    <w:nsid w:val="24AE6090"/>
    <w:multiLevelType w:val="hybridMultilevel"/>
    <w:tmpl w:val="86A4E92E"/>
    <w:lvl w:ilvl="0" w:tplc="0A4C4950">
      <w:start w:val="1"/>
      <w:numFmt w:val="bullet"/>
      <w:lvlText w:val="●"/>
      <w:lvlJc w:val="left"/>
      <w:pPr>
        <w:ind w:left="720" w:hanging="360"/>
      </w:pPr>
    </w:lvl>
    <w:lvl w:ilvl="1" w:tplc="F4F4E0AE">
      <w:start w:val="1"/>
      <w:numFmt w:val="bullet"/>
      <w:lvlText w:val="○"/>
      <w:lvlJc w:val="left"/>
      <w:pPr>
        <w:ind w:left="1440" w:hanging="360"/>
      </w:pPr>
    </w:lvl>
    <w:lvl w:ilvl="2" w:tplc="38661228">
      <w:start w:val="1"/>
      <w:numFmt w:val="bullet"/>
      <w:lvlText w:val="■"/>
      <w:lvlJc w:val="left"/>
      <w:pPr>
        <w:ind w:left="2160" w:hanging="360"/>
      </w:pPr>
    </w:lvl>
    <w:lvl w:ilvl="3" w:tplc="CC905FD6">
      <w:start w:val="1"/>
      <w:numFmt w:val="bullet"/>
      <w:lvlText w:val="●"/>
      <w:lvlJc w:val="left"/>
      <w:pPr>
        <w:ind w:left="2880" w:hanging="360"/>
      </w:pPr>
    </w:lvl>
    <w:lvl w:ilvl="4" w:tplc="1BEA1F50">
      <w:start w:val="1"/>
      <w:numFmt w:val="bullet"/>
      <w:lvlText w:val="○"/>
      <w:lvlJc w:val="left"/>
      <w:pPr>
        <w:ind w:left="3600" w:hanging="360"/>
      </w:pPr>
    </w:lvl>
    <w:lvl w:ilvl="5" w:tplc="7FF083B8">
      <w:start w:val="1"/>
      <w:numFmt w:val="bullet"/>
      <w:lvlText w:val="■"/>
      <w:lvlJc w:val="left"/>
      <w:pPr>
        <w:ind w:left="4320" w:hanging="360"/>
      </w:pPr>
    </w:lvl>
    <w:lvl w:ilvl="6" w:tplc="C854D762">
      <w:start w:val="1"/>
      <w:numFmt w:val="bullet"/>
      <w:lvlText w:val="●"/>
      <w:lvlJc w:val="left"/>
      <w:pPr>
        <w:ind w:left="5040" w:hanging="360"/>
      </w:pPr>
    </w:lvl>
    <w:lvl w:ilvl="7" w:tplc="60086A6C">
      <w:start w:val="1"/>
      <w:numFmt w:val="bullet"/>
      <w:lvlText w:val="●"/>
      <w:lvlJc w:val="left"/>
      <w:pPr>
        <w:ind w:left="5760" w:hanging="360"/>
      </w:pPr>
    </w:lvl>
    <w:lvl w:ilvl="8" w:tplc="2BB654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C33D7E"/>
    <w:multiLevelType w:val="multilevel"/>
    <w:tmpl w:val="998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C26DE"/>
    <w:multiLevelType w:val="multilevel"/>
    <w:tmpl w:val="B7D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95681">
    <w:abstractNumId w:val="2"/>
    <w:lvlOverride w:ilvl="0">
      <w:startOverride w:val="1"/>
    </w:lvlOverride>
  </w:num>
  <w:num w:numId="2" w16cid:durableId="1198854439">
    <w:abstractNumId w:val="1"/>
    <w:lvlOverride w:ilvl="0">
      <w:startOverride w:val="1"/>
    </w:lvlOverride>
  </w:num>
  <w:num w:numId="3" w16cid:durableId="892810816">
    <w:abstractNumId w:val="3"/>
  </w:num>
  <w:num w:numId="4" w16cid:durableId="713310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037"/>
    <w:rsid w:val="00006A0A"/>
    <w:rsid w:val="00020FCA"/>
    <w:rsid w:val="000F543D"/>
    <w:rsid w:val="001002D1"/>
    <w:rsid w:val="00195ADF"/>
    <w:rsid w:val="00204AC9"/>
    <w:rsid w:val="00217104"/>
    <w:rsid w:val="00222726"/>
    <w:rsid w:val="00232CD0"/>
    <w:rsid w:val="002C5760"/>
    <w:rsid w:val="002D3E68"/>
    <w:rsid w:val="003715C2"/>
    <w:rsid w:val="00376980"/>
    <w:rsid w:val="003A12CA"/>
    <w:rsid w:val="003A5624"/>
    <w:rsid w:val="003B5E16"/>
    <w:rsid w:val="003E61C3"/>
    <w:rsid w:val="004163FD"/>
    <w:rsid w:val="0049417F"/>
    <w:rsid w:val="00531807"/>
    <w:rsid w:val="00586833"/>
    <w:rsid w:val="005E6135"/>
    <w:rsid w:val="00641286"/>
    <w:rsid w:val="00697465"/>
    <w:rsid w:val="006C17B5"/>
    <w:rsid w:val="00756E41"/>
    <w:rsid w:val="007D6B73"/>
    <w:rsid w:val="007F4953"/>
    <w:rsid w:val="00834538"/>
    <w:rsid w:val="0083780C"/>
    <w:rsid w:val="00842FFC"/>
    <w:rsid w:val="00875863"/>
    <w:rsid w:val="008B2037"/>
    <w:rsid w:val="00B42107"/>
    <w:rsid w:val="00B7112F"/>
    <w:rsid w:val="00C26B1B"/>
    <w:rsid w:val="00C639CE"/>
    <w:rsid w:val="00D37DA2"/>
    <w:rsid w:val="00D50BB9"/>
    <w:rsid w:val="00DC0F7C"/>
    <w:rsid w:val="00DE0443"/>
    <w:rsid w:val="00DE746E"/>
    <w:rsid w:val="00E131E5"/>
    <w:rsid w:val="00F4305B"/>
    <w:rsid w:val="00F84B1B"/>
    <w:rsid w:val="00FE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CD406"/>
  <w15:docId w15:val="{76F52F78-9D25-BB4A-A7BF-8540523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378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780C"/>
  </w:style>
  <w:style w:type="paragraph" w:styleId="Rodap">
    <w:name w:val="footer"/>
    <w:basedOn w:val="Normal"/>
    <w:link w:val="RodapChar"/>
    <w:uiPriority w:val="99"/>
    <w:unhideWhenUsed/>
    <w:rsid w:val="008378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780C"/>
  </w:style>
  <w:style w:type="paragraph" w:styleId="CabealhodoSumrio">
    <w:name w:val="TOC Heading"/>
    <w:basedOn w:val="Ttulo1"/>
    <w:next w:val="Normal"/>
    <w:uiPriority w:val="39"/>
    <w:unhideWhenUsed/>
    <w:qFormat/>
    <w:rsid w:val="00834538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83453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834538"/>
    <w:pPr>
      <w:ind w:left="210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834538"/>
    <w:pPr>
      <w:ind w:left="420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834538"/>
    <w:pPr>
      <w:ind w:left="63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834538"/>
    <w:pPr>
      <w:ind w:left="84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834538"/>
    <w:pPr>
      <w:ind w:left="105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834538"/>
    <w:pPr>
      <w:ind w:left="126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834538"/>
    <w:pPr>
      <w:ind w:left="147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834538"/>
    <w:pPr>
      <w:ind w:left="168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B56791-B193-6743-AF82-E4403265F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5707</Words>
  <Characters>32533</Characters>
  <Application>Microsoft Office Word</Application>
  <DocSecurity>0</DocSecurity>
  <Lines>879</Lines>
  <Paragraphs>484</Paragraphs>
  <ScaleCrop>false</ScaleCrop>
  <Company/>
  <LinksUpToDate>false</LinksUpToDate>
  <CharactersWithSpaces>37756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FERNANDES</cp:lastModifiedBy>
  <cp:revision>47</cp:revision>
  <dcterms:created xsi:type="dcterms:W3CDTF">2026-04-23T23:38:00Z</dcterms:created>
  <dcterms:modified xsi:type="dcterms:W3CDTF">2026-04-24T19:10:00Z</dcterms:modified>
</cp:coreProperties>
</file>