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rPr>
          <w:rFonts w:ascii="Calibri" w:hAnsi="Calibri"/>
        </w:rPr>
        <w:t>PRODUCT &amp; TECHNICAL CONCEPT</w:t>
      </w:r>
    </w:p>
    <w:p>
      <w:pPr>
        <w:spacing w:before="160" w:after="80"/>
        <w:jc w:val="left"/>
      </w:pPr>
      <w:r>
        <w:rPr>
          <w:rFonts w:ascii="Calibri" w:hAnsi="Calibri"/>
          <w:b/>
          <w:color w:val="781C2E"/>
          <w:sz w:val="56"/>
        </w:rPr>
        <w:t>uMshova Dealuxe Hybrid Upgrade</w:t>
      </w:r>
    </w:p>
    <w:p>
      <w:pPr>
        <w:pStyle w:val="DocumentSubtitle"/>
        <w:pBdr>
          <w:bottom w:val="single" w:sz="18" w:space="10" w:color="C49A3A"/>
        </w:pBdr>
      </w:pPr>
      <w:r>
        <w:rPr>
          <w:rFonts w:ascii="Calibri" w:hAnsi="Calibri"/>
        </w:rPr>
        <w:t>Transforming peer-to-peer tournament gaming into an opt-in social discovery, marketing and matching platform</w:t>
      </w:r>
    </w:p>
    <w:p>
      <w:pPr>
        <w:spacing w:after="60"/>
      </w:pPr>
      <w:r>
        <w:rPr>
          <w:rFonts w:ascii="Calibri" w:hAnsi="Calibri"/>
          <w:b/>
          <w:color w:val="781C2E"/>
        </w:rPr>
        <w:t xml:space="preserve">Document: </w:t>
      </w:r>
      <w:r>
        <w:rPr>
          <w:rFonts w:ascii="Calibri" w:hAnsi="Calibri"/>
          <w:color w:val="242424"/>
        </w:rPr>
        <w:t>Stakeholder Concept and Product Requirements</w:t>
      </w:r>
    </w:p>
    <w:p>
      <w:pPr>
        <w:spacing w:after="60"/>
      </w:pPr>
      <w:r>
        <w:rPr>
          <w:rFonts w:ascii="Calibri" w:hAnsi="Calibri"/>
          <w:b/>
          <w:color w:val="781C2E"/>
        </w:rPr>
        <w:t xml:space="preserve">Version: </w:t>
      </w:r>
      <w:r>
        <w:rPr>
          <w:rFonts w:ascii="Calibri" w:hAnsi="Calibri"/>
          <w:color w:val="242424"/>
        </w:rPr>
        <w:t>3.0 - Expanded Stakeholder Draft</w:t>
      </w:r>
    </w:p>
    <w:p>
      <w:pPr>
        <w:spacing w:after="60"/>
      </w:pPr>
      <w:r>
        <w:t>Date: 2 September 2026</w:t>
      </w:r>
    </w:p>
    <w:p>
      <w:pPr>
        <w:spacing w:after="60"/>
      </w:pPr>
      <w:r>
        <w:rPr>
          <w:rFonts w:ascii="Calibri" w:hAnsi="Calibri"/>
          <w:b/>
          <w:color w:val="781C2E"/>
        </w:rPr>
        <w:t xml:space="preserve">Platform: </w:t>
      </w:r>
      <w:r>
        <w:rPr>
          <w:rFonts w:ascii="Calibri" w:hAnsi="Calibri"/>
          <w:color w:val="242424"/>
        </w:rPr>
        <w:t>uMshova / Dealuxe multigame peer-to-peer card platform</w:t>
      </w:r>
    </w:p>
    <w:p>
      <w:pPr>
        <w:spacing w:after="60"/>
      </w:pPr>
      <w:r>
        <w:t>Status: Version 3 MVP implementation - E20 Hybrid and E40 Hybrid+ paid-plan activation completed; E60 Premium gated pending approved openWA delivery</w:t>
      </w:r>
    </w:p>
    <w:p>
      <w:pPr>
        <w:spacing w:after="200"/>
      </w:pP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vAlign w:val="center"/>
            <w:shd w:fill="F7F0DF"/>
            <w:tcBorders>
              <w:left w:val="single" w:sz="20" w:color="C49A3A"/>
            </w:tcBorders>
          </w:tcPr>
          <w:p>
            <w:pPr>
              <w:pStyle w:val="KeyTakeaway"/>
              <w:widowControl/>
            </w:pPr>
            <w:r>
              <w:rPr>
                <w:rFonts w:ascii="Calibri" w:hAnsi="Calibri"/>
                <w:b/>
                <w:color w:val="781C2E"/>
              </w:rPr>
              <w:t xml:space="preserve">Core proposition: </w:t>
            </w:r>
            <w:r>
              <w:t>Users continue competing for real cash prizes while optionally promoting an offer, expressing a need, exploring collaboration, or connecting socially with eligible opponents. The gaming experience remains primary; the new capabilities operate as non-blocking add-on layers.</w:t>
            </w:r>
          </w:p>
        </w:tc>
      </w:tr>
    </w:tbl>
    <w:p>
      <w:pPr>
        <w:spacing w:after="20"/>
      </w:pPr>
    </w:p>
    <w:p>
      <w:pPr>
        <w:pStyle w:val="Heading2"/>
      </w:pPr>
      <w:r>
        <w:t>Document purpose</w:t>
      </w:r>
    </w:p>
    <w:p>
      <w:r>
        <w:rPr>
          <w:rFonts w:ascii="Calibri" w:hAnsi="Calibri"/>
        </w:rPr>
        <w:t>This document translates the Version 3 concept into a common reference for business stakeholders, product designers, developers, compliance reviewers and implementation partners. It defines the intended experience, commercial model, functional requirements, architecture direction, controls, rollout plan and decisions still requiring approval.</w:t>
      </w:r>
    </w:p>
    <w:p>
      <w:r>
        <w:br w:type="page"/>
      </w:r>
    </w:p>
    <w:p>
      <w:pPr>
        <w:pStyle w:val="Heading1"/>
      </w:pPr>
      <w:r>
        <w:t>Contents</w:t>
      </w:r>
    </w:p>
    <w:p>
      <w:pPr>
        <w:spacing w:after="160" w:line="280" w:lineRule="auto"/>
        <w:numPr>
          <w:ilvl w:val="0"/>
          <w:numId w:val="10"/>
        </w:numPr>
      </w:pPr>
      <w:r>
        <w:t>1. Executive summary</w:t>
      </w:r>
    </w:p>
    <w:p>
      <w:pPr>
        <w:spacing w:after="160" w:line="280" w:lineRule="auto"/>
        <w:numPr>
          <w:ilvl w:val="0"/>
          <w:numId w:val="10"/>
        </w:numPr>
      </w:pPr>
      <w:r>
        <w:t>2. Strategic context and objectives</w:t>
      </w:r>
    </w:p>
    <w:p>
      <w:pPr>
        <w:spacing w:after="160" w:line="280" w:lineRule="auto"/>
        <w:numPr>
          <w:ilvl w:val="0"/>
          <w:numId w:val="10"/>
        </w:numPr>
      </w:pPr>
      <w:r>
        <w:t>3. Scope and guiding principles</w:t>
      </w:r>
    </w:p>
    <w:p>
      <w:pPr>
        <w:spacing w:after="160" w:line="280" w:lineRule="auto"/>
        <w:numPr>
          <w:ilvl w:val="0"/>
          <w:numId w:val="10"/>
        </w:numPr>
      </w:pPr>
      <w:r>
        <w:t>4. Proposed user experience</w:t>
      </w:r>
    </w:p>
    <w:p>
      <w:pPr>
        <w:spacing w:after="160" w:line="280" w:lineRule="auto"/>
        <w:numPr>
          <w:ilvl w:val="0"/>
          <w:numId w:val="10"/>
        </w:numPr>
      </w:pPr>
      <w:r>
        <w:t>5. Matching model</w:t>
      </w:r>
    </w:p>
    <w:p>
      <w:pPr>
        <w:spacing w:after="160" w:line="280" w:lineRule="auto"/>
        <w:numPr>
          <w:ilvl w:val="0"/>
          <w:numId w:val="10"/>
        </w:numPr>
      </w:pPr>
      <w:r>
        <w:t>6. Plans, pricing and commercial rules</w:t>
      </w:r>
    </w:p>
    <w:p>
      <w:pPr>
        <w:spacing w:after="160" w:line="280" w:lineRule="auto"/>
        <w:numPr>
          <w:ilvl w:val="0"/>
          <w:numId w:val="10"/>
        </w:numPr>
      </w:pPr>
      <w:r>
        <w:t>7. Functional requirements</w:t>
      </w:r>
    </w:p>
    <w:p>
      <w:pPr>
        <w:spacing w:after="160" w:line="280" w:lineRule="auto"/>
        <w:numPr>
          <w:ilvl w:val="0"/>
          <w:numId w:val="10"/>
        </w:numPr>
      </w:pPr>
      <w:r>
        <w:t>8. Trust, safety, privacy and moderation</w:t>
      </w:r>
    </w:p>
    <w:p>
      <w:pPr>
        <w:spacing w:after="160" w:line="280" w:lineRule="auto"/>
        <w:numPr>
          <w:ilvl w:val="0"/>
          <w:numId w:val="10"/>
        </w:numPr>
      </w:pPr>
      <w:r>
        <w:t>9. Technical architecture</w:t>
      </w:r>
    </w:p>
    <w:p>
      <w:pPr>
        <w:spacing w:after="160" w:line="280" w:lineRule="auto"/>
        <w:numPr>
          <w:ilvl w:val="0"/>
          <w:numId w:val="10"/>
        </w:numPr>
      </w:pPr>
      <w:r>
        <w:t>10. Data model and interfaces</w:t>
      </w:r>
    </w:p>
    <w:p>
      <w:pPr>
        <w:spacing w:after="160" w:line="280" w:lineRule="auto"/>
        <w:numPr>
          <w:ilvl w:val="0"/>
          <w:numId w:val="10"/>
        </w:numPr>
      </w:pPr>
      <w:r>
        <w:t>11. Delivery roadmap and testing</w:t>
      </w:r>
    </w:p>
    <w:p>
      <w:pPr>
        <w:spacing w:after="160" w:line="280" w:lineRule="auto"/>
        <w:numPr>
          <w:ilvl w:val="0"/>
          <w:numId w:val="10"/>
        </w:numPr>
      </w:pPr>
      <w:r>
        <w:t>12. Success measures, risks and open decisions</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vAlign w:val="center"/>
            <w:shd w:fill="E8EEF5"/>
            <w:tcBorders>
              <w:left w:val="single" w:sz="20" w:color="C49A3A"/>
            </w:tcBorders>
          </w:tcPr>
          <w:p>
            <w:pPr>
              <w:pStyle w:val="KeyTakeaway"/>
              <w:widowControl/>
            </w:pPr>
            <w:r>
              <w:rPr>
                <w:rFonts w:ascii="Calibri" w:hAnsi="Calibri"/>
                <w:b/>
                <w:color w:val="781C2E"/>
              </w:rPr>
              <w:t xml:space="preserve">Reading note: </w:t>
            </w:r>
            <w:r>
              <w:t>Amounts are stated in Emalangeni (E). Commercial percentages and legal/compliance rules are presented as proposals and must be formally approved before launch.</w:t>
            </w:r>
          </w:p>
        </w:tc>
      </w:tr>
    </w:tbl>
    <w:p>
      <w:pPr>
        <w:spacing w:after="20"/>
      </w:pPr>
    </w:p>
    <w:p>
      <w:r>
        <w:br w:type="page"/>
      </w:r>
    </w:p>
    <w:p>
      <w:pPr>
        <w:pStyle w:val="Heading1"/>
      </w:pPr>
      <w:r>
        <w:t>1. Executive summary</w:t>
      </w:r>
    </w:p>
    <w:p>
      <w:r>
        <w:rPr>
          <w:rFonts w:ascii="Calibri" w:hAnsi="Calibri"/>
        </w:rPr>
        <w:t>uMshova Dealuxe currently operates as a multigame, peer-to-peer card platform in which players enter tournament brackets, compete during game sessions and may win cash prizes. The proposed hybrid upgrade adds an optional social discovery and marketing layer to the existing tournament journey. Users will be able to advertise what they are selling, state what they are seeking, signal interest in collaboration, or participate in an adult-only relationship-matching service while they play.</w:t>
      </w:r>
    </w:p>
    <w:p>
      <w:r>
        <w:rPr>
          <w:rFonts w:ascii="Calibri" w:hAnsi="Calibri"/>
        </w:rPr>
        <w:t>The upgrade is designed around the existing game-session agent panel on game.html (/game). Instead of permanently occupying additional screen space, this compact panel will show the latest relevant caption or chat message. When promotional or chat content is unavailable, disabled or hidden, the panel will revert to its current role: broadcasting game guidance and commentary.</w:t>
      </w:r>
    </w:p>
    <w:p>
      <w:pPr>
        <w:pStyle w:val="Heading2"/>
      </w:pPr>
      <w:r>
        <w:t>Recommended product position</w:t>
      </w:r>
    </w:p>
    <w:p>
      <w:pPr>
        <w:spacing w:after="160" w:line="280" w:lineRule="auto"/>
        <w:numPr>
          <w:ilvl w:val="0"/>
          <w:numId w:val="10"/>
        </w:numPr>
      </w:pPr>
      <w:r>
        <w:t>Gaming remains the core product and determines tournament progression, prizes, wins and losses.</w:t>
      </w:r>
    </w:p>
    <w:p>
      <w:pPr>
        <w:spacing w:after="160" w:line="280" w:lineRule="auto"/>
        <w:numPr>
          <w:ilvl w:val="0"/>
          <w:numId w:val="10"/>
        </w:numPr>
      </w:pPr>
      <w:r>
        <w:t>Discovery, promotion, matching and chat are optional services layered onto the game.</w:t>
      </w:r>
    </w:p>
    <w:p>
      <w:pPr>
        <w:spacing w:after="160" w:line="280" w:lineRule="auto"/>
        <w:numPr>
          <w:ilvl w:val="0"/>
          <w:numId w:val="10"/>
        </w:numPr>
      </w:pPr>
      <w:r>
        <w:t>Only first-round opponents may be intentionally paired using the new matching criteria; later rounds remain determined by tournament results.</w:t>
      </w:r>
    </w:p>
    <w:p>
      <w:pPr>
        <w:spacing w:after="160" w:line="280" w:lineRule="auto"/>
        <w:numPr>
          <w:ilvl w:val="0"/>
          <w:numId w:val="10"/>
        </w:numPr>
      </w:pPr>
      <w:r>
        <w:t>No suitable commercial or social match should ever block bracket entry or prevent normal gameplay.</w:t>
      </w:r>
    </w:p>
    <w:p>
      <w:pPr>
        <w:spacing w:after="160" w:line="280" w:lineRule="auto"/>
        <w:numPr>
          <w:ilvl w:val="0"/>
          <w:numId w:val="10"/>
        </w:numPr>
      </w:pPr>
      <w:r>
        <w:t>The controlled pilot validated the core Hybrid layer. Paid activation is now implemented behind default-off administrator and environment switches so the team can enable or stop new sales without changing code.</w:t>
      </w:r>
    </w:p>
    <w:p>
      <w:pPr>
        <w:pStyle w:val="Heading2"/>
      </w:pPr>
      <w:r>
        <w:t>Expected value</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F2F4F7"/>
            <w:tcMar>
              <w:top w:w="80" w:type="dxa"/>
              <w:start w:w="120" w:type="dxa"/>
              <w:bottom w:w="80" w:type="dxa"/>
              <w:end w:w="120" w:type="dxa"/>
            </w:tcMar>
            <w:vAlign w:val="center"/>
          </w:tcPr>
          <w:p>
            <w:pPr>
              <w:widowControl/>
              <w:spacing w:after="0"/>
            </w:pPr>
            <w:r>
              <w:rPr>
                <w:rFonts w:ascii="Calibri" w:hAnsi="Calibri"/>
                <w:b/>
                <w:color w:val="781C2E"/>
                <w:sz w:val="19"/>
              </w:rPr>
              <w:t>Stakeholder</w:t>
            </w:r>
          </w:p>
        </w:tc>
        <w:tc>
          <w:tcPr>
            <w:tcW w:type="dxa" w:w="7200"/>
            <w:shd w:fill="F2F4F7"/>
            <w:tcMar>
              <w:top w:w="80" w:type="dxa"/>
              <w:start w:w="120" w:type="dxa"/>
              <w:bottom w:w="80" w:type="dxa"/>
              <w:end w:w="120" w:type="dxa"/>
            </w:tcMar>
            <w:vAlign w:val="center"/>
          </w:tcPr>
          <w:p>
            <w:pPr>
              <w:widowControl/>
              <w:spacing w:after="0"/>
            </w:pPr>
            <w:r>
              <w:rPr>
                <w:rFonts w:ascii="Calibri" w:hAnsi="Calibri"/>
                <w:b/>
                <w:color w:val="781C2E"/>
                <w:sz w:val="19"/>
              </w:rPr>
              <w:t>Expected value</w:t>
            </w:r>
          </w:p>
        </w:tc>
      </w:tr>
      <w:tr>
        <w:tc>
          <w:tcPr>
            <w:tcW w:type="dxa" w:w="2160"/>
            <w:tcMar>
              <w:top w:w="80" w:type="dxa"/>
              <w:start w:w="120" w:type="dxa"/>
              <w:bottom w:w="80" w:type="dxa"/>
              <w:end w:w="120" w:type="dxa"/>
            </w:tcMar>
            <w:vAlign w:val="center"/>
          </w:tcPr>
          <w:p>
            <w:pPr>
              <w:widowControl/>
              <w:spacing w:after="0" w:line="252" w:lineRule="auto"/>
            </w:pPr>
            <w:r>
              <w:rPr>
                <w:rFonts w:ascii="Calibri" w:hAnsi="Calibri"/>
                <w:color w:val="242424"/>
                <w:sz w:val="18"/>
              </w:rPr>
              <w:t>Players</w:t>
            </w:r>
          </w:p>
        </w:tc>
        <w:tc>
          <w:tcPr>
            <w:tcW w:type="dxa" w:w="7200"/>
            <w:tcMar>
              <w:top w:w="80" w:type="dxa"/>
              <w:start w:w="120" w:type="dxa"/>
              <w:bottom w:w="80" w:type="dxa"/>
              <w:end w:w="120" w:type="dxa"/>
            </w:tcMar>
            <w:vAlign w:val="center"/>
          </w:tcPr>
          <w:p>
            <w:pPr>
              <w:widowControl/>
              <w:spacing w:after="0" w:line="252" w:lineRule="auto"/>
            </w:pPr>
            <w:r>
              <w:rPr>
                <w:rFonts w:ascii="Calibri" w:hAnsi="Calibri"/>
                <w:color w:val="242424"/>
                <w:sz w:val="18"/>
              </w:rPr>
              <w:t>More reasons to join and remain active: entertainment, prize competition, promotion, discovery and relevant connections.</w:t>
            </w:r>
          </w:p>
        </w:tc>
      </w:tr>
      <w:tr>
        <w:tc>
          <w:tcPr>
            <w:tcW w:type="dxa" w:w="2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Sellers and seekers</w:t>
            </w:r>
          </w:p>
        </w:tc>
        <w:tc>
          <w:tcPr>
            <w:tcW w:type="dxa" w:w="7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Low-friction visibility and optional matching within an engaged game audience.</w:t>
            </w:r>
          </w:p>
        </w:tc>
      </w:tr>
      <w:tr>
        <w:tc>
          <w:tcPr>
            <w:tcW w:type="dxa" w:w="2160"/>
            <w:tcMar>
              <w:top w:w="80" w:type="dxa"/>
              <w:start w:w="120" w:type="dxa"/>
              <w:bottom w:w="80" w:type="dxa"/>
              <w:end w:w="120" w:type="dxa"/>
            </w:tcMar>
            <w:vAlign w:val="center"/>
          </w:tcPr>
          <w:p>
            <w:pPr>
              <w:widowControl/>
              <w:spacing w:after="0" w:line="252" w:lineRule="auto"/>
            </w:pPr>
            <w:r>
              <w:rPr>
                <w:rFonts w:ascii="Calibri" w:hAnsi="Calibri"/>
                <w:color w:val="242424"/>
                <w:sz w:val="18"/>
              </w:rPr>
              <w:t>Dealuxe</w:t>
            </w:r>
          </w:p>
        </w:tc>
        <w:tc>
          <w:tcPr>
            <w:tcW w:type="dxa" w:w="7200"/>
            <w:tcMar>
              <w:top w:w="80" w:type="dxa"/>
              <w:start w:w="120" w:type="dxa"/>
              <w:bottom w:w="80" w:type="dxa"/>
              <w:end w:w="120" w:type="dxa"/>
            </w:tcMar>
            <w:vAlign w:val="center"/>
          </w:tcPr>
          <w:p>
            <w:pPr>
              <w:widowControl/>
              <w:spacing w:after="0" w:line="252" w:lineRule="auto"/>
            </w:pPr>
            <w:r>
              <w:rPr>
                <w:rFonts w:ascii="Calibri" w:hAnsi="Calibri"/>
                <w:color w:val="242424"/>
                <w:sz w:val="18"/>
              </w:rPr>
              <w:t>New subscription revenue, stronger retention, richer tournament differentiation and future AI-ready matching capabilities.</w:t>
            </w:r>
          </w:p>
        </w:tc>
      </w:tr>
      <w:tr>
        <w:tc>
          <w:tcPr>
            <w:tcW w:type="dxa" w:w="2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Tournament ecosystem</w:t>
            </w:r>
          </w:p>
        </w:tc>
        <w:tc>
          <w:tcPr>
            <w:tcW w:type="dxa" w:w="7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Potential funding support for premium events such as the uMshova Cup and league competitions.</w:t>
            </w:r>
          </w:p>
        </w:tc>
      </w:tr>
    </w:tbl>
    <w:p>
      <w:pPr>
        <w:spacing w:after="20"/>
      </w:pPr>
    </w:p>
    <w:p>
      <w:pPr>
        <w:pStyle w:val="Heading1"/>
      </w:pPr>
      <w:r>
        <w:t>2. Strategic context and objectives</w:t>
      </w:r>
    </w:p>
    <w:p>
      <w:pPr>
        <w:pStyle w:val="Heading2"/>
      </w:pPr>
      <w:r>
        <w:t>2.1 Current commercial model</w:t>
      </w:r>
    </w:p>
    <w:p>
      <w:r>
        <w:rPr>
          <w:rFonts w:ascii="Calibri" w:hAnsi="Calibri"/>
        </w:rPr>
        <w:t>Tournament prize pools are funded by participating users, with a proposed entry contribution of E10.00 per player. The platform currently charges an 18% fee against each tournament bracket. The draft allocation indicates approximately 9% for platform services such as hosting and security, and 3–5% for future exclusive tournaments, including the uMshova Cup and league competitions.</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vAlign w:val="center"/>
            <w:shd w:fill="FCE8E6"/>
            <w:tcBorders>
              <w:left w:val="single" w:sz="20" w:color="9B1C1C"/>
            </w:tcBorders>
          </w:tcPr>
          <w:p>
            <w:pPr>
              <w:pStyle w:val="KeyTakeaway"/>
              <w:widowControl/>
            </w:pPr>
            <w:r>
              <w:rPr>
                <w:rFonts w:ascii="Calibri" w:hAnsi="Calibri"/>
                <w:b/>
                <w:color w:val="781C2E"/>
              </w:rPr>
              <w:t xml:space="preserve">Finance decision required: </w:t>
            </w:r>
            <w:r>
              <w:t>The stated allocations account for 12–14% of the 18% bracket fee, leaving 4–6% undefined. Finance and management should approve a complete fee-allocation schedule and confirm whether the percentages are calculated on entry revenue, the prize pool, or another base.</w:t>
            </w:r>
          </w:p>
        </w:tc>
      </w:tr>
    </w:tbl>
    <w:p>
      <w:pPr>
        <w:spacing w:after="20"/>
      </w:pPr>
    </w:p>
    <w:p>
      <w:pPr>
        <w:pStyle w:val="Heading2"/>
      </w:pPr>
      <w:r>
        <w:t>2.2 Upgrade objectives</w:t>
      </w:r>
    </w:p>
    <w:p>
      <w:pPr>
        <w:spacing w:after="160" w:line="280" w:lineRule="auto"/>
        <w:numPr>
          <w:ilvl w:val="0"/>
          <w:numId w:val="12"/>
        </w:numPr>
      </w:pPr>
      <w:r>
        <w:t>Create a distinctive hybrid experience that combines competitive gaming with practical social and commercial discovery.</w:t>
      </w:r>
    </w:p>
    <w:p>
      <w:pPr>
        <w:spacing w:after="160" w:line="280" w:lineRule="auto"/>
        <w:numPr>
          <w:ilvl w:val="0"/>
          <w:numId w:val="12"/>
        </w:numPr>
      </w:pPr>
      <w:r>
        <w:t>Introduce free and paid marketing options without weakening the core game experience.</w:t>
      </w:r>
    </w:p>
    <w:p>
      <w:pPr>
        <w:spacing w:after="160" w:line="280" w:lineRule="auto"/>
        <w:numPr>
          <w:ilvl w:val="0"/>
          <w:numId w:val="12"/>
        </w:numPr>
      </w:pPr>
      <w:r>
        <w:t>Improve the relevance of first-round pairings through transparent matching levels.</w:t>
      </w:r>
    </w:p>
    <w:p>
      <w:pPr>
        <w:spacing w:after="160" w:line="280" w:lineRule="auto"/>
        <w:numPr>
          <w:ilvl w:val="0"/>
          <w:numId w:val="12"/>
        </w:numPr>
      </w:pPr>
      <w:r>
        <w:t>Support short, optional real-time conversations using the platform’s existing Socket.IO capability.</w:t>
      </w:r>
    </w:p>
    <w:p>
      <w:pPr>
        <w:spacing w:after="160" w:line="280" w:lineRule="auto"/>
        <w:numPr>
          <w:ilvl w:val="0"/>
          <w:numId w:val="12"/>
        </w:numPr>
      </w:pPr>
      <w:r>
        <w:t>Keep the implementation modular, lightweight and compatible with the current codebase.</w:t>
      </w:r>
    </w:p>
    <w:p>
      <w:pPr>
        <w:spacing w:after="160" w:line="280" w:lineRule="auto"/>
        <w:numPr>
          <w:ilvl w:val="0"/>
          <w:numId w:val="12"/>
        </w:numPr>
      </w:pPr>
      <w:r>
        <w:t>Prepare the matching layer for later AI enhancements without making AI a dependency for the initial release.</w:t>
      </w:r>
    </w:p>
    <w:p>
      <w:pPr>
        <w:pStyle w:val="Heading2"/>
      </w:pPr>
      <w:r>
        <w:t>2.3 Business hypothesis</w:t>
      </w:r>
    </w:p>
    <w:p>
      <w:r>
        <w:rPr>
          <w:rFonts w:ascii="Calibri" w:hAnsi="Calibri"/>
        </w:rPr>
        <w:t>If users can receive useful visibility and relevant introductions while already participating in tournaments, then the platform may increase bracket participation, repeat play, session engagement and subscription revenue. This hypothesis should be validated through a controlled pilot using measurable adoption, match relevance, safety and gameplay-performance indicators.</w:t>
      </w:r>
    </w:p>
    <w:p>
      <w:pPr>
        <w:pStyle w:val="Heading1"/>
      </w:pPr>
      <w:r>
        <w:t>3. Scope and guiding principles</w:t>
      </w:r>
    </w:p>
    <w:p>
      <w:pPr>
        <w:pStyle w:val="Heading2"/>
      </w:pPr>
      <w:r>
        <w:t>3.1 In scope</w:t>
      </w:r>
    </w:p>
    <w:p>
      <w:pPr>
        <w:spacing w:after="160" w:line="280" w:lineRule="auto"/>
        <w:numPr>
          <w:ilvl w:val="0"/>
          <w:numId w:val="10"/>
        </w:numPr>
      </w:pPr>
      <w:r>
        <w:t>Upgrade the existing agent panel in game.html (/game) to support captions, a single latest chat message and fallback game guidance.</w:t>
      </w:r>
    </w:p>
    <w:p>
      <w:pPr>
        <w:spacing w:after="160" w:line="280" w:lineRule="auto"/>
        <w:numPr>
          <w:ilvl w:val="0"/>
          <w:numId w:val="10"/>
        </w:numPr>
      </w:pPr>
      <w:r>
        <w:t>Add profile-based promotion and seeking preferences, predefined categories and paid custom captions.</w:t>
      </w:r>
    </w:p>
    <w:p>
      <w:pPr>
        <w:spacing w:after="160" w:line="280" w:lineRule="auto"/>
        <w:numPr>
          <w:ilvl w:val="0"/>
          <w:numId w:val="10"/>
        </w:numPr>
      </w:pPr>
      <w:r>
        <w:t>Provide passive exposure, in-bracket opponent matching and bracket discovery/matching.</w:t>
      </w:r>
    </w:p>
    <w:p>
      <w:pPr>
        <w:spacing w:after="160" w:line="280" w:lineRule="auto"/>
        <w:numPr>
          <w:ilvl w:val="0"/>
          <w:numId w:val="10"/>
        </w:numPr>
      </w:pPr>
      <w:r>
        <w:t>Provide an optional, adult-only relationship-matching mode with mutual eligibility and restricted visibility.</w:t>
      </w:r>
    </w:p>
    <w:p>
      <w:pPr>
        <w:spacing w:after="160" w:line="280" w:lineRule="auto"/>
        <w:numPr>
          <w:ilvl w:val="0"/>
          <w:numId w:val="10"/>
        </w:numPr>
      </w:pPr>
      <w:r>
        <w:t>Add session-level chat controls, profile visibility controls, matching-level labels and subscription entitlements.</w:t>
      </w:r>
    </w:p>
    <w:p>
      <w:pPr>
        <w:spacing w:after="160" w:line="280" w:lineRule="auto"/>
        <w:numPr>
          <w:ilvl w:val="0"/>
          <w:numId w:val="10"/>
        </w:numPr>
      </w:pPr>
      <w:r>
        <w:t>Retain chat temporarily for up to 24 hours, subject to moderation and security requirements.</w:t>
      </w:r>
    </w:p>
    <w:p>
      <w:pPr>
        <w:pStyle w:val="Heading2"/>
      </w:pPr>
      <w:r>
        <w:t>3.2 Out of scope for the initial release</w:t>
      </w:r>
    </w:p>
    <w:p>
      <w:pPr>
        <w:spacing w:after="160" w:line="280" w:lineRule="auto"/>
        <w:numPr>
          <w:ilvl w:val="0"/>
          <w:numId w:val="10"/>
        </w:numPr>
      </w:pPr>
      <w:r>
        <w:t>A full marketplace, product catalogue, checkout, escrow, delivery or dispute-resolution system.</w:t>
      </w:r>
    </w:p>
    <w:p>
      <w:pPr>
        <w:spacing w:after="160" w:line="280" w:lineRule="auto"/>
        <w:numPr>
          <w:ilvl w:val="0"/>
          <w:numId w:val="10"/>
        </w:numPr>
      </w:pPr>
      <w:r>
        <w:t>Permanent chat histories or a general-purpose messaging inbox.</w:t>
      </w:r>
    </w:p>
    <w:p>
      <w:pPr>
        <w:spacing w:after="160" w:line="280" w:lineRule="auto"/>
        <w:numPr>
          <w:ilvl w:val="0"/>
          <w:numId w:val="10"/>
        </w:numPr>
      </w:pPr>
      <w:r>
        <w:t>AI-generated matches as a launch dependency.</w:t>
      </w:r>
    </w:p>
    <w:p>
      <w:pPr>
        <w:spacing w:after="160" w:line="280" w:lineRule="auto"/>
        <w:numPr>
          <w:ilvl w:val="0"/>
          <w:numId w:val="10"/>
        </w:numPr>
      </w:pPr>
      <w:r>
        <w:t>Changes to tournament scoring, prize calculation, winner progression or game rules, except where first-round pairing must call the new matching service.</w:t>
      </w:r>
    </w:p>
    <w:p>
      <w:pPr>
        <w:spacing w:after="160" w:line="280" w:lineRule="auto"/>
        <w:numPr>
          <w:ilvl w:val="0"/>
          <w:numId w:val="10"/>
        </w:numPr>
      </w:pPr>
      <w:r>
        <w:t>A large-scale redesign or broad refactor of unrelated game modules.</w:t>
      </w:r>
    </w:p>
    <w:p>
      <w:pPr>
        <w:pStyle w:val="Heading2"/>
      </w:pPr>
      <w:r>
        <w:t>3.3 Guiding principles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widowControl/>
              <w:spacing w:after="0"/>
            </w:pPr>
            <w:r>
              <w:rPr>
                <w:rFonts w:ascii="Calibri" w:hAnsi="Calibri"/>
                <w:b/>
                <w:color w:val="781C2E"/>
                <w:sz w:val="19"/>
              </w:rPr>
              <w:t>Principle</w:t>
            </w:r>
          </w:p>
        </w:tc>
        <w:tc>
          <w:tcPr>
            <w:tcW w:type="dxa" w:w="7160"/>
            <w:shd w:fill="F2F4F7"/>
            <w:tcMar>
              <w:top w:w="80" w:type="dxa"/>
              <w:start w:w="120" w:type="dxa"/>
              <w:bottom w:w="80" w:type="dxa"/>
              <w:end w:w="120" w:type="dxa"/>
            </w:tcMar>
            <w:vAlign w:val="center"/>
          </w:tcPr>
          <w:p>
            <w:pPr>
              <w:widowControl/>
              <w:spacing w:after="0"/>
            </w:pPr>
            <w:r>
              <w:rPr>
                <w:rFonts w:ascii="Calibri" w:hAnsi="Calibri"/>
                <w:b/>
                <w:color w:val="781C2E"/>
                <w:sz w:val="19"/>
              </w:rPr>
              <w:t>Application</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Game first</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Promotional and social features must not obscure cards, controls, scores or time-sensitive game actions.</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Optional by design</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Users may opt in, hide their profile or disable chat for a specific session.</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Graceful fallback</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When no match exists, the tournament and agent commentary continue normally.</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Transparent matching</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The interface indicates the active matching level without guaranteeing a buyer, seller or relationship outcome.</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Modular delivery</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Marketing, matching and chat services remain separated from core game logic through clear interfaces.</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Safety and consent</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Restricted categories use explicit eligibility, visibility, reporting and blocking controls.</w:t>
            </w:r>
          </w:p>
        </w:tc>
      </w:tr>
    </w:tbl>
    <w:p>
      <w:pPr>
        <w:spacing w:after="20"/>
      </w:pPr>
    </w:p>
    <w:p>
      <w:pPr>
        <w:pStyle w:val="Heading1"/>
      </w:pPr>
      <w:r>
        <w:t>4. Proposed user experience</w:t>
      </w:r>
    </w:p>
    <w:p>
      <w:pPr>
        <w:pStyle w:val="Heading2"/>
      </w:pPr>
      <w:r>
        <w:t>4.1 Profile setup</w:t>
      </w:r>
    </w:p>
    <w:p>
      <w:r>
        <w:rPr>
          <w:rFonts w:ascii="Calibri" w:hAnsi="Calibri"/>
        </w:rPr>
        <w:t>A user may enable one or more discovery modes from the account profile. Each mode captures structured preferences that the matching engine can interpret, while minimizing free text in the first release.</w:t>
      </w:r>
    </w:p>
    <w:tbl>
      <w:tblPr>
        <w:tblStyle w:val="TableGrid"/>
        <w:tblW w:type="dxa" w:w="9360"/>
        <w:jc w:val="left"/>
        <w:tblLayout w:type="fixed"/>
        <w:tblLook w:firstColumn="1" w:firstRow="1" w:lastColumn="0" w:lastRow="0" w:noHBand="0" w:noVBand="1" w:val="04A0"/>
        <w:tblInd w:w="120" w:type="dxa"/>
      </w:tblPr>
      <w:tblGrid>
        <w:gridCol w:w="1740"/>
        <w:gridCol w:w="3300"/>
        <w:gridCol w:w="4320"/>
      </w:tblGrid>
      <w:tr>
        <w:trPr>
          <w:tblHeader w:val="true"/>
        </w:trPr>
        <w:tc>
          <w:tcPr>
            <w:tcW w:type="dxa" w:w="1740"/>
            <w:shd w:fill="F2F4F7"/>
            <w:tcMar>
              <w:top w:w="80" w:type="dxa"/>
              <w:start w:w="120" w:type="dxa"/>
              <w:bottom w:w="80" w:type="dxa"/>
              <w:end w:w="120" w:type="dxa"/>
            </w:tcMar>
            <w:vAlign w:val="center"/>
          </w:tcPr>
          <w:p>
            <w:pPr>
              <w:widowControl/>
              <w:spacing w:after="0"/>
            </w:pPr>
            <w:r>
              <w:rPr>
                <w:rFonts w:ascii="Calibri" w:hAnsi="Calibri"/>
                <w:b/>
                <w:color w:val="781C2E"/>
                <w:sz w:val="19"/>
              </w:rPr>
              <w:t>Profile field</w:t>
            </w:r>
          </w:p>
        </w:tc>
        <w:tc>
          <w:tcPr>
            <w:tcW w:type="dxa" w:w="3300"/>
            <w:shd w:fill="F2F4F7"/>
            <w:tcMar>
              <w:top w:w="80" w:type="dxa"/>
              <w:start w:w="120" w:type="dxa"/>
              <w:bottom w:w="80" w:type="dxa"/>
              <w:end w:w="120" w:type="dxa"/>
            </w:tcMar>
            <w:vAlign w:val="center"/>
          </w:tcPr>
          <w:p>
            <w:pPr>
              <w:widowControl/>
              <w:spacing w:after="0"/>
            </w:pPr>
            <w:r>
              <w:rPr>
                <w:rFonts w:ascii="Calibri" w:hAnsi="Calibri"/>
                <w:b/>
                <w:color w:val="781C2E"/>
                <w:sz w:val="19"/>
              </w:rPr>
              <w:t>Purpose</w:t>
            </w:r>
          </w:p>
        </w:tc>
        <w:tc>
          <w:tcPr>
            <w:tcW w:type="dxa" w:w="4320"/>
            <w:shd w:fill="F2F4F7"/>
            <w:tcMar>
              <w:top w:w="80" w:type="dxa"/>
              <w:start w:w="120" w:type="dxa"/>
              <w:bottom w:w="80" w:type="dxa"/>
              <w:end w:w="120" w:type="dxa"/>
            </w:tcMar>
            <w:vAlign w:val="center"/>
          </w:tcPr>
          <w:p>
            <w:pPr>
              <w:widowControl/>
              <w:spacing w:after="0"/>
            </w:pPr>
            <w:r>
              <w:rPr>
                <w:rFonts w:ascii="Calibri" w:hAnsi="Calibri"/>
                <w:b/>
                <w:color w:val="781C2E"/>
                <w:sz w:val="19"/>
              </w:rPr>
              <w:t>Example</w:t>
            </w:r>
          </w:p>
        </w:tc>
      </w:tr>
      <w:tr>
        <w:tc>
          <w:tcPr>
            <w:tcW w:type="dxa" w:w="1740"/>
            <w:tcMar>
              <w:top w:w="80" w:type="dxa"/>
              <w:start w:w="120" w:type="dxa"/>
              <w:bottom w:w="80" w:type="dxa"/>
              <w:end w:w="120" w:type="dxa"/>
            </w:tcMar>
            <w:vAlign w:val="center"/>
          </w:tcPr>
          <w:p>
            <w:pPr>
              <w:widowControl/>
              <w:spacing w:after="0" w:line="252" w:lineRule="auto"/>
            </w:pPr>
            <w:r>
              <w:rPr>
                <w:rFonts w:ascii="Calibri" w:hAnsi="Calibri"/>
                <w:color w:val="242424"/>
                <w:sz w:val="18"/>
              </w:rPr>
              <w:t>Mode</w:t>
            </w:r>
          </w:p>
        </w:tc>
        <w:tc>
          <w:tcPr>
            <w:tcW w:type="dxa" w:w="3300"/>
            <w:tcMar>
              <w:top w:w="80" w:type="dxa"/>
              <w:start w:w="120" w:type="dxa"/>
              <w:bottom w:w="80" w:type="dxa"/>
              <w:end w:w="120" w:type="dxa"/>
            </w:tcMar>
            <w:vAlign w:val="center"/>
          </w:tcPr>
          <w:p>
            <w:pPr>
              <w:widowControl/>
              <w:spacing w:after="0" w:line="252" w:lineRule="auto"/>
            </w:pPr>
            <w:r>
              <w:rPr>
                <w:rFonts w:ascii="Calibri" w:hAnsi="Calibri"/>
                <w:color w:val="242424"/>
                <w:sz w:val="18"/>
              </w:rPr>
              <w:t>Defines the user’s intent.</w:t>
            </w:r>
          </w:p>
        </w:tc>
        <w:tc>
          <w:tcPr>
            <w:tcW w:type="dxa" w:w="4320"/>
            <w:tcMar>
              <w:top w:w="80" w:type="dxa"/>
              <w:start w:w="120" w:type="dxa"/>
              <w:bottom w:w="80" w:type="dxa"/>
              <w:end w:w="120" w:type="dxa"/>
            </w:tcMar>
            <w:vAlign w:val="center"/>
          </w:tcPr>
          <w:p>
            <w:pPr>
              <w:widowControl/>
              <w:spacing w:after="0" w:line="252" w:lineRule="auto"/>
            </w:pPr>
            <w:r>
              <w:rPr>
                <w:rFonts w:ascii="Calibri" w:hAnsi="Calibri"/>
                <w:color w:val="242424"/>
                <w:sz w:val="18"/>
              </w:rPr>
              <w:t>Selling, seeking, collaboration, relationship matching</w:t>
            </w:r>
          </w:p>
        </w:tc>
      </w:tr>
      <w:tr>
        <w:tc>
          <w:tcPr>
            <w:tcW w:type="dxa" w:w="17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Category</w:t>
            </w:r>
          </w:p>
        </w:tc>
        <w:tc>
          <w:tcPr>
            <w:tcW w:type="dxa" w:w="3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Supports filtering and relevance scoring.</w:t>
            </w:r>
          </w:p>
        </w:tc>
        <w:tc>
          <w:tcPr>
            <w:tcW w:type="dxa" w:w="43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Property, vehicles, car parts, cosmetics, electronics, farming</w:t>
            </w:r>
          </w:p>
        </w:tc>
      </w:tr>
      <w:tr>
        <w:tc>
          <w:tcPr>
            <w:tcW w:type="dxa" w:w="1740"/>
            <w:tcMar>
              <w:top w:w="80" w:type="dxa"/>
              <w:start w:w="120" w:type="dxa"/>
              <w:bottom w:w="80" w:type="dxa"/>
              <w:end w:w="120" w:type="dxa"/>
            </w:tcMar>
            <w:vAlign w:val="center"/>
          </w:tcPr>
          <w:p>
            <w:pPr>
              <w:widowControl/>
              <w:spacing w:after="0" w:line="252" w:lineRule="auto"/>
            </w:pPr>
            <w:r>
              <w:rPr>
                <w:rFonts w:ascii="Calibri" w:hAnsi="Calibri"/>
                <w:color w:val="242424"/>
                <w:sz w:val="18"/>
              </w:rPr>
              <w:t>Location</w:t>
            </w:r>
          </w:p>
        </w:tc>
        <w:tc>
          <w:tcPr>
            <w:tcW w:type="dxa" w:w="3300"/>
            <w:tcMar>
              <w:top w:w="80" w:type="dxa"/>
              <w:start w:w="120" w:type="dxa"/>
              <w:bottom w:w="80" w:type="dxa"/>
              <w:end w:w="120" w:type="dxa"/>
            </w:tcMar>
            <w:vAlign w:val="center"/>
          </w:tcPr>
          <w:p>
            <w:pPr>
              <w:widowControl/>
              <w:spacing w:after="0" w:line="252" w:lineRule="auto"/>
            </w:pPr>
            <w:r>
              <w:rPr>
                <w:rFonts w:ascii="Calibri" w:hAnsi="Calibri"/>
                <w:color w:val="242424"/>
                <w:sz w:val="18"/>
              </w:rPr>
              <w:t>Allows optional proximity or area relevance.</w:t>
            </w:r>
          </w:p>
        </w:tc>
        <w:tc>
          <w:tcPr>
            <w:tcW w:type="dxa" w:w="4320"/>
            <w:tcMar>
              <w:top w:w="80" w:type="dxa"/>
              <w:start w:w="120" w:type="dxa"/>
              <w:bottom w:w="80" w:type="dxa"/>
              <w:end w:w="120" w:type="dxa"/>
            </w:tcMar>
            <w:vAlign w:val="center"/>
          </w:tcPr>
          <w:p>
            <w:pPr>
              <w:widowControl/>
              <w:spacing w:after="0" w:line="252" w:lineRule="auto"/>
            </w:pPr>
            <w:r>
              <w:rPr>
                <w:rFonts w:ascii="Calibri" w:hAnsi="Calibri"/>
                <w:color w:val="242424"/>
                <w:sz w:val="18"/>
              </w:rPr>
              <w:t>Manzini, Malkerns</w:t>
            </w:r>
          </w:p>
        </w:tc>
      </w:tr>
      <w:tr>
        <w:tc>
          <w:tcPr>
            <w:tcW w:type="dxa" w:w="17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Caption</w:t>
            </w:r>
          </w:p>
        </w:tc>
        <w:tc>
          <w:tcPr>
            <w:tcW w:type="dxa" w:w="3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Explains the offer or need in a compact format.</w:t>
            </w:r>
          </w:p>
        </w:tc>
        <w:tc>
          <w:tcPr>
            <w:tcW w:type="dxa" w:w="43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Selling a good second-hand laptop, E3,500</w:t>
            </w:r>
          </w:p>
        </w:tc>
      </w:tr>
      <w:tr>
        <w:tc>
          <w:tcPr>
            <w:tcW w:type="dxa" w:w="1740"/>
            <w:tcMar>
              <w:top w:w="80" w:type="dxa"/>
              <w:start w:w="120" w:type="dxa"/>
              <w:bottom w:w="80" w:type="dxa"/>
              <w:end w:w="120" w:type="dxa"/>
            </w:tcMar>
            <w:vAlign w:val="center"/>
          </w:tcPr>
          <w:p>
            <w:pPr>
              <w:widowControl/>
              <w:spacing w:after="0" w:line="252" w:lineRule="auto"/>
            </w:pPr>
            <w:r>
              <w:rPr>
                <w:rFonts w:ascii="Calibri" w:hAnsi="Calibri"/>
                <w:color w:val="242424"/>
                <w:sz w:val="18"/>
              </w:rPr>
              <w:t>Visibility</w:t>
            </w:r>
          </w:p>
        </w:tc>
        <w:tc>
          <w:tcPr>
            <w:tcW w:type="dxa" w:w="3300"/>
            <w:tcMar>
              <w:top w:w="80" w:type="dxa"/>
              <w:start w:w="120" w:type="dxa"/>
              <w:bottom w:w="80" w:type="dxa"/>
              <w:end w:w="120" w:type="dxa"/>
            </w:tcMar>
            <w:vAlign w:val="center"/>
          </w:tcPr>
          <w:p>
            <w:pPr>
              <w:widowControl/>
              <w:spacing w:after="0" w:line="252" w:lineRule="auto"/>
            </w:pPr>
            <w:r>
              <w:rPr>
                <w:rFonts w:ascii="Calibri" w:hAnsi="Calibri"/>
                <w:color w:val="242424"/>
                <w:sz w:val="18"/>
              </w:rPr>
              <w:t>Controls whether the profile appears during game sessions.</w:t>
            </w:r>
          </w:p>
        </w:tc>
        <w:tc>
          <w:tcPr>
            <w:tcW w:type="dxa" w:w="4320"/>
            <w:tcMar>
              <w:top w:w="80" w:type="dxa"/>
              <w:start w:w="120" w:type="dxa"/>
              <w:bottom w:w="80" w:type="dxa"/>
              <w:end w:w="120" w:type="dxa"/>
            </w:tcMar>
            <w:vAlign w:val="center"/>
          </w:tcPr>
          <w:p>
            <w:pPr>
              <w:widowControl/>
              <w:spacing w:after="0" w:line="252" w:lineRule="auto"/>
            </w:pPr>
            <w:r>
              <w:rPr>
                <w:rFonts w:ascii="Calibri" w:hAnsi="Calibri"/>
                <w:color w:val="242424"/>
                <w:sz w:val="18"/>
              </w:rPr>
              <w:t>Visible, hidden, eligible users only</w:t>
            </w:r>
          </w:p>
        </w:tc>
      </w:tr>
      <w:tr>
        <w:tc>
          <w:tcPr>
            <w:tcW w:type="dxa" w:w="17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Chat preference</w:t>
            </w:r>
          </w:p>
        </w:tc>
        <w:tc>
          <w:tcPr>
            <w:tcW w:type="dxa" w:w="3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Sets the default session-chat state.</w:t>
            </w:r>
          </w:p>
        </w:tc>
        <w:tc>
          <w:tcPr>
            <w:tcW w:type="dxa" w:w="43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Enabled by default / disabled by default</w:t>
            </w:r>
          </w:p>
        </w:tc>
      </w:tr>
    </w:tbl>
    <w:p>
      <w:pPr>
        <w:spacing w:after="20"/>
      </w:pPr>
    </w:p>
    <w:p>
      <w:pPr>
        <w:pStyle w:val="TableNote"/>
      </w:pPr>
      <w:r>
        <w:rPr>
          <w:rFonts w:ascii="Calibri" w:hAnsi="Calibri"/>
        </w:rPr>
        <w:t>Predefined captions should be available at no cost and generated from structured fields. Custom captions are a paid option and must pass length, content and moderation rules before display.</w:t>
      </w:r>
    </w:p>
    <w:p>
      <w:pPr>
        <w:pStyle w:val="Heading2"/>
      </w:pPr>
      <w:r>
        <w:t>4.2 Agent panel behaviour</w:t>
      </w:r>
    </w:p>
    <w:p>
      <w:pPr>
        <w:spacing w:after="160" w:line="280" w:lineRule="auto"/>
        <w:numPr>
          <w:ilvl w:val="0"/>
          <w:numId w:val="13"/>
        </w:numPr>
      </w:pPr>
      <w:r>
        <w:t>At game-session start, the panel evaluates both users’ entitlements, visibility and consent settings.</w:t>
      </w:r>
    </w:p>
    <w:p>
      <w:pPr>
        <w:spacing w:after="160" w:line="280" w:lineRule="auto"/>
        <w:numPr>
          <w:ilvl w:val="0"/>
          <w:numId w:val="13"/>
        </w:numPr>
      </w:pPr>
      <w:r>
        <w:t>If eligible promotional or matching content exists, the panel shows a compact profile identity, category label and caption.</w:t>
      </w:r>
    </w:p>
    <w:p>
      <w:pPr>
        <w:spacing w:after="160" w:line="280" w:lineRule="auto"/>
        <w:numPr>
          <w:ilvl w:val="0"/>
          <w:numId w:val="13"/>
        </w:numPr>
      </w:pPr>
      <w:r>
        <w:t>If chat is enabled for both players, the panel may show the latest message only. A new message replaces the previous one in the compact view.</w:t>
      </w:r>
    </w:p>
    <w:p>
      <w:pPr>
        <w:spacing w:after="160" w:line="280" w:lineRule="auto"/>
        <w:numPr>
          <w:ilvl w:val="0"/>
          <w:numId w:val="13"/>
        </w:numPr>
      </w:pPr>
      <w:r>
        <w:t>If either user disables chat, hides their profile or is ineligible for the relevant mode, the panel falls back to normal game instructions and commentary.</w:t>
      </w:r>
    </w:p>
    <w:p>
      <w:pPr>
        <w:spacing w:after="160" w:line="280" w:lineRule="auto"/>
        <w:numPr>
          <w:ilvl w:val="0"/>
          <w:numId w:val="13"/>
        </w:numPr>
      </w:pPr>
      <w:r>
        <w:t>The game must continue independently if the panel, chat service or matching service becomes unavailable.</w:t>
      </w:r>
    </w:p>
    <w:p>
      <w:pPr>
        <w:pStyle w:val="Heading2"/>
      </w:pPr>
      <w:r>
        <w:t>4.3 Example captions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widowControl/>
              <w:spacing w:after="0"/>
            </w:pPr>
            <w:r>
              <w:rPr>
                <w:rFonts w:ascii="Calibri" w:hAnsi="Calibri"/>
                <w:b/>
                <w:color w:val="781C2E"/>
                <w:sz w:val="19"/>
              </w:rPr>
              <w:t>Category</w:t>
            </w:r>
          </w:p>
        </w:tc>
        <w:tc>
          <w:tcPr>
            <w:tcW w:type="dxa" w:w="7160"/>
            <w:shd w:fill="F2F4F7"/>
            <w:tcMar>
              <w:top w:w="80" w:type="dxa"/>
              <w:start w:w="120" w:type="dxa"/>
              <w:bottom w:w="80" w:type="dxa"/>
              <w:end w:w="120" w:type="dxa"/>
            </w:tcMar>
            <w:vAlign w:val="center"/>
          </w:tcPr>
          <w:p>
            <w:pPr>
              <w:widowControl/>
              <w:spacing w:after="0"/>
            </w:pPr>
            <w:r>
              <w:rPr>
                <w:rFonts w:ascii="Calibri" w:hAnsi="Calibri"/>
                <w:b/>
                <w:color w:val="781C2E"/>
                <w:sz w:val="19"/>
              </w:rPr>
              <w:t>Illustrative caption</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Selling</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Sipho is selling quality second-hand cars.</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Seeking</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Ncedo is looking for a reliable second-hand laptop.</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Property</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Themba is looking for a one-room flat in Manzini.</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Property listing</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One-room flats are available in Malkerns.</w:t>
            </w:r>
          </w:p>
        </w:tc>
      </w:tr>
      <w:tr>
        <w:tc>
          <w:tcPr>
            <w:tcW w:type="dxa" w:w="2200"/>
            <w:tcMar>
              <w:top w:w="80" w:type="dxa"/>
              <w:start w:w="120" w:type="dxa"/>
              <w:bottom w:w="80" w:type="dxa"/>
              <w:end w:w="120" w:type="dxa"/>
            </w:tcMar>
            <w:vAlign w:val="center"/>
          </w:tcPr>
          <w:p>
            <w:pPr>
              <w:widowControl/>
              <w:spacing w:after="0" w:line="252" w:lineRule="auto"/>
            </w:pPr>
            <w:r>
              <w:rPr>
                <w:rFonts w:ascii="Calibri" w:hAnsi="Calibri"/>
                <w:color w:val="242424"/>
                <w:sz w:val="18"/>
              </w:rPr>
              <w:t>Collaboration</w:t>
            </w:r>
          </w:p>
        </w:tc>
        <w:tc>
          <w:tcPr>
            <w:tcW w:type="dxa" w:w="7160"/>
            <w:tcMar>
              <w:top w:w="80" w:type="dxa"/>
              <w:start w:w="120" w:type="dxa"/>
              <w:bottom w:w="80" w:type="dxa"/>
              <w:end w:w="120" w:type="dxa"/>
            </w:tcMar>
            <w:vAlign w:val="center"/>
          </w:tcPr>
          <w:p>
            <w:pPr>
              <w:widowControl/>
              <w:spacing w:after="0" w:line="252" w:lineRule="auto"/>
            </w:pPr>
            <w:r>
              <w:rPr>
                <w:rFonts w:ascii="Calibri" w:hAnsi="Calibri"/>
                <w:color w:val="242424"/>
                <w:sz w:val="18"/>
              </w:rPr>
              <w:t>Cebo is looking for a farming business partner.</w:t>
            </w:r>
          </w:p>
        </w:tc>
      </w:tr>
      <w:tr>
        <w:tc>
          <w:tcPr>
            <w:tcW w:type="dxa" w:w="22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Relationship</w:t>
            </w:r>
          </w:p>
        </w:tc>
        <w:tc>
          <w:tcPr>
            <w:tcW w:type="dxa" w:w="71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Visible only to mutually eligible, opted-in adult users.</w:t>
            </w:r>
          </w:p>
        </w:tc>
      </w:tr>
    </w:tbl>
    <w:p>
      <w:pPr>
        <w:spacing w:after="20"/>
      </w:pPr>
    </w:p>
    <w:p>
      <w:pPr>
        <w:pStyle w:val="Heading1"/>
      </w:pPr>
      <w:r>
        <w:t>5. Matching model</w:t>
      </w:r>
    </w:p>
    <w:p>
      <w:pPr>
        <w:pStyle w:val="Heading2"/>
      </w:pPr>
      <w:r>
        <w:t>5.1 Matching levels</w:t>
      </w:r>
    </w:p>
    <w:tbl>
      <w:tblPr>
        <w:tblStyle w:val="TableGrid"/>
        <w:tblW w:type="dxa" w:w="9360"/>
        <w:jc w:val="left"/>
        <w:tblLayout w:type="fixed"/>
        <w:tblLook w:firstColumn="1" w:firstRow="1" w:lastColumn="0" w:lastRow="0" w:noHBand="0" w:noVBand="1" w:val="04A0"/>
        <w:tblInd w:w="120" w:type="dxa"/>
      </w:tblPr>
      <w:tblGrid>
        <w:gridCol w:w="1800"/>
        <w:gridCol w:w="4800"/>
        <w:gridCol w:w="2760"/>
      </w:tblGrid>
      <w:tr>
        <w:trPr>
          <w:tblHeader w:val="true"/>
        </w:trPr>
        <w:tc>
          <w:tcPr>
            <w:tcW w:type="dxa" w:w="1800"/>
            <w:shd w:fill="F2F4F7"/>
            <w:tcMar>
              <w:top w:w="80" w:type="dxa"/>
              <w:start w:w="120" w:type="dxa"/>
              <w:bottom w:w="80" w:type="dxa"/>
              <w:end w:w="120" w:type="dxa"/>
            </w:tcMar>
            <w:vAlign w:val="center"/>
          </w:tcPr>
          <w:p>
            <w:pPr>
              <w:widowControl/>
              <w:spacing w:after="0"/>
            </w:pPr>
            <w:r>
              <w:rPr>
                <w:rFonts w:ascii="Calibri" w:hAnsi="Calibri"/>
                <w:b/>
                <w:color w:val="781C2E"/>
                <w:sz w:val="19"/>
              </w:rPr>
              <w:t>Level</w:t>
            </w:r>
          </w:p>
        </w:tc>
        <w:tc>
          <w:tcPr>
            <w:tcW w:type="dxa" w:w="4800"/>
            <w:shd w:fill="F2F4F7"/>
            <w:tcMar>
              <w:top w:w="80" w:type="dxa"/>
              <w:start w:w="120" w:type="dxa"/>
              <w:bottom w:w="80" w:type="dxa"/>
              <w:end w:w="120" w:type="dxa"/>
            </w:tcMar>
            <w:vAlign w:val="center"/>
          </w:tcPr>
          <w:p>
            <w:pPr>
              <w:widowControl/>
              <w:spacing w:after="0"/>
            </w:pPr>
            <w:r>
              <w:rPr>
                <w:rFonts w:ascii="Calibri" w:hAnsi="Calibri"/>
                <w:b/>
                <w:color w:val="781C2E"/>
                <w:sz w:val="19"/>
              </w:rPr>
              <w:t>How it works</w:t>
            </w:r>
          </w:p>
        </w:tc>
        <w:tc>
          <w:tcPr>
            <w:tcW w:type="dxa" w:w="2760"/>
            <w:shd w:fill="F2F4F7"/>
            <w:tcMar>
              <w:top w:w="80" w:type="dxa"/>
              <w:start w:w="120" w:type="dxa"/>
              <w:bottom w:w="80" w:type="dxa"/>
              <w:end w:w="120" w:type="dxa"/>
            </w:tcMar>
            <w:vAlign w:val="center"/>
          </w:tcPr>
          <w:p>
            <w:pPr>
              <w:widowControl/>
              <w:spacing w:after="0"/>
            </w:pPr>
            <w:r>
              <w:rPr>
                <w:rFonts w:ascii="Calibri" w:hAnsi="Calibri"/>
                <w:b/>
                <w:color w:val="781C2E"/>
                <w:sz w:val="19"/>
              </w:rPr>
              <w:t>User expectation</w:t>
            </w:r>
          </w:p>
        </w:tc>
      </w:tr>
      <w:tr>
        <w:tc>
          <w:tcPr>
            <w:tcW w:type="dxa" w:w="1800"/>
            <w:tcMar>
              <w:top w:w="80" w:type="dxa"/>
              <w:start w:w="120" w:type="dxa"/>
              <w:bottom w:w="80" w:type="dxa"/>
              <w:end w:w="120" w:type="dxa"/>
            </w:tcMar>
            <w:vAlign w:val="center"/>
          </w:tcPr>
          <w:p>
            <w:pPr>
              <w:widowControl/>
              <w:spacing w:after="0" w:line="252" w:lineRule="auto"/>
            </w:pPr>
            <w:r>
              <w:rPr>
                <w:rFonts w:ascii="Calibri" w:hAnsi="Calibri"/>
                <w:color w:val="242424"/>
                <w:sz w:val="18"/>
              </w:rPr>
              <w:t>Passive visibility</w:t>
            </w:r>
          </w:p>
        </w:tc>
        <w:tc>
          <w:tcPr>
            <w:tcW w:type="dxa" w:w="4800"/>
            <w:tcMar>
              <w:top w:w="80" w:type="dxa"/>
              <w:start w:w="120" w:type="dxa"/>
              <w:bottom w:w="80" w:type="dxa"/>
              <w:end w:w="120" w:type="dxa"/>
            </w:tcMar>
            <w:vAlign w:val="center"/>
          </w:tcPr>
          <w:p>
            <w:pPr>
              <w:widowControl/>
              <w:spacing w:after="0" w:line="252" w:lineRule="auto"/>
            </w:pPr>
            <w:r>
              <w:rPr>
                <w:rFonts w:ascii="Calibri" w:hAnsi="Calibri"/>
                <w:color w:val="242424"/>
                <w:sz w:val="18"/>
              </w:rPr>
              <w:t>The user’s eligible caption is shown to naturally assigned opponents. No buyer/seller or intent matching changes the bracket.</w:t>
            </w:r>
          </w:p>
        </w:tc>
        <w:tc>
          <w:tcPr>
            <w:tcW w:type="dxa" w:w="2760"/>
            <w:tcMar>
              <w:top w:w="80" w:type="dxa"/>
              <w:start w:w="120" w:type="dxa"/>
              <w:bottom w:w="80" w:type="dxa"/>
              <w:end w:w="120" w:type="dxa"/>
            </w:tcMar>
            <w:vAlign w:val="center"/>
          </w:tcPr>
          <w:p>
            <w:pPr>
              <w:widowControl/>
              <w:spacing w:after="0" w:line="252" w:lineRule="auto"/>
            </w:pPr>
            <w:r>
              <w:rPr>
                <w:rFonts w:ascii="Calibri" w:hAnsi="Calibri"/>
                <w:color w:val="242424"/>
                <w:sz w:val="18"/>
              </w:rPr>
              <w:t>Free exposure; relevance is not guaranteed.</w:t>
            </w:r>
          </w:p>
        </w:tc>
      </w:tr>
      <w:tr>
        <w:tc>
          <w:tcPr>
            <w:tcW w:type="dxa" w:w="18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Match matching</w:t>
            </w:r>
          </w:p>
        </w:tc>
        <w:tc>
          <w:tcPr>
            <w:tcW w:type="dxa" w:w="48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Within an already formed bracket, the system gives preference to a relevant first-round opponent where possible.</w:t>
            </w:r>
          </w:p>
        </w:tc>
        <w:tc>
          <w:tcPr>
            <w:tcW w:type="dxa" w:w="27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Improved probability, but the target audience may not be present in that bracket.</w:t>
            </w:r>
          </w:p>
        </w:tc>
      </w:tr>
      <w:tr>
        <w:tc>
          <w:tcPr>
            <w:tcW w:type="dxa" w:w="1800"/>
            <w:tcMar>
              <w:top w:w="80" w:type="dxa"/>
              <w:start w:w="120" w:type="dxa"/>
              <w:bottom w:w="80" w:type="dxa"/>
              <w:end w:w="120" w:type="dxa"/>
            </w:tcMar>
            <w:vAlign w:val="center"/>
          </w:tcPr>
          <w:p>
            <w:pPr>
              <w:widowControl/>
              <w:spacing w:after="0" w:line="252" w:lineRule="auto"/>
            </w:pPr>
            <w:r>
              <w:rPr>
                <w:rFonts w:ascii="Calibri" w:hAnsi="Calibri"/>
                <w:color w:val="242424"/>
                <w:sz w:val="18"/>
              </w:rPr>
              <w:t>Bracket matching</w:t>
            </w:r>
          </w:p>
        </w:tc>
        <w:tc>
          <w:tcPr>
            <w:tcW w:type="dxa" w:w="4800"/>
            <w:tcMar>
              <w:top w:w="80" w:type="dxa"/>
              <w:start w:w="120" w:type="dxa"/>
              <w:bottom w:w="80" w:type="dxa"/>
              <w:end w:w="120" w:type="dxa"/>
            </w:tcMar>
            <w:vAlign w:val="center"/>
          </w:tcPr>
          <w:p>
            <w:pPr>
              <w:widowControl/>
              <w:spacing w:after="0" w:line="252" w:lineRule="auto"/>
            </w:pPr>
            <w:r>
              <w:rPr>
                <w:rFonts w:ascii="Calibri" w:hAnsi="Calibri"/>
                <w:color w:val="242424"/>
                <w:sz w:val="18"/>
              </w:rPr>
              <w:t>Before joining, eligible users can identify open brackets containing compatible demand or supply signals and choose a relevant bracket.</w:t>
            </w:r>
          </w:p>
        </w:tc>
        <w:tc>
          <w:tcPr>
            <w:tcW w:type="dxa" w:w="2760"/>
            <w:tcMar>
              <w:top w:w="80" w:type="dxa"/>
              <w:start w:w="120" w:type="dxa"/>
              <w:bottom w:w="80" w:type="dxa"/>
              <w:end w:w="120" w:type="dxa"/>
            </w:tcMar>
            <w:vAlign w:val="center"/>
          </w:tcPr>
          <w:p>
            <w:pPr>
              <w:widowControl/>
              <w:spacing w:after="0" w:line="252" w:lineRule="auto"/>
            </w:pPr>
            <w:r>
              <w:rPr>
                <w:rFonts w:ascii="Calibri" w:hAnsi="Calibri"/>
                <w:color w:val="242424"/>
                <w:sz w:val="18"/>
              </w:rPr>
              <w:t>Higher-intelligence discovery with stronger relevance, subject to availability.</w:t>
            </w:r>
          </w:p>
        </w:tc>
      </w:tr>
      <w:tr>
        <w:tc>
          <w:tcPr>
            <w:tcW w:type="dxa" w:w="18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Relationship matching</w:t>
            </w:r>
          </w:p>
        </w:tc>
        <w:tc>
          <w:tcPr>
            <w:tcW w:type="dxa" w:w="48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Mutually eligible adult users are paired using reciprocal preferences and safety rules, primarily in the first round.</w:t>
            </w:r>
          </w:p>
        </w:tc>
        <w:tc>
          <w:tcPr>
            <w:tcW w:type="dxa" w:w="27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A relevant introduction, not a guaranteed personal outcome.</w:t>
            </w:r>
          </w:p>
        </w:tc>
      </w:tr>
    </w:tbl>
    <w:p>
      <w:pPr>
        <w:spacing w:after="20"/>
      </w:pPr>
    </w:p>
    <w:p>
      <w:pPr>
        <w:pStyle w:val="Heading2"/>
      </w:pPr>
      <w:r>
        <w:t>5.2 First-round constraint</w:t>
      </w:r>
    </w:p>
    <w:p>
      <w:r>
        <w:rPr>
          <w:rFonts w:ascii="Calibri" w:hAnsi="Calibri"/>
        </w:rPr>
        <w:t>Intent-based pairing applies only to the first round because subsequent rounds are determined by game outcomes. The matching service may recommend or select first-round pairings, but it must not alter later-round progression, seed manipulation rules, game results or prize logic.</w:t>
      </w:r>
    </w:p>
    <w:p>
      <w:pPr>
        <w:pStyle w:val="Heading2"/>
      </w:pPr>
      <w:r>
        <w:t>5.3 Proposed scoring approach</w:t>
      </w:r>
    </w:p>
    <w:p>
      <w:r>
        <w:rPr>
          <w:rFonts w:ascii="Calibri" w:hAnsi="Calibri"/>
        </w:rPr>
        <w:t>The initial algorithm should use a transparent, rule-based score rather than opaque AI. A candidate score may consider intent complementarity, category match, location relevance, entitlement level, reciprocal eligibility, previous pairings, availability and safety exclusions. Hard constraints are checked first; soft factors then rank eligible candidates.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pPr>
              <w:widowControl/>
              <w:spacing w:after="0"/>
            </w:pPr>
            <w:r>
              <w:rPr>
                <w:rFonts w:ascii="Calibri" w:hAnsi="Calibri"/>
                <w:b/>
                <w:color w:val="781C2E"/>
                <w:sz w:val="19"/>
              </w:rPr>
              <w:t>Stage</w:t>
            </w:r>
          </w:p>
        </w:tc>
        <w:tc>
          <w:tcPr>
            <w:tcW w:type="dxa" w:w="6960"/>
            <w:shd w:fill="F2F4F7"/>
            <w:tcMar>
              <w:top w:w="80" w:type="dxa"/>
              <w:start w:w="120" w:type="dxa"/>
              <w:bottom w:w="80" w:type="dxa"/>
              <w:end w:w="120" w:type="dxa"/>
            </w:tcMar>
            <w:vAlign w:val="center"/>
          </w:tcPr>
          <w:p>
            <w:pPr>
              <w:widowControl/>
              <w:spacing w:after="0"/>
            </w:pPr>
            <w:r>
              <w:rPr>
                <w:rFonts w:ascii="Calibri" w:hAnsi="Calibri"/>
                <w:b/>
                <w:color w:val="781C2E"/>
                <w:sz w:val="19"/>
              </w:rPr>
              <w:t>Examples</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1. Eligibility filter</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Active account, correct plan, opted in, profile visible, adult eligibility where required, not blocked or reported.</w:t>
            </w:r>
          </w:p>
        </w:tc>
      </w:tr>
      <w:tr>
        <w:tc>
          <w:tcPr>
            <w:tcW w:type="dxa" w:w="24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2. Intent compatibility</w:t>
            </w:r>
          </w:p>
        </w:tc>
        <w:tc>
          <w:tcPr>
            <w:tcW w:type="dxa" w:w="69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Seller ↔ seeker; collaborator ↔ collaborator; mutually compatible relationship preferences.</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3. Relevance score</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Category, subcategory, location and stated preferences.</w:t>
            </w:r>
          </w:p>
        </w:tc>
      </w:tr>
      <w:tr>
        <w:tc>
          <w:tcPr>
            <w:tcW w:type="dxa" w:w="24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4. Tournament constraints</w:t>
            </w:r>
          </w:p>
        </w:tc>
        <w:tc>
          <w:tcPr>
            <w:tcW w:type="dxa" w:w="69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Same open bracket, first round only, valid bracket size and existing seeding rules.</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5. Fairness and variety</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Avoid repeated pairing, provide tie-breaking and prevent paid status from affecting game results.</w:t>
            </w:r>
          </w:p>
        </w:tc>
      </w:tr>
      <w:tr>
        <w:tc>
          <w:tcPr>
            <w:tcW w:type="dxa" w:w="24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6. Fallback</w:t>
            </w:r>
          </w:p>
        </w:tc>
        <w:tc>
          <w:tcPr>
            <w:tcW w:type="dxa" w:w="69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Use standard bracket assignment when no eligible match exists.</w:t>
            </w:r>
          </w:p>
        </w:tc>
      </w:tr>
    </w:tbl>
    <w:p>
      <w:pPr>
        <w:spacing w:after="20"/>
      </w:pPr>
    </w:p>
    <w:p>
      <w:pPr>
        <w:pStyle w:val="Heading2"/>
      </w:pPr>
      <w:r>
        <w:t>5.4 Relationship-matching policy</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vAlign w:val="center"/>
            <w:shd w:fill="FCE8E6"/>
            <w:tcBorders>
              <w:left w:val="single" w:sz="20" w:color="9B1C1C"/>
            </w:tcBorders>
          </w:tcPr>
          <w:p>
            <w:pPr>
              <w:pStyle w:val="KeyTakeaway"/>
              <w:widowControl/>
            </w:pPr>
            <w:r>
              <w:rPr>
                <w:rFonts w:ascii="Calibri" w:hAnsi="Calibri"/>
                <w:b/>
                <w:color w:val="781C2E"/>
              </w:rPr>
              <w:t xml:space="preserve">Recommended policy: </w:t>
            </w:r>
            <w:r>
              <w:t>Relationship matching should be restricted to verified 18+ users who explicitly opt in. Matches should use each user’s self-selected age range, gender and location preferences, require reciprocal eligibility, and remain invisible to non-participants. A fixed rule pairing younger women with older men should not be implemented because it is exclusionary, difficult to justify and creates avoidable safety and compliance risk.</w:t>
            </w:r>
          </w:p>
        </w:tc>
      </w:tr>
    </w:tbl>
    <w:p>
      <w:pPr>
        <w:spacing w:after="20"/>
      </w:pPr>
    </w:p>
    <w:p>
      <w:pPr>
        <w:pStyle w:val="Heading1"/>
      </w:pPr>
      <w:r>
        <w:t>6. Plans, pricing and commercial rules</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rPr>
        <w:tc>
          <w:tcPr>
            <w:tcW w:type="dxa" w:w="2500"/>
            <w:shd w:fill="F2F4F7"/>
            <w:tcMar>
              <w:top w:w="80" w:type="dxa"/>
              <w:start w:w="120" w:type="dxa"/>
              <w:bottom w:w="80" w:type="dxa"/>
              <w:end w:w="120" w:type="dxa"/>
            </w:tcMar>
            <w:vAlign w:val="center"/>
          </w:tcPr>
          <w:p>
            <w:r>
              <w:t>Plan</w:t>
            </w:r>
          </w:p>
        </w:tc>
        <w:tc>
          <w:tcPr>
            <w:tcW w:type="dxa" w:w="1800"/>
            <w:shd w:fill="F2F4F7"/>
            <w:tcMar>
              <w:top w:w="80" w:type="dxa"/>
              <w:start w:w="120" w:type="dxa"/>
              <w:bottom w:w="80" w:type="dxa"/>
              <w:end w:w="120" w:type="dxa"/>
            </w:tcMar>
            <w:vAlign w:val="center"/>
          </w:tcPr>
          <w:p>
            <w:r>
              <w:t>MVP price</w:t>
            </w:r>
          </w:p>
        </w:tc>
        <w:tc>
          <w:tcPr>
            <w:tcW w:type="dxa" w:w="5060"/>
            <w:shd w:fill="F2F4F7"/>
            <w:tcMar>
              <w:top w:w="80" w:type="dxa"/>
              <w:start w:w="120" w:type="dxa"/>
              <w:bottom w:w="80" w:type="dxa"/>
              <w:end w:w="120" w:type="dxa"/>
            </w:tcMar>
            <w:vAlign w:val="center"/>
          </w:tcPr>
          <w:p>
            <w:r>
              <w:t>Core entitlement</w:t>
            </w:r>
          </w:p>
        </w:tc>
      </w:tr>
      <w:tr>
        <w:tc>
          <w:tcPr>
            <w:tcW w:type="dxa" w:w="2500"/>
            <w:tcMar>
              <w:top w:w="80" w:type="dxa"/>
              <w:start w:w="120" w:type="dxa"/>
              <w:bottom w:w="80" w:type="dxa"/>
              <w:end w:w="120" w:type="dxa"/>
            </w:tcMar>
            <w:vAlign w:val="center"/>
          </w:tcPr>
          <w:p>
            <w:r>
              <w:t>Free Seeker</w:t>
            </w:r>
          </w:p>
        </w:tc>
        <w:tc>
          <w:tcPr>
            <w:tcW w:type="dxa" w:w="1800"/>
            <w:tcMar>
              <w:top w:w="80" w:type="dxa"/>
              <w:start w:w="120" w:type="dxa"/>
              <w:bottom w:w="80" w:type="dxa"/>
              <w:end w:w="120" w:type="dxa"/>
            </w:tcMar>
            <w:vAlign w:val="center"/>
          </w:tcPr>
          <w:p>
            <w:r>
              <w:t>E0</w:t>
            </w:r>
          </w:p>
        </w:tc>
        <w:tc>
          <w:tcPr>
            <w:tcW w:type="dxa" w:w="5060"/>
            <w:tcMar>
              <w:top w:w="80" w:type="dxa"/>
              <w:start w:w="120" w:type="dxa"/>
              <w:bottom w:w="80" w:type="dxa"/>
              <w:end w:w="120" w:type="dxa"/>
            </w:tcMar>
            <w:vAlign w:val="center"/>
          </w:tcPr>
          <w:p>
            <w:r>
              <w:t>Consent-based seeker visibility, Cup qualification eligibility, multigame brackets and universal referral access.</w:t>
            </w:r>
          </w:p>
        </w:tc>
      </w:tr>
      <w:tr>
        <w:tc>
          <w:tcPr>
            <w:tcW w:type="dxa" w:w="2500"/>
            <w:shd w:fill="FAFAFA"/>
            <w:tcMar>
              <w:top w:w="80" w:type="dxa"/>
              <w:start w:w="120" w:type="dxa"/>
              <w:bottom w:w="80" w:type="dxa"/>
              <w:end w:w="120" w:type="dxa"/>
            </w:tcMar>
            <w:vAlign w:val="center"/>
          </w:tcPr>
          <w:p>
            <w:r>
              <w:t>Hybrid</w:t>
            </w:r>
          </w:p>
        </w:tc>
        <w:tc>
          <w:tcPr>
            <w:tcW w:type="dxa" w:w="1800"/>
            <w:shd w:fill="FAFAFA"/>
            <w:tcMar>
              <w:top w:w="80" w:type="dxa"/>
              <w:start w:w="120" w:type="dxa"/>
              <w:bottom w:w="80" w:type="dxa"/>
              <w:end w:w="120" w:type="dxa"/>
            </w:tcMar>
            <w:vAlign w:val="center"/>
          </w:tcPr>
          <w:p>
            <w:r>
              <w:t>E20 / 7-day pass</w:t>
            </w:r>
          </w:p>
        </w:tc>
        <w:tc>
          <w:tcPr>
            <w:tcW w:type="dxa" w:w="5060"/>
            <w:shd w:fill="FAFAFA"/>
            <w:tcMar>
              <w:top w:w="80" w:type="dxa"/>
              <w:start w:w="120" w:type="dxa"/>
              <w:bottom w:w="80" w:type="dxa"/>
              <w:end w:w="120" w:type="dxa"/>
            </w:tcMar>
            <w:vAlign w:val="center"/>
          </w:tcPr>
          <w:p>
            <w:r>
              <w:t>Potential relevant seller/seeker matching inside the bracket already joined.</w:t>
            </w:r>
          </w:p>
        </w:tc>
      </w:tr>
      <w:tr>
        <w:tc>
          <w:tcPr>
            <w:tcW w:type="dxa" w:w="2500"/>
            <w:tcMar>
              <w:top w:w="80" w:type="dxa"/>
              <w:start w:w="120" w:type="dxa"/>
              <w:bottom w:w="80" w:type="dxa"/>
              <w:end w:w="120" w:type="dxa"/>
            </w:tcMar>
            <w:vAlign w:val="center"/>
          </w:tcPr>
          <w:p>
            <w:r>
              <w:t>Hybrid+</w:t>
            </w:r>
          </w:p>
        </w:tc>
        <w:tc>
          <w:tcPr>
            <w:tcW w:type="dxa" w:w="1800"/>
            <w:tcMar>
              <w:top w:w="80" w:type="dxa"/>
              <w:start w:w="120" w:type="dxa"/>
              <w:bottom w:w="80" w:type="dxa"/>
              <w:end w:w="120" w:type="dxa"/>
            </w:tcMar>
            <w:vAlign w:val="center"/>
          </w:tcPr>
          <w:p>
            <w:r>
              <w:t>E40 / 7-day pass</w:t>
            </w:r>
          </w:p>
        </w:tc>
        <w:tc>
          <w:tcPr>
            <w:tcW w:type="dxa" w:w="5060"/>
            <w:tcMar>
              <w:top w:w="80" w:type="dxa"/>
              <w:start w:w="120" w:type="dxa"/>
              <w:bottom w:w="80" w:type="dxa"/>
              <w:end w:w="120" w:type="dxa"/>
            </w:tcMar>
            <w:vAlign w:val="center"/>
          </w:tcPr>
          <w:p>
            <w:r>
              <w:t>Hybrid access plus privacy-safe discovery of relevant eligible open brackets before joining.</w:t>
            </w:r>
          </w:p>
        </w:tc>
      </w:tr>
      <w:tr>
        <w:tc>
          <w:tcPr>
            <w:tcW w:type="dxa" w:w="2500"/>
            <w:shd w:fill="FAFAFA"/>
            <w:tcMar>
              <w:top w:w="80" w:type="dxa"/>
              <w:start w:w="120" w:type="dxa"/>
              <w:bottom w:w="80" w:type="dxa"/>
              <w:end w:w="120" w:type="dxa"/>
            </w:tcMar>
            <w:vAlign w:val="center"/>
          </w:tcPr>
          <w:p>
            <w:r>
              <w:t>Premium</w:t>
            </w:r>
          </w:p>
        </w:tc>
        <w:tc>
          <w:tcPr>
            <w:tcW w:type="dxa" w:w="1800"/>
            <w:shd w:fill="FAFAFA"/>
            <w:tcMar>
              <w:top w:w="80" w:type="dxa"/>
              <w:start w:w="120" w:type="dxa"/>
              <w:bottom w:w="80" w:type="dxa"/>
              <w:end w:w="120" w:type="dxa"/>
            </w:tcMar>
            <w:vAlign w:val="center"/>
          </w:tcPr>
          <w:p>
            <w:r>
              <w:t>E60 / 7-day pass</w:t>
            </w:r>
          </w:p>
        </w:tc>
        <w:tc>
          <w:tcPr>
            <w:tcW w:type="dxa" w:w="5060"/>
            <w:shd w:fill="FAFAFA"/>
            <w:tcMar>
              <w:top w:w="80" w:type="dxa"/>
              <w:start w:w="120" w:type="dxa"/>
              <w:bottom w:w="80" w:type="dxa"/>
              <w:end w:w="120" w:type="dxa"/>
            </w:tcMar>
            <w:vAlign w:val="center"/>
          </w:tcPr>
          <w:p>
            <w:r>
              <w:t>Hybrid+ plus opted-in open-bracket alerts through openWA. Sale remains locked until the approved live alert adapter exists.</w:t>
            </w:r>
          </w:p>
        </w:tc>
      </w:tr>
      <w:tr>
        <w:tc>
          <w:tcPr>
            <w:tcW w:type="dxa" w:w="2500"/>
            <w:tcMar>
              <w:top w:w="80" w:type="dxa"/>
              <w:start w:w="120" w:type="dxa"/>
              <w:bottom w:w="80" w:type="dxa"/>
              <w:end w:w="120" w:type="dxa"/>
            </w:tcMar>
            <w:vAlign w:val="center"/>
          </w:tcPr>
          <w:p>
            <w:r>
              <w:t>Referral reward</w:t>
            </w:r>
          </w:p>
        </w:tc>
        <w:tc>
          <w:tcPr>
            <w:tcW w:type="dxa" w:w="1800"/>
            <w:tcMar>
              <w:top w:w="80" w:type="dxa"/>
              <w:start w:w="120" w:type="dxa"/>
              <w:bottom w:w="80" w:type="dxa"/>
              <w:end w:w="120" w:type="dxa"/>
            </w:tcMar>
            <w:vAlign w:val="center"/>
          </w:tcPr>
          <w:p>
            <w:r>
              <w:t>E10 promotional credit</w:t>
            </w:r>
          </w:p>
        </w:tc>
        <w:tc>
          <w:tcPr>
            <w:tcW w:type="dxa" w:w="5060"/>
            <w:tcMar>
              <w:top w:w="80" w:type="dxa"/>
              <w:start w:w="120" w:type="dxa"/>
              <w:bottom w:w="80" w:type="dxa"/>
              <w:end w:w="120" w:type="dxa"/>
            </w:tcMar>
            <w:vAlign w:val="center"/>
          </w:tcPr>
          <w:p>
            <w:r>
              <w:t>Available on every plan after the referred active user completes a first valid ordinary tournament; awarded once and non-withdrawable.</w:t>
            </w:r>
          </w:p>
        </w:tc>
      </w:tr>
    </w:tbl>
    <w:p>
      <w:pPr>
        <w:spacing w:after="20"/>
      </w:pPr>
    </w:p>
    <w:p>
      <w:pPr>
        <w:pStyle w:val="Heading2"/>
      </w:pPr>
      <w:r>
        <w:t>6.1 Commercial rules</w:t>
      </w:r>
    </w:p>
    <w:p>
      <w:pPr>
        <w:spacing w:after="160" w:line="280" w:lineRule="auto"/>
        <w:numPr>
          <w:ilvl w:val="0"/>
          <w:numId w:val="10"/>
        </w:numPr>
      </w:pPr>
      <w:r>
        <w:t>Referral access remains universal on every plan. Paid commercial access uses non-renewing passes; the highest active entitlement determines matching access.</w:t>
      </w:r>
    </w:p>
    <w:p>
      <w:pPr>
        <w:spacing w:after="160" w:line="280" w:lineRule="auto"/>
        <w:numPr>
          <w:ilvl w:val="0"/>
          <w:numId w:val="10"/>
        </w:numPr>
      </w:pPr>
      <w:r>
        <w:t>Users may upgrade by purchasing a higher pass. Repeated purchases extend the same plan from its current expiry. Public refund, cancellation, tax and receipt terms still require owner and legal approval before public monetisation.</w:t>
      </w:r>
    </w:p>
    <w:p>
      <w:pPr>
        <w:spacing w:after="160" w:line="280" w:lineRule="auto"/>
        <w:numPr>
          <w:ilvl w:val="0"/>
          <w:numId w:val="10"/>
        </w:numPr>
      </w:pPr>
      <w:r>
        <w:t>If a relationship subscriber faces an opponent who is not enrolled in relationship matching, relationship content remains hidden. If the subscriber also has an eligible commercial caption, the panel may show that commercial caption instead.</w:t>
      </w:r>
    </w:p>
    <w:p>
      <w:pPr>
        <w:spacing w:after="160" w:line="280" w:lineRule="auto"/>
        <w:numPr>
          <w:ilvl w:val="0"/>
          <w:numId w:val="10"/>
        </w:numPr>
      </w:pPr>
      <w:r>
        <w:t>Paid matching improves discovery priority or eligibility; it must never influence game outcomes, card dealing, scoring, prize calculations or later-round progression.</w:t>
      </w:r>
    </w:p>
    <w:p>
      <w:pPr>
        <w:spacing w:after="160" w:line="280" w:lineRule="auto"/>
        <w:numPr>
          <w:ilvl w:val="0"/>
          <w:numId w:val="10"/>
        </w:numPr>
      </w:pPr>
      <w:r>
        <w:t>MVP prices and durations are configurable: E20 Hybrid, E40 Hybrid+ and E60 Premium are seven-day non-renewing passes by default. Premium cannot be sold until its approved openWA alert benefit is live.</w:t>
      </w:r>
    </w:p>
    <w:p>
      <w:pPr>
        <w:pStyle w:val="Heading2"/>
      </w:pPr>
      <w:r>
        <w:t>6.2 Required entitlement states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pPr>
              <w:widowControl/>
              <w:spacing w:after="0"/>
            </w:pPr>
            <w:r>
              <w:rPr>
                <w:rFonts w:ascii="Calibri" w:hAnsi="Calibri"/>
                <w:b/>
                <w:color w:val="781C2E"/>
                <w:sz w:val="19"/>
              </w:rPr>
              <w:t>State</w:t>
            </w:r>
          </w:p>
        </w:tc>
        <w:tc>
          <w:tcPr>
            <w:tcW w:type="dxa" w:w="6960"/>
            <w:shd w:fill="F2F4F7"/>
            <w:tcMar>
              <w:top w:w="80" w:type="dxa"/>
              <w:start w:w="120" w:type="dxa"/>
              <w:bottom w:w="80" w:type="dxa"/>
              <w:end w:w="120" w:type="dxa"/>
            </w:tcMar>
            <w:vAlign w:val="center"/>
          </w:tcPr>
          <w:p>
            <w:pPr>
              <w:widowControl/>
              <w:spacing w:after="0"/>
            </w:pPr>
            <w:r>
              <w:rPr>
                <w:rFonts w:ascii="Calibri" w:hAnsi="Calibri"/>
                <w:b/>
                <w:color w:val="781C2E"/>
                <w:sz w:val="19"/>
              </w:rPr>
              <w:t>System behaviour</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Trial / pilot</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Features enabled for testing without payment; activity clearly marked as pilot access.</w:t>
            </w:r>
          </w:p>
        </w:tc>
      </w:tr>
      <w:tr>
        <w:tc>
          <w:tcPr>
            <w:tcW w:type="dxa" w:w="24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Active</w:t>
            </w:r>
          </w:p>
        </w:tc>
        <w:tc>
          <w:tcPr>
            <w:tcW w:type="dxa" w:w="69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Matching privileges available until the recorded expiry time.</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Expired</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Fallback to free passive visibility if the user remains opted in.</w:t>
            </w:r>
          </w:p>
        </w:tc>
      </w:tr>
      <w:tr>
        <w:tc>
          <w:tcPr>
            <w:tcW w:type="dxa" w:w="24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Suspended</w:t>
            </w:r>
          </w:p>
        </w:tc>
        <w:tc>
          <w:tcPr>
            <w:tcW w:type="dxa" w:w="69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Promotional, matching and chat privileges disabled pending safety or account review.</w:t>
            </w:r>
          </w:p>
        </w:tc>
      </w:tr>
      <w:tr>
        <w:tc>
          <w:tcPr>
            <w:tcW w:type="dxa" w:w="2400"/>
            <w:tcMar>
              <w:top w:w="80" w:type="dxa"/>
              <w:start w:w="120" w:type="dxa"/>
              <w:bottom w:w="80" w:type="dxa"/>
              <w:end w:w="120" w:type="dxa"/>
            </w:tcMar>
            <w:vAlign w:val="center"/>
          </w:tcPr>
          <w:p>
            <w:pPr>
              <w:widowControl/>
              <w:spacing w:after="0" w:line="252" w:lineRule="auto"/>
            </w:pPr>
            <w:r>
              <w:rPr>
                <w:rFonts w:ascii="Calibri" w:hAnsi="Calibri"/>
                <w:color w:val="242424"/>
                <w:sz w:val="18"/>
              </w:rPr>
              <w:t>Hidden for session</w:t>
            </w:r>
          </w:p>
        </w:tc>
        <w:tc>
          <w:tcPr>
            <w:tcW w:type="dxa" w:w="6960"/>
            <w:tcMar>
              <w:top w:w="80" w:type="dxa"/>
              <w:start w:w="120" w:type="dxa"/>
              <w:bottom w:w="80" w:type="dxa"/>
              <w:end w:w="120" w:type="dxa"/>
            </w:tcMar>
            <w:vAlign w:val="center"/>
          </w:tcPr>
          <w:p>
            <w:pPr>
              <w:widowControl/>
              <w:spacing w:after="0" w:line="252" w:lineRule="auto"/>
            </w:pPr>
            <w:r>
              <w:rPr>
                <w:rFonts w:ascii="Calibri" w:hAnsi="Calibri"/>
                <w:color w:val="242424"/>
                <w:sz w:val="18"/>
              </w:rPr>
              <w:t>No profile or caption shown during that game; game commentary remains active.</w:t>
            </w:r>
          </w:p>
        </w:tc>
      </w:tr>
    </w:tbl>
    <w:p>
      <w:pPr>
        <w:spacing w:after="20"/>
      </w:pPr>
    </w:p>
    <w:p>
      <w:pPr>
        <w:pStyle w:val="Heading1"/>
      </w:pPr>
      <w:r>
        <w:t>7. Functional requirements</w:t>
      </w:r>
    </w:p>
    <w:p>
      <w:pPr>
        <w:pStyle w:val="Heading2"/>
      </w:pPr>
      <w:r>
        <w:t>7.1 Profile and preferences</w:t>
      </w:r>
    </w:p>
    <w:p>
      <w:pPr>
        <w:spacing w:after="160" w:line="280" w:lineRule="auto"/>
        <w:numPr>
          <w:ilvl w:val="0"/>
          <w:numId w:val="10"/>
        </w:numPr>
      </w:pPr>
      <w:r>
        <w:t>Users can enable, edit or disable each discovery mode independently.</w:t>
      </w:r>
    </w:p>
    <w:p>
      <w:pPr>
        <w:spacing w:after="160" w:line="280" w:lineRule="auto"/>
        <w:numPr>
          <w:ilvl w:val="0"/>
          <w:numId w:val="10"/>
        </w:numPr>
      </w:pPr>
      <w:r>
        <w:t>Structured categories and predefined caption templates are available for all eligible users.</w:t>
      </w:r>
    </w:p>
    <w:p>
      <w:pPr>
        <w:spacing w:after="160" w:line="280" w:lineRule="auto"/>
        <w:numPr>
          <w:ilvl w:val="0"/>
          <w:numId w:val="10"/>
        </w:numPr>
      </w:pPr>
      <w:r>
        <w:t>Custom captions are restricted by entitlement, maximum length, prohibited-content rules and moderation state.</w:t>
      </w:r>
    </w:p>
    <w:p>
      <w:pPr>
        <w:spacing w:after="160" w:line="280" w:lineRule="auto"/>
        <w:numPr>
          <w:ilvl w:val="0"/>
          <w:numId w:val="10"/>
        </w:numPr>
      </w:pPr>
      <w:r>
        <w:t>Users can set a default profile visibility state and override it for a specific game session.</w:t>
      </w:r>
    </w:p>
    <w:p>
      <w:pPr>
        <w:spacing w:after="160" w:line="280" w:lineRule="auto"/>
        <w:numPr>
          <w:ilvl w:val="0"/>
          <w:numId w:val="10"/>
        </w:numPr>
      </w:pPr>
      <w:r>
        <w:t>The system records consent and eligibility changes with timestamps.</w:t>
      </w:r>
    </w:p>
    <w:p>
      <w:pPr>
        <w:pStyle w:val="Heading2"/>
      </w:pPr>
      <w:r>
        <w:t>7.2 Game-session panel</w:t>
      </w:r>
    </w:p>
    <w:p>
      <w:pPr>
        <w:spacing w:after="160" w:line="280" w:lineRule="auto"/>
        <w:numPr>
          <w:ilvl w:val="0"/>
          <w:numId w:val="10"/>
        </w:numPr>
      </w:pPr>
      <w:r>
        <w:t>The panel shows a compact avatar, display name, category/intent label and the current caption when visibility is permitted.</w:t>
      </w:r>
    </w:p>
    <w:p>
      <w:pPr>
        <w:spacing w:after="160" w:line="280" w:lineRule="auto"/>
        <w:numPr>
          <w:ilvl w:val="0"/>
          <w:numId w:val="10"/>
        </w:numPr>
      </w:pPr>
      <w:r>
        <w:t>Only the latest chat message is displayed in the panel; the UI does not attempt to reproduce a full messaging application.</w:t>
      </w:r>
    </w:p>
    <w:p>
      <w:pPr>
        <w:spacing w:after="160" w:line="280" w:lineRule="auto"/>
        <w:numPr>
          <w:ilvl w:val="0"/>
          <w:numId w:val="10"/>
        </w:numPr>
      </w:pPr>
      <w:r>
        <w:t>Game instructions take priority when an action is time-sensitive or when no eligible social content is available.</w:t>
      </w:r>
    </w:p>
    <w:p>
      <w:pPr>
        <w:spacing w:after="160" w:line="280" w:lineRule="auto"/>
        <w:numPr>
          <w:ilvl w:val="0"/>
          <w:numId w:val="10"/>
        </w:numPr>
      </w:pPr>
      <w:r>
        <w:t>The panel must remain usable on small mobile screens and must not cover game controls.</w:t>
      </w:r>
    </w:p>
    <w:p>
      <w:pPr>
        <w:spacing w:after="160" w:line="280" w:lineRule="auto"/>
        <w:numPr>
          <w:ilvl w:val="0"/>
          <w:numId w:val="10"/>
        </w:numPr>
      </w:pPr>
      <w:r>
        <w:t>Matching-level labels distinguish Passive, Active Match, Bracket Match and Relationship Match states.</w:t>
      </w:r>
    </w:p>
    <w:p>
      <w:pPr>
        <w:pStyle w:val="Heading2"/>
      </w:pPr>
      <w:r>
        <w:t>7.3 Chat</w:t>
      </w:r>
    </w:p>
    <w:p>
      <w:pPr>
        <w:spacing w:after="160" w:line="280" w:lineRule="auto"/>
        <w:numPr>
          <w:ilvl w:val="0"/>
          <w:numId w:val="10"/>
        </w:numPr>
      </w:pPr>
      <w:r>
        <w:t>Chat uses the existing authenticated Socket.IO connection and is scoped to a specific game session.</w:t>
      </w:r>
    </w:p>
    <w:p>
      <w:pPr>
        <w:spacing w:after="160" w:line="280" w:lineRule="auto"/>
        <w:numPr>
          <w:ilvl w:val="0"/>
          <w:numId w:val="10"/>
        </w:numPr>
      </w:pPr>
      <w:r>
        <w:t>A user may disable chat for the session; if either side disables it, messages cannot be sent between the pair.</w:t>
      </w:r>
    </w:p>
    <w:p>
      <w:pPr>
        <w:spacing w:after="160" w:line="280" w:lineRule="auto"/>
        <w:numPr>
          <w:ilvl w:val="0"/>
          <w:numId w:val="10"/>
        </w:numPr>
      </w:pPr>
      <w:r>
        <w:t>Messages are temporarily retained for no longer than 24 hours, then automatically deleted, unless a safety report requires a lawful, documented hold.</w:t>
      </w:r>
    </w:p>
    <w:p>
      <w:pPr>
        <w:spacing w:after="160" w:line="280" w:lineRule="auto"/>
        <w:numPr>
          <w:ilvl w:val="0"/>
          <w:numId w:val="10"/>
        </w:numPr>
      </w:pPr>
      <w:r>
        <w:t>The service applies rate limits, message length limits, sanitisation and server-side authorization for every send event.</w:t>
      </w:r>
    </w:p>
    <w:p>
      <w:pPr>
        <w:spacing w:after="160" w:line="280" w:lineRule="auto"/>
        <w:numPr>
          <w:ilvl w:val="0"/>
          <w:numId w:val="10"/>
        </w:numPr>
      </w:pPr>
      <w:r>
        <w:t>Users can block and report an opponent directly from the session interface.</w:t>
      </w:r>
    </w:p>
    <w:p>
      <w:pPr>
        <w:pStyle w:val="Heading2"/>
      </w:pPr>
      <w:r>
        <w:t>7.4 Matching and bracket integration</w:t>
      </w:r>
    </w:p>
    <w:p>
      <w:pPr>
        <w:spacing w:after="160" w:line="280" w:lineRule="auto"/>
        <w:numPr>
          <w:ilvl w:val="0"/>
          <w:numId w:val="10"/>
        </w:numPr>
      </w:pPr>
      <w:r>
        <w:t>The bracket service requests recommendations from the matching engine only during first-round formation or bracket discovery.</w:t>
      </w:r>
    </w:p>
    <w:p>
      <w:pPr>
        <w:spacing w:after="160" w:line="280" w:lineRule="auto"/>
        <w:numPr>
          <w:ilvl w:val="0"/>
          <w:numId w:val="10"/>
        </w:numPr>
      </w:pPr>
      <w:r>
        <w:t>A timeout or error from the matching engine triggers standard bracket assignment.</w:t>
      </w:r>
    </w:p>
    <w:p>
      <w:pPr>
        <w:spacing w:after="160" w:line="280" w:lineRule="auto"/>
        <w:numPr>
          <w:ilvl w:val="0"/>
          <w:numId w:val="10"/>
        </w:numPr>
      </w:pPr>
      <w:r>
        <w:t>Existing bracket capacity, entry, payment, seeding and progression validations remain authoritative.</w:t>
      </w:r>
    </w:p>
    <w:p>
      <w:pPr>
        <w:spacing w:after="160" w:line="280" w:lineRule="auto"/>
        <w:numPr>
          <w:ilvl w:val="0"/>
          <w:numId w:val="10"/>
        </w:numPr>
      </w:pPr>
      <w:r>
        <w:t>The system logs the matching level and reason codes used for each pairing without exposing sensitive preference data to other users.</w:t>
      </w:r>
    </w:p>
    <w:p>
      <w:pPr>
        <w:pStyle w:val="Heading2"/>
      </w:pPr>
      <w:r>
        <w:t>7.5 Administration</w:t>
      </w:r>
    </w:p>
    <w:p>
      <w:pPr>
        <w:spacing w:after="160" w:line="280" w:lineRule="auto"/>
        <w:numPr>
          <w:ilvl w:val="0"/>
          <w:numId w:val="10"/>
        </w:numPr>
      </w:pPr>
      <w:r>
        <w:t>Administrators can manage categories, predefined captions, prices, plan durations and feature flags.</w:t>
      </w:r>
    </w:p>
    <w:p>
      <w:pPr>
        <w:spacing w:after="160" w:line="280" w:lineRule="auto"/>
        <w:numPr>
          <w:ilvl w:val="0"/>
          <w:numId w:val="10"/>
        </w:numPr>
      </w:pPr>
      <w:r>
        <w:t>Moderators can review reports, disable captions, suspend matching/chat privileges and record an outcome.</w:t>
      </w:r>
    </w:p>
    <w:p>
      <w:pPr>
        <w:spacing w:after="160" w:line="280" w:lineRule="auto"/>
        <w:numPr>
          <w:ilvl w:val="0"/>
          <w:numId w:val="10"/>
        </w:numPr>
      </w:pPr>
      <w:r>
        <w:t>Operational dashboards show adoption, match success, reports, errors and performance without exposing private chat content beyond approved workflows.</w:t>
      </w:r>
    </w:p>
    <w:p>
      <w:pPr>
        <w:pStyle w:val="Heading1"/>
      </w:pPr>
      <w:r>
        <w:t>8. Trust, safety, privacy and moderation</w:t>
      </w:r>
    </w:p>
    <w:p>
      <w:r>
        <w:rPr>
          <w:rFonts w:ascii="Calibri" w:hAnsi="Calibri"/>
        </w:rPr>
        <w:t>The upgrade introduces user-generated content, direct communication, targeted matching and sensitive relationship preferences. These features require safety controls as part of the product—not as a later add-on.</w:t>
      </w:r>
    </w:p>
    <w:p>
      <w:pPr>
        <w:pStyle w:val="Heading2"/>
      </w:pPr>
      <w:r>
        <w:t>8.1 Minimum launch controls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pPr>
              <w:widowControl/>
              <w:spacing w:after="0"/>
            </w:pPr>
            <w:r>
              <w:rPr>
                <w:rFonts w:ascii="Calibri" w:hAnsi="Calibri"/>
                <w:b/>
                <w:color w:val="781C2E"/>
                <w:sz w:val="19"/>
              </w:rPr>
              <w:t>Control area</w:t>
            </w:r>
          </w:p>
        </w:tc>
        <w:tc>
          <w:tcPr>
            <w:tcW w:type="dxa" w:w="7060"/>
            <w:shd w:fill="F2F4F7"/>
            <w:tcMar>
              <w:top w:w="80" w:type="dxa"/>
              <w:start w:w="120" w:type="dxa"/>
              <w:bottom w:w="80" w:type="dxa"/>
              <w:end w:w="120" w:type="dxa"/>
            </w:tcMar>
            <w:vAlign w:val="center"/>
          </w:tcPr>
          <w:p>
            <w:pPr>
              <w:widowControl/>
              <w:spacing w:after="0"/>
            </w:pPr>
            <w:r>
              <w:rPr>
                <w:rFonts w:ascii="Calibri" w:hAnsi="Calibri"/>
                <w:b/>
                <w:color w:val="781C2E"/>
                <w:sz w:val="19"/>
              </w:rPr>
              <w:t>Minimum requirement</w:t>
            </w:r>
          </w:p>
        </w:tc>
      </w:tr>
      <w:tr>
        <w:tc>
          <w:tcPr>
            <w:tcW w:type="dxa" w:w="2300"/>
            <w:tcMar>
              <w:top w:w="80" w:type="dxa"/>
              <w:start w:w="120" w:type="dxa"/>
              <w:bottom w:w="80" w:type="dxa"/>
              <w:end w:w="120" w:type="dxa"/>
            </w:tcMar>
            <w:vAlign w:val="center"/>
          </w:tcPr>
          <w:p>
            <w:pPr>
              <w:widowControl/>
              <w:spacing w:after="0" w:line="252" w:lineRule="auto"/>
            </w:pPr>
            <w:r>
              <w:rPr>
                <w:rFonts w:ascii="Calibri" w:hAnsi="Calibri"/>
                <w:color w:val="242424"/>
                <w:sz w:val="18"/>
              </w:rPr>
              <w:t>Eligibility</w:t>
            </w:r>
          </w:p>
        </w:tc>
        <w:tc>
          <w:tcPr>
            <w:tcW w:type="dxa" w:w="7060"/>
            <w:tcMar>
              <w:top w:w="80" w:type="dxa"/>
              <w:start w:w="120" w:type="dxa"/>
              <w:bottom w:w="80" w:type="dxa"/>
              <w:end w:w="120" w:type="dxa"/>
            </w:tcMar>
            <w:vAlign w:val="center"/>
          </w:tcPr>
          <w:p>
            <w:pPr>
              <w:widowControl/>
              <w:spacing w:after="0" w:line="252" w:lineRule="auto"/>
            </w:pPr>
            <w:r>
              <w:rPr>
                <w:rFonts w:ascii="Calibri" w:hAnsi="Calibri"/>
                <w:color w:val="242424"/>
                <w:sz w:val="18"/>
              </w:rPr>
              <w:t>Relationship matching limited to verified adults aged 18 or older; account status checked before every session.</w:t>
            </w:r>
          </w:p>
        </w:tc>
      </w:tr>
      <w:tr>
        <w:tc>
          <w:tcPr>
            <w:tcW w:type="dxa" w:w="2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Consent</w:t>
            </w:r>
          </w:p>
        </w:tc>
        <w:tc>
          <w:tcPr>
            <w:tcW w:type="dxa" w:w="7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Separate, explicit opt-in for visibility, chat and relationship matching; consent can be withdrawn.</w:t>
            </w:r>
          </w:p>
        </w:tc>
      </w:tr>
      <w:tr>
        <w:tc>
          <w:tcPr>
            <w:tcW w:type="dxa" w:w="2300"/>
            <w:tcMar>
              <w:top w:w="80" w:type="dxa"/>
              <w:start w:w="120" w:type="dxa"/>
              <w:bottom w:w="80" w:type="dxa"/>
              <w:end w:w="120" w:type="dxa"/>
            </w:tcMar>
            <w:vAlign w:val="center"/>
          </w:tcPr>
          <w:p>
            <w:pPr>
              <w:widowControl/>
              <w:spacing w:after="0" w:line="252" w:lineRule="auto"/>
            </w:pPr>
            <w:r>
              <w:rPr>
                <w:rFonts w:ascii="Calibri" w:hAnsi="Calibri"/>
                <w:color w:val="242424"/>
                <w:sz w:val="18"/>
              </w:rPr>
              <w:t>Privacy</w:t>
            </w:r>
          </w:p>
        </w:tc>
        <w:tc>
          <w:tcPr>
            <w:tcW w:type="dxa" w:w="7060"/>
            <w:tcMar>
              <w:top w:w="80" w:type="dxa"/>
              <w:start w:w="120" w:type="dxa"/>
              <w:bottom w:w="80" w:type="dxa"/>
              <w:end w:w="120" w:type="dxa"/>
            </w:tcMar>
            <w:vAlign w:val="center"/>
          </w:tcPr>
          <w:p>
            <w:pPr>
              <w:widowControl/>
              <w:spacing w:after="0" w:line="252" w:lineRule="auto"/>
            </w:pPr>
            <w:r>
              <w:rPr>
                <w:rFonts w:ascii="Calibri" w:hAnsi="Calibri"/>
                <w:color w:val="242424"/>
                <w:sz w:val="18"/>
              </w:rPr>
              <w:t>Relationship captions and preferences visible only to mutually eligible participants; collect only necessary data.</w:t>
            </w:r>
          </w:p>
        </w:tc>
      </w:tr>
      <w:tr>
        <w:tc>
          <w:tcPr>
            <w:tcW w:type="dxa" w:w="2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User control</w:t>
            </w:r>
          </w:p>
        </w:tc>
        <w:tc>
          <w:tcPr>
            <w:tcW w:type="dxa" w:w="7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Session-level hide, mute, block and report functions.</w:t>
            </w:r>
          </w:p>
        </w:tc>
      </w:tr>
      <w:tr>
        <w:tc>
          <w:tcPr>
            <w:tcW w:type="dxa" w:w="2300"/>
            <w:tcMar>
              <w:top w:w="80" w:type="dxa"/>
              <w:start w:w="120" w:type="dxa"/>
              <w:bottom w:w="80" w:type="dxa"/>
              <w:end w:w="120" w:type="dxa"/>
            </w:tcMar>
            <w:vAlign w:val="center"/>
          </w:tcPr>
          <w:p>
            <w:pPr>
              <w:widowControl/>
              <w:spacing w:after="0" w:line="252" w:lineRule="auto"/>
            </w:pPr>
            <w:r>
              <w:rPr>
                <w:rFonts w:ascii="Calibri" w:hAnsi="Calibri"/>
                <w:color w:val="242424"/>
                <w:sz w:val="18"/>
              </w:rPr>
              <w:t>Content safety</w:t>
            </w:r>
          </w:p>
        </w:tc>
        <w:tc>
          <w:tcPr>
            <w:tcW w:type="dxa" w:w="7060"/>
            <w:tcMar>
              <w:top w:w="80" w:type="dxa"/>
              <w:start w:w="120" w:type="dxa"/>
              <w:bottom w:w="80" w:type="dxa"/>
              <w:end w:w="120" w:type="dxa"/>
            </w:tcMar>
            <w:vAlign w:val="center"/>
          </w:tcPr>
          <w:p>
            <w:pPr>
              <w:widowControl/>
              <w:spacing w:after="0" w:line="252" w:lineRule="auto"/>
            </w:pPr>
            <w:r>
              <w:rPr>
                <w:rFonts w:ascii="Calibri" w:hAnsi="Calibri"/>
                <w:color w:val="242424"/>
                <w:sz w:val="18"/>
              </w:rPr>
              <w:t>Prohibited-content policy, caption review, sanitisation, rate limiting and abuse detection.</w:t>
            </w:r>
          </w:p>
        </w:tc>
      </w:tr>
      <w:tr>
        <w:tc>
          <w:tcPr>
            <w:tcW w:type="dxa" w:w="23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Data retention</w:t>
            </w:r>
          </w:p>
        </w:tc>
        <w:tc>
          <w:tcPr>
            <w:tcW w:type="dxa" w:w="7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Automatic 24-hour deletion for ordinary chat; documented exception for reported incidents and legal obligations.</w:t>
            </w:r>
          </w:p>
        </w:tc>
      </w:tr>
      <w:tr>
        <w:tc>
          <w:tcPr>
            <w:tcW w:type="dxa" w:w="2300"/>
            <w:tcMar>
              <w:top w:w="80" w:type="dxa"/>
              <w:start w:w="120" w:type="dxa"/>
              <w:bottom w:w="80" w:type="dxa"/>
              <w:end w:w="120" w:type="dxa"/>
            </w:tcMar>
            <w:vAlign w:val="center"/>
          </w:tcPr>
          <w:p>
            <w:pPr>
              <w:widowControl/>
              <w:spacing w:after="0" w:line="252" w:lineRule="auto"/>
            </w:pPr>
            <w:r>
              <w:rPr>
                <w:rFonts w:ascii="Calibri" w:hAnsi="Calibri"/>
                <w:color w:val="242424"/>
                <w:sz w:val="18"/>
              </w:rPr>
              <w:t>Enforcement</w:t>
            </w:r>
          </w:p>
        </w:tc>
        <w:tc>
          <w:tcPr>
            <w:tcW w:type="dxa" w:w="7060"/>
            <w:tcMar>
              <w:top w:w="80" w:type="dxa"/>
              <w:start w:w="120" w:type="dxa"/>
              <w:bottom w:w="80" w:type="dxa"/>
              <w:end w:w="120" w:type="dxa"/>
            </w:tcMar>
            <w:vAlign w:val="center"/>
          </w:tcPr>
          <w:p>
            <w:pPr>
              <w:widowControl/>
              <w:spacing w:after="0" w:line="252" w:lineRule="auto"/>
            </w:pPr>
            <w:r>
              <w:rPr>
                <w:rFonts w:ascii="Calibri" w:hAnsi="Calibri"/>
                <w:color w:val="242424"/>
                <w:sz w:val="18"/>
              </w:rPr>
              <w:t>Warning, caption removal, feature suspension or account action according to a defined moderation policy.</w:t>
            </w:r>
          </w:p>
        </w:tc>
      </w:tr>
    </w:tbl>
    <w:p>
      <w:pPr>
        <w:spacing w:after="20"/>
      </w:pPr>
    </w:p>
    <w:p>
      <w:pPr>
        <w:pStyle w:val="Heading2"/>
      </w:pPr>
      <w:r>
        <w:t>8.2 Important policy clarifications</w:t>
      </w:r>
    </w:p>
    <w:p>
      <w:pPr>
        <w:spacing w:after="160" w:line="280" w:lineRule="auto"/>
        <w:numPr>
          <w:ilvl w:val="0"/>
          <w:numId w:val="10"/>
        </w:numPr>
      </w:pPr>
      <w:r>
        <w:t>Marital or relationship status should be treated as self-declared profile information and not represented as independently verified unless the platform introduces a lawful verification process.</w:t>
      </w:r>
    </w:p>
    <w:p>
      <w:pPr>
        <w:spacing w:after="160" w:line="280" w:lineRule="auto"/>
        <w:numPr>
          <w:ilvl w:val="0"/>
          <w:numId w:val="10"/>
        </w:numPr>
      </w:pPr>
      <w:r>
        <w:t>The platform should not promise successful sales, partnerships, dates or compatible opponents. Matching is a discovery service.</w:t>
      </w:r>
    </w:p>
    <w:p>
      <w:pPr>
        <w:spacing w:after="160" w:line="280" w:lineRule="auto"/>
        <w:numPr>
          <w:ilvl w:val="0"/>
          <w:numId w:val="10"/>
        </w:numPr>
      </w:pPr>
      <w:r>
        <w:t>Commercial captions should prohibit illegal goods, deceptive claims, harassment, personal financial solicitation and unsafe off-platform conduct.</w:t>
      </w:r>
    </w:p>
    <w:p>
      <w:pPr>
        <w:spacing w:after="160" w:line="280" w:lineRule="auto"/>
        <w:numPr>
          <w:ilvl w:val="0"/>
          <w:numId w:val="10"/>
        </w:numPr>
      </w:pPr>
      <w:r>
        <w:t>Stakeholders should approve terms of use, privacy notices, community standards, refund/cancellation terms and a reporting/escalation procedure before public monetisation.</w:t>
      </w:r>
    </w:p>
    <w:p>
      <w:pPr>
        <w:pStyle w:val="Heading2"/>
      </w:pPr>
      <w:r>
        <w:t>8.3 Chat storage recommendation</w:t>
      </w:r>
    </w:p>
    <w:p>
      <w:r>
        <w:rPr>
          <w:rFonts w:ascii="Calibri" w:hAnsi="Calibri"/>
        </w:rPr>
        <w:t>Temporary JSON-file storage may be acceptable for a small single-server pilot, but it becomes fragile under concurrent writes, multiple application workers, horizontal scaling, backup policies and deletion guarantees. The implementation should hide storage behind a ChatStore interface. A pilot adapter may use protected JSON or an in-memory/Redis approach; production should use a store that supports expiry, concurrency, auditability and reliable deletion. Chat content must never be placed in publicly served static folders.</w:t>
      </w:r>
    </w:p>
    <w:p>
      <w:pPr>
        <w:pStyle w:val="Heading1"/>
      </w:pPr>
      <w:r>
        <w:t>9. Technical architecture</w:t>
      </w:r>
    </w:p>
    <w:p>
      <w:pPr>
        <w:pStyle w:val="Heading2"/>
      </w:pPr>
      <w:r>
        <w:t>9.1 Architectural approach</w:t>
      </w:r>
    </w:p>
    <w:p>
      <w:r>
        <w:rPr>
          <w:rFonts w:ascii="Calibri" w:hAnsi="Calibri"/>
        </w:rPr>
        <w:t>The preferred approach is an API-oriented modular extension. Core game modules continue to own gameplay and tournament integrity. New modules own profiles, captions, entitlements, matching and temporary chat. Integration occurs through small service interfaces and existing Socket.IO events, limiting changes to the original codebase.</w:t>
      </w:r>
    </w:p>
    <w:tbl>
      <w:tblPr>
        <w:tblStyle w:val="TableGrid"/>
        <w:tblW w:type="dxa" w:w="9360"/>
        <w:jc w:val="left"/>
        <w:tblLayout w:type="fixed"/>
        <w:tblLook w:firstColumn="1" w:firstRow="1" w:lastColumn="0" w:lastRow="0" w:noHBand="0" w:noVBand="1" w:val="04A0"/>
        <w:tblInd w:w="120" w:type="dxa"/>
      </w:tblPr>
      <w:tblGrid>
        <w:gridCol w:w="2000"/>
        <w:gridCol w:w="4340"/>
        <w:gridCol w:w="3020"/>
      </w:tblGrid>
      <w:tr>
        <w:trPr>
          <w:tblHeader w:val="true"/>
        </w:trPr>
        <w:tc>
          <w:tcPr>
            <w:tcW w:type="dxa" w:w="2000"/>
            <w:shd w:fill="F2F4F7"/>
            <w:tcMar>
              <w:top w:w="80" w:type="dxa"/>
              <w:start w:w="120" w:type="dxa"/>
              <w:bottom w:w="80" w:type="dxa"/>
              <w:end w:w="120" w:type="dxa"/>
            </w:tcMar>
            <w:vAlign w:val="center"/>
          </w:tcPr>
          <w:p>
            <w:pPr>
              <w:widowControl/>
              <w:spacing w:after="0"/>
            </w:pPr>
            <w:r>
              <w:rPr>
                <w:rFonts w:ascii="Calibri" w:hAnsi="Calibri"/>
                <w:b/>
                <w:color w:val="781C2E"/>
                <w:sz w:val="19"/>
              </w:rPr>
              <w:t>Component</w:t>
            </w:r>
          </w:p>
        </w:tc>
        <w:tc>
          <w:tcPr>
            <w:tcW w:type="dxa" w:w="4340"/>
            <w:shd w:fill="F2F4F7"/>
            <w:tcMar>
              <w:top w:w="80" w:type="dxa"/>
              <w:start w:w="120" w:type="dxa"/>
              <w:bottom w:w="80" w:type="dxa"/>
              <w:end w:w="120" w:type="dxa"/>
            </w:tcMar>
            <w:vAlign w:val="center"/>
          </w:tcPr>
          <w:p>
            <w:pPr>
              <w:widowControl/>
              <w:spacing w:after="0"/>
            </w:pPr>
            <w:r>
              <w:rPr>
                <w:rFonts w:ascii="Calibri" w:hAnsi="Calibri"/>
                <w:b/>
                <w:color w:val="781C2E"/>
                <w:sz w:val="19"/>
              </w:rPr>
              <w:t>Responsibility</w:t>
            </w:r>
          </w:p>
        </w:tc>
        <w:tc>
          <w:tcPr>
            <w:tcW w:type="dxa" w:w="3020"/>
            <w:shd w:fill="F2F4F7"/>
            <w:tcMar>
              <w:top w:w="80" w:type="dxa"/>
              <w:start w:w="120" w:type="dxa"/>
              <w:bottom w:w="80" w:type="dxa"/>
              <w:end w:w="120" w:type="dxa"/>
            </w:tcMar>
            <w:vAlign w:val="center"/>
          </w:tcPr>
          <w:p>
            <w:pPr>
              <w:widowControl/>
              <w:spacing w:after="0"/>
            </w:pPr>
            <w:r>
              <w:rPr>
                <w:rFonts w:ascii="Calibri" w:hAnsi="Calibri"/>
                <w:b/>
                <w:color w:val="781C2E"/>
                <w:sz w:val="19"/>
              </w:rPr>
              <w:t>Integration point</w:t>
            </w:r>
          </w:p>
        </w:tc>
      </w:tr>
      <w:tr>
        <w:tc>
          <w:tcPr>
            <w:tcW w:type="dxa" w:w="2000"/>
            <w:tcMar>
              <w:top w:w="80" w:type="dxa"/>
              <w:start w:w="120" w:type="dxa"/>
              <w:bottom w:w="80" w:type="dxa"/>
              <w:end w:w="120" w:type="dxa"/>
            </w:tcMar>
            <w:vAlign w:val="center"/>
          </w:tcPr>
          <w:p>
            <w:pPr>
              <w:widowControl/>
              <w:spacing w:after="0" w:line="252" w:lineRule="auto"/>
            </w:pPr>
            <w:r>
              <w:rPr>
                <w:rFonts w:ascii="Calibri" w:hAnsi="Calibri"/>
                <w:color w:val="242424"/>
                <w:sz w:val="18"/>
              </w:rPr>
              <w:t>Game UI / agent panel</w:t>
            </w:r>
          </w:p>
        </w:tc>
        <w:tc>
          <w:tcPr>
            <w:tcW w:type="dxa" w:w="4340"/>
            <w:tcMar>
              <w:top w:w="80" w:type="dxa"/>
              <w:start w:w="120" w:type="dxa"/>
              <w:bottom w:w="80" w:type="dxa"/>
              <w:end w:w="120" w:type="dxa"/>
            </w:tcMar>
            <w:vAlign w:val="center"/>
          </w:tcPr>
          <w:p>
            <w:pPr>
              <w:widowControl/>
              <w:spacing w:after="0" w:line="252" w:lineRule="auto"/>
            </w:pPr>
            <w:r>
              <w:rPr>
                <w:rFonts w:ascii="Calibri" w:hAnsi="Calibri"/>
                <w:color w:val="242424"/>
                <w:sz w:val="18"/>
              </w:rPr>
              <w:t>Render profile snippet, caption, latest message, match label or game commentary.</w:t>
            </w:r>
          </w:p>
        </w:tc>
        <w:tc>
          <w:tcPr>
            <w:tcW w:type="dxa" w:w="3020"/>
            <w:tcMar>
              <w:top w:w="80" w:type="dxa"/>
              <w:start w:w="120" w:type="dxa"/>
              <w:bottom w:w="80" w:type="dxa"/>
              <w:end w:w="120" w:type="dxa"/>
            </w:tcMar>
            <w:vAlign w:val="center"/>
          </w:tcPr>
          <w:p>
            <w:pPr>
              <w:widowControl/>
              <w:spacing w:after="0" w:line="252" w:lineRule="auto"/>
            </w:pPr>
            <w:r>
              <w:rPr>
                <w:rFonts w:ascii="Calibri" w:hAnsi="Calibri"/>
                <w:color w:val="242424"/>
                <w:sz w:val="18"/>
              </w:rPr>
              <w:t>Existing /game template and client scripts</w:t>
            </w:r>
          </w:p>
        </w:tc>
      </w:tr>
      <w:tr>
        <w:tc>
          <w:tcPr>
            <w:tcW w:type="dxa" w:w="2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Discovery profile service</w:t>
            </w:r>
          </w:p>
        </w:tc>
        <w:tc>
          <w:tcPr>
            <w:tcW w:type="dxa" w:w="43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Store intent, category, caption, visibility and mode preferences.</w:t>
            </w:r>
          </w:p>
        </w:tc>
        <w:tc>
          <w:tcPr>
            <w:tcW w:type="dxa" w:w="30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Authenticated profile API</w:t>
            </w:r>
          </w:p>
        </w:tc>
      </w:tr>
      <w:tr>
        <w:tc>
          <w:tcPr>
            <w:tcW w:type="dxa" w:w="2000"/>
            <w:tcMar>
              <w:top w:w="80" w:type="dxa"/>
              <w:start w:w="120" w:type="dxa"/>
              <w:bottom w:w="80" w:type="dxa"/>
              <w:end w:w="120" w:type="dxa"/>
            </w:tcMar>
            <w:vAlign w:val="center"/>
          </w:tcPr>
          <w:p>
            <w:pPr>
              <w:widowControl/>
              <w:spacing w:after="0" w:line="252" w:lineRule="auto"/>
            </w:pPr>
            <w:r>
              <w:rPr>
                <w:rFonts w:ascii="Calibri" w:hAnsi="Calibri"/>
                <w:color w:val="242424"/>
                <w:sz w:val="18"/>
              </w:rPr>
              <w:t>Entitlement service</w:t>
            </w:r>
          </w:p>
        </w:tc>
        <w:tc>
          <w:tcPr>
            <w:tcW w:type="dxa" w:w="4340"/>
            <w:tcMar>
              <w:top w:w="80" w:type="dxa"/>
              <w:start w:w="120" w:type="dxa"/>
              <w:bottom w:w="80" w:type="dxa"/>
              <w:end w:w="120" w:type="dxa"/>
            </w:tcMar>
            <w:vAlign w:val="center"/>
          </w:tcPr>
          <w:p>
            <w:pPr>
              <w:widowControl/>
              <w:spacing w:after="0" w:line="252" w:lineRule="auto"/>
            </w:pPr>
            <w:r>
              <w:rPr>
                <w:rFonts w:ascii="Calibri" w:hAnsi="Calibri"/>
                <w:color w:val="242424"/>
                <w:sz w:val="18"/>
              </w:rPr>
              <w:t>Resolve plan, trial, expiry, suspension and paid feature access.</w:t>
            </w:r>
          </w:p>
        </w:tc>
        <w:tc>
          <w:tcPr>
            <w:tcW w:type="dxa" w:w="3020"/>
            <w:tcMar>
              <w:top w:w="80" w:type="dxa"/>
              <w:start w:w="120" w:type="dxa"/>
              <w:bottom w:w="80" w:type="dxa"/>
              <w:end w:w="120" w:type="dxa"/>
            </w:tcMar>
            <w:vAlign w:val="center"/>
          </w:tcPr>
          <w:p>
            <w:pPr>
              <w:widowControl/>
              <w:spacing w:after="0" w:line="252" w:lineRule="auto"/>
            </w:pPr>
            <w:r>
              <w:rPr>
                <w:rFonts w:ascii="Calibri" w:hAnsi="Calibri"/>
                <w:color w:val="242424"/>
                <w:sz w:val="18"/>
              </w:rPr>
              <w:t>Profile, matching and payment flows</w:t>
            </w:r>
          </w:p>
        </w:tc>
      </w:tr>
      <w:tr>
        <w:tc>
          <w:tcPr>
            <w:tcW w:type="dxa" w:w="2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Matching engine</w:t>
            </w:r>
          </w:p>
        </w:tc>
        <w:tc>
          <w:tcPr>
            <w:tcW w:type="dxa" w:w="43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Filter candidates, calculate relevance, return ranked first-round recommendations.</w:t>
            </w:r>
          </w:p>
        </w:tc>
        <w:tc>
          <w:tcPr>
            <w:tcW w:type="dxa" w:w="30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Bracket formation and bracket discovery API</w:t>
            </w:r>
          </w:p>
        </w:tc>
      </w:tr>
      <w:tr>
        <w:tc>
          <w:tcPr>
            <w:tcW w:type="dxa" w:w="2000"/>
            <w:tcMar>
              <w:top w:w="80" w:type="dxa"/>
              <w:start w:w="120" w:type="dxa"/>
              <w:bottom w:w="80" w:type="dxa"/>
              <w:end w:w="120" w:type="dxa"/>
            </w:tcMar>
            <w:vAlign w:val="center"/>
          </w:tcPr>
          <w:p>
            <w:pPr>
              <w:widowControl/>
              <w:spacing w:after="0" w:line="252" w:lineRule="auto"/>
            </w:pPr>
            <w:r>
              <w:rPr>
                <w:rFonts w:ascii="Calibri" w:hAnsi="Calibri"/>
                <w:color w:val="242424"/>
                <w:sz w:val="18"/>
              </w:rPr>
              <w:t>Chat gateway</w:t>
            </w:r>
          </w:p>
        </w:tc>
        <w:tc>
          <w:tcPr>
            <w:tcW w:type="dxa" w:w="4340"/>
            <w:tcMar>
              <w:top w:w="80" w:type="dxa"/>
              <w:start w:w="120" w:type="dxa"/>
              <w:bottom w:w="80" w:type="dxa"/>
              <w:end w:w="120" w:type="dxa"/>
            </w:tcMar>
            <w:vAlign w:val="center"/>
          </w:tcPr>
          <w:p>
            <w:pPr>
              <w:widowControl/>
              <w:spacing w:after="0" w:line="252" w:lineRule="auto"/>
            </w:pPr>
            <w:r>
              <w:rPr>
                <w:rFonts w:ascii="Calibri" w:hAnsi="Calibri"/>
                <w:color w:val="242424"/>
                <w:sz w:val="18"/>
              </w:rPr>
              <w:t>Authorize session chat, deliver latest message, apply rate limits and blocks.</w:t>
            </w:r>
          </w:p>
        </w:tc>
        <w:tc>
          <w:tcPr>
            <w:tcW w:type="dxa" w:w="3020"/>
            <w:tcMar>
              <w:top w:w="80" w:type="dxa"/>
              <w:start w:w="120" w:type="dxa"/>
              <w:bottom w:w="80" w:type="dxa"/>
              <w:end w:w="120" w:type="dxa"/>
            </w:tcMar>
            <w:vAlign w:val="center"/>
          </w:tcPr>
          <w:p>
            <w:pPr>
              <w:widowControl/>
              <w:spacing w:after="0" w:line="252" w:lineRule="auto"/>
            </w:pPr>
            <w:r>
              <w:rPr>
                <w:rFonts w:ascii="Calibri" w:hAnsi="Calibri"/>
                <w:color w:val="242424"/>
                <w:sz w:val="18"/>
              </w:rPr>
              <w:t>Existing Socket.IO server</w:t>
            </w:r>
          </w:p>
        </w:tc>
      </w:tr>
      <w:tr>
        <w:tc>
          <w:tcPr>
            <w:tcW w:type="dxa" w:w="2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Chat store</w:t>
            </w:r>
          </w:p>
        </w:tc>
        <w:tc>
          <w:tcPr>
            <w:tcW w:type="dxa" w:w="43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Temporarily retain messages with automatic expiry.</w:t>
            </w:r>
          </w:p>
        </w:tc>
        <w:tc>
          <w:tcPr>
            <w:tcW w:type="dxa" w:w="30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Storage adapter behind chat service</w:t>
            </w:r>
          </w:p>
        </w:tc>
      </w:tr>
      <w:tr>
        <w:tc>
          <w:tcPr>
            <w:tcW w:type="dxa" w:w="2000"/>
            <w:tcMar>
              <w:top w:w="80" w:type="dxa"/>
              <w:start w:w="120" w:type="dxa"/>
              <w:bottom w:w="80" w:type="dxa"/>
              <w:end w:w="120" w:type="dxa"/>
            </w:tcMar>
            <w:vAlign w:val="center"/>
          </w:tcPr>
          <w:p>
            <w:pPr>
              <w:widowControl/>
              <w:spacing w:after="0" w:line="252" w:lineRule="auto"/>
            </w:pPr>
            <w:r>
              <w:rPr>
                <w:rFonts w:ascii="Calibri" w:hAnsi="Calibri"/>
                <w:color w:val="242424"/>
                <w:sz w:val="18"/>
              </w:rPr>
              <w:t>Moderation service</w:t>
            </w:r>
          </w:p>
        </w:tc>
        <w:tc>
          <w:tcPr>
            <w:tcW w:type="dxa" w:w="4340"/>
            <w:tcMar>
              <w:top w:w="80" w:type="dxa"/>
              <w:start w:w="120" w:type="dxa"/>
              <w:bottom w:w="80" w:type="dxa"/>
              <w:end w:w="120" w:type="dxa"/>
            </w:tcMar>
            <w:vAlign w:val="center"/>
          </w:tcPr>
          <w:p>
            <w:pPr>
              <w:widowControl/>
              <w:spacing w:after="0" w:line="252" w:lineRule="auto"/>
            </w:pPr>
            <w:r>
              <w:rPr>
                <w:rFonts w:ascii="Calibri" w:hAnsi="Calibri"/>
                <w:color w:val="242424"/>
                <w:sz w:val="18"/>
              </w:rPr>
              <w:t>Validate captions, receive reports and apply enforcement actions.</w:t>
            </w:r>
          </w:p>
        </w:tc>
        <w:tc>
          <w:tcPr>
            <w:tcW w:type="dxa" w:w="3020"/>
            <w:tcMar>
              <w:top w:w="80" w:type="dxa"/>
              <w:start w:w="120" w:type="dxa"/>
              <w:bottom w:w="80" w:type="dxa"/>
              <w:end w:w="120" w:type="dxa"/>
            </w:tcMar>
            <w:vAlign w:val="center"/>
          </w:tcPr>
          <w:p>
            <w:pPr>
              <w:widowControl/>
              <w:spacing w:after="0" w:line="252" w:lineRule="auto"/>
            </w:pPr>
            <w:r>
              <w:rPr>
                <w:rFonts w:ascii="Calibri" w:hAnsi="Calibri"/>
                <w:color w:val="242424"/>
                <w:sz w:val="18"/>
              </w:rPr>
              <w:t>Profile and game-session APIs</w:t>
            </w:r>
          </w:p>
        </w:tc>
      </w:tr>
      <w:tr>
        <w:tc>
          <w:tcPr>
            <w:tcW w:type="dxa" w:w="2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Core bracket service</w:t>
            </w:r>
          </w:p>
        </w:tc>
        <w:tc>
          <w:tcPr>
            <w:tcW w:type="dxa" w:w="434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Remain authoritative for entry, capacity, seeding, rounds and progression.</w:t>
            </w:r>
          </w:p>
        </w:tc>
        <w:tc>
          <w:tcPr>
            <w:tcW w:type="dxa" w:w="302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Calls matching engine only where permitted</w:t>
            </w:r>
          </w:p>
        </w:tc>
      </w:tr>
    </w:tbl>
    <w:p>
      <w:pPr>
        <w:spacing w:after="20"/>
      </w:pPr>
    </w:p>
    <w:p>
      <w:pPr>
        <w:pStyle w:val="Heading2"/>
      </w:pPr>
      <w:r>
        <w:t>9.2 Failure isolation</w:t>
      </w:r>
    </w:p>
    <w:p>
      <w:pPr>
        <w:spacing w:after="160" w:line="280" w:lineRule="auto"/>
        <w:numPr>
          <w:ilvl w:val="0"/>
          <w:numId w:val="10"/>
        </w:numPr>
      </w:pPr>
      <w:r>
        <w:t>Matching-engine failure → use standard bracket matching.</w:t>
      </w:r>
    </w:p>
    <w:p>
      <w:pPr>
        <w:spacing w:after="160" w:line="280" w:lineRule="auto"/>
        <w:numPr>
          <w:ilvl w:val="0"/>
          <w:numId w:val="10"/>
        </w:numPr>
      </w:pPr>
      <w:r>
        <w:t>Chat failure → preserve gameplay and display agent commentary.</w:t>
      </w:r>
    </w:p>
    <w:p>
      <w:pPr>
        <w:spacing w:after="160" w:line="280" w:lineRule="auto"/>
        <w:numPr>
          <w:ilvl w:val="0"/>
          <w:numId w:val="10"/>
        </w:numPr>
      </w:pPr>
      <w:r>
        <w:t>Profile-service failure → hide promotional content for the session.</w:t>
      </w:r>
    </w:p>
    <w:p>
      <w:pPr>
        <w:spacing w:after="160" w:line="280" w:lineRule="auto"/>
        <w:numPr>
          <w:ilvl w:val="0"/>
          <w:numId w:val="10"/>
        </w:numPr>
      </w:pPr>
      <w:r>
        <w:t>Entitlement-service uncertainty → fail closed for paid/restricted features while preserving free gameplay.</w:t>
      </w:r>
    </w:p>
    <w:p>
      <w:pPr>
        <w:spacing w:after="160" w:line="280" w:lineRule="auto"/>
        <w:numPr>
          <w:ilvl w:val="0"/>
          <w:numId w:val="10"/>
        </w:numPr>
      </w:pPr>
      <w:r>
        <w:t>Moderation or safety suspension → immediately suppress caption, chat and matching privileges without affecting access decisions that must be handled separately by account policy.</w:t>
      </w:r>
    </w:p>
    <w:p>
      <w:pPr>
        <w:pStyle w:val="Heading2"/>
      </w:pPr>
      <w:r>
        <w:t>9.3 Performance targets for approval</w:t>
      </w:r>
    </w:p>
    <w:p>
      <w:r>
        <w:rPr>
          <w:rFonts w:ascii="Calibri" w:hAnsi="Calibri"/>
        </w:rPr>
        <w:t>The team should define measurable service-level targets during technical design. At minimum, matching must not materially delay bracket formation; Socket.IO events must remain responsive under expected concurrent sessions; and the agent-panel payload should remain compact. Load testing should compare baseline game performance against the hybrid feature enabled and disabled.</w:t>
      </w:r>
    </w:p>
    <w:p>
      <w:pPr>
        <w:pStyle w:val="Heading1"/>
      </w:pPr>
      <w:r>
        <w:t>10. Data model and interfaces</w:t>
      </w:r>
    </w:p>
    <w:p>
      <w:pPr>
        <w:pStyle w:val="Heading2"/>
      </w:pPr>
      <w:r>
        <w:t>10.1 Proposed add-on data model</w:t>
      </w:r>
    </w:p>
    <w:p>
      <w:r>
        <w:rPr>
          <w:rFonts w:ascii="Calibri" w:hAnsi="Calibri"/>
        </w:rPr>
        <w:t>To avoid overloading the existing users table, introduce separate, linked models. Exact field names should follow the current application’s conventions.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tcMar>
              <w:top w:w="80" w:type="dxa"/>
              <w:start w:w="120" w:type="dxa"/>
              <w:bottom w:w="80" w:type="dxa"/>
              <w:end w:w="120" w:type="dxa"/>
            </w:tcMar>
            <w:vAlign w:val="center"/>
          </w:tcPr>
          <w:p>
            <w:pPr>
              <w:widowControl/>
              <w:spacing w:after="0"/>
            </w:pPr>
            <w:r>
              <w:rPr>
                <w:rFonts w:ascii="Calibri" w:hAnsi="Calibri"/>
                <w:b/>
                <w:color w:val="781C2E"/>
                <w:sz w:val="19"/>
              </w:rPr>
              <w:t>Model</w:t>
            </w:r>
          </w:p>
        </w:tc>
        <w:tc>
          <w:tcPr>
            <w:tcW w:type="dxa" w:w="6860"/>
            <w:shd w:fill="F2F4F7"/>
            <w:tcMar>
              <w:top w:w="80" w:type="dxa"/>
              <w:start w:w="120" w:type="dxa"/>
              <w:bottom w:w="80" w:type="dxa"/>
              <w:end w:w="120" w:type="dxa"/>
            </w:tcMar>
            <w:vAlign w:val="center"/>
          </w:tcPr>
          <w:p>
            <w:pPr>
              <w:widowControl/>
              <w:spacing w:after="0"/>
            </w:pPr>
            <w:r>
              <w:rPr>
                <w:rFonts w:ascii="Calibri" w:hAnsi="Calibri"/>
                <w:b/>
                <w:color w:val="781C2E"/>
                <w:sz w:val="19"/>
              </w:rPr>
              <w:t>Illustrative fields</w:t>
            </w:r>
          </w:p>
        </w:tc>
      </w:tr>
      <w:tr>
        <w:tc>
          <w:tcPr>
            <w:tcW w:type="dxa" w:w="2500"/>
            <w:tcMar>
              <w:top w:w="80" w:type="dxa"/>
              <w:start w:w="120" w:type="dxa"/>
              <w:bottom w:w="80" w:type="dxa"/>
              <w:end w:w="120" w:type="dxa"/>
            </w:tcMar>
            <w:vAlign w:val="center"/>
          </w:tcPr>
          <w:p>
            <w:pPr>
              <w:widowControl/>
              <w:spacing w:after="0" w:line="252" w:lineRule="auto"/>
            </w:pPr>
            <w:r>
              <w:rPr>
                <w:rFonts w:ascii="Calibri" w:hAnsi="Calibri"/>
                <w:color w:val="242424"/>
                <w:sz w:val="18"/>
              </w:rPr>
              <w:t>DiscoveryProfile</w:t>
            </w:r>
          </w:p>
        </w:tc>
        <w:tc>
          <w:tcPr>
            <w:tcW w:type="dxa" w:w="6860"/>
            <w:tcMar>
              <w:top w:w="80" w:type="dxa"/>
              <w:start w:w="120" w:type="dxa"/>
              <w:bottom w:w="80" w:type="dxa"/>
              <w:end w:w="120" w:type="dxa"/>
            </w:tcMar>
            <w:vAlign w:val="center"/>
          </w:tcPr>
          <w:p>
            <w:pPr>
              <w:widowControl/>
              <w:spacing w:after="0" w:line="252" w:lineRule="auto"/>
            </w:pPr>
            <w:r>
              <w:rPr>
                <w:rFonts w:ascii="Calibri" w:hAnsi="Calibri"/>
                <w:color w:val="242424"/>
                <w:sz w:val="18"/>
              </w:rPr>
              <w:t>user_id, modes, intent, category_id, location, predefined_caption_id, custom_caption, moderation_status, visibility, chat_default</w:t>
            </w:r>
          </w:p>
        </w:tc>
      </w:tr>
      <w:tr>
        <w:tc>
          <w:tcPr>
            <w:tcW w:type="dxa" w:w="2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RelationshipPreference</w:t>
            </w:r>
          </w:p>
        </w:tc>
        <w:tc>
          <w:tcPr>
            <w:tcW w:type="dxa" w:w="6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user_id, adult_verified_at, age_range, gender_preferences, location preference, visibility, consent_at</w:t>
            </w:r>
          </w:p>
        </w:tc>
      </w:tr>
      <w:tr>
        <w:tc>
          <w:tcPr>
            <w:tcW w:type="dxa" w:w="2500"/>
            <w:tcMar>
              <w:top w:w="80" w:type="dxa"/>
              <w:start w:w="120" w:type="dxa"/>
              <w:bottom w:w="80" w:type="dxa"/>
              <w:end w:w="120" w:type="dxa"/>
            </w:tcMar>
            <w:vAlign w:val="center"/>
          </w:tcPr>
          <w:p>
            <w:pPr>
              <w:widowControl/>
              <w:spacing w:after="0" w:line="252" w:lineRule="auto"/>
            </w:pPr>
            <w:r>
              <w:rPr>
                <w:rFonts w:ascii="Calibri" w:hAnsi="Calibri"/>
                <w:color w:val="242424"/>
                <w:sz w:val="18"/>
              </w:rPr>
              <w:t>FeatureEntitlement</w:t>
            </w:r>
          </w:p>
        </w:tc>
        <w:tc>
          <w:tcPr>
            <w:tcW w:type="dxa" w:w="6860"/>
            <w:tcMar>
              <w:top w:w="80" w:type="dxa"/>
              <w:start w:w="120" w:type="dxa"/>
              <w:bottom w:w="80" w:type="dxa"/>
              <w:end w:w="120" w:type="dxa"/>
            </w:tcMar>
            <w:vAlign w:val="center"/>
          </w:tcPr>
          <w:p>
            <w:pPr>
              <w:widowControl/>
              <w:spacing w:after="0" w:line="252" w:lineRule="auto"/>
            </w:pPr>
            <w:r>
              <w:rPr>
                <w:rFonts w:ascii="Calibri" w:hAnsi="Calibri"/>
                <w:color w:val="242424"/>
                <w:sz w:val="18"/>
              </w:rPr>
              <w:t>user_id, plan_code, status, starts_at, expires_at, source, payment_reference</w:t>
            </w:r>
          </w:p>
        </w:tc>
      </w:tr>
      <w:tr>
        <w:tc>
          <w:tcPr>
            <w:tcW w:type="dxa" w:w="2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MatchRecord</w:t>
            </w:r>
          </w:p>
        </w:tc>
        <w:tc>
          <w:tcPr>
            <w:tcW w:type="dxa" w:w="6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tournament_id, bracket_id, round_number, user_a_id, user_b_id, match_level, score, reason_codes, created_at</w:t>
            </w:r>
          </w:p>
        </w:tc>
      </w:tr>
      <w:tr>
        <w:tc>
          <w:tcPr>
            <w:tcW w:type="dxa" w:w="2500"/>
            <w:tcMar>
              <w:top w:w="80" w:type="dxa"/>
              <w:start w:w="120" w:type="dxa"/>
              <w:bottom w:w="80" w:type="dxa"/>
              <w:end w:w="120" w:type="dxa"/>
            </w:tcMar>
            <w:vAlign w:val="center"/>
          </w:tcPr>
          <w:p>
            <w:pPr>
              <w:widowControl/>
              <w:spacing w:after="0" w:line="252" w:lineRule="auto"/>
            </w:pPr>
            <w:r>
              <w:rPr>
                <w:rFonts w:ascii="Calibri" w:hAnsi="Calibri"/>
                <w:color w:val="242424"/>
                <w:sz w:val="18"/>
              </w:rPr>
              <w:t>BlockReport</w:t>
            </w:r>
          </w:p>
        </w:tc>
        <w:tc>
          <w:tcPr>
            <w:tcW w:type="dxa" w:w="6860"/>
            <w:tcMar>
              <w:top w:w="80" w:type="dxa"/>
              <w:start w:w="120" w:type="dxa"/>
              <w:bottom w:w="80" w:type="dxa"/>
              <w:end w:w="120" w:type="dxa"/>
            </w:tcMar>
            <w:vAlign w:val="center"/>
          </w:tcPr>
          <w:p>
            <w:pPr>
              <w:widowControl/>
              <w:spacing w:after="0" w:line="252" w:lineRule="auto"/>
            </w:pPr>
            <w:r>
              <w:rPr>
                <w:rFonts w:ascii="Calibri" w:hAnsi="Calibri"/>
                <w:color w:val="242424"/>
                <w:sz w:val="18"/>
              </w:rPr>
              <w:t>reporter_id, subject_id, session_id, type, details, status, action, timestamps</w:t>
            </w:r>
          </w:p>
        </w:tc>
      </w:tr>
      <w:tr>
        <w:tc>
          <w:tcPr>
            <w:tcW w:type="dxa" w:w="2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ChatMessage (temporary)</w:t>
            </w:r>
          </w:p>
        </w:tc>
        <w:tc>
          <w:tcPr>
            <w:tcW w:type="dxa" w:w="6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session_id, sender_id, recipient_id, body, created_at, expires_at; stored through ChatStore rather than the primary relational model in the pilot</w:t>
            </w:r>
          </w:p>
        </w:tc>
      </w:tr>
    </w:tbl>
    <w:p>
      <w:pPr>
        <w:spacing w:after="20"/>
      </w:pPr>
    </w:p>
    <w:p>
      <w:pPr>
        <w:pStyle w:val="Heading2"/>
      </w:pPr>
      <w:r>
        <w:t>10.2 Illustrative APIs and events</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trPr>
        <w:tc>
          <w:tcPr>
            <w:tcW w:type="dxa" w:w="3500"/>
            <w:shd w:fill="F2F4F7"/>
            <w:tcMar>
              <w:top w:w="80" w:type="dxa"/>
              <w:start w:w="120" w:type="dxa"/>
              <w:bottom w:w="80" w:type="dxa"/>
              <w:end w:w="120" w:type="dxa"/>
            </w:tcMar>
            <w:vAlign w:val="center"/>
          </w:tcPr>
          <w:p>
            <w:pPr>
              <w:widowControl/>
              <w:spacing w:after="0"/>
            </w:pPr>
            <w:r>
              <w:rPr>
                <w:rFonts w:ascii="Calibri" w:hAnsi="Calibri"/>
                <w:b/>
                <w:color w:val="781C2E"/>
                <w:sz w:val="19"/>
              </w:rPr>
              <w:t>Interface</w:t>
            </w:r>
          </w:p>
        </w:tc>
        <w:tc>
          <w:tcPr>
            <w:tcW w:type="dxa" w:w="5860"/>
            <w:shd w:fill="F2F4F7"/>
            <w:tcMar>
              <w:top w:w="80" w:type="dxa"/>
              <w:start w:w="120" w:type="dxa"/>
              <w:bottom w:w="80" w:type="dxa"/>
              <w:end w:w="120" w:type="dxa"/>
            </w:tcMar>
            <w:vAlign w:val="center"/>
          </w:tcPr>
          <w:p>
            <w:pPr>
              <w:widowControl/>
              <w:spacing w:after="0"/>
            </w:pPr>
            <w:r>
              <w:rPr>
                <w:rFonts w:ascii="Calibri" w:hAnsi="Calibri"/>
                <w:b/>
                <w:color w:val="781C2E"/>
                <w:sz w:val="19"/>
              </w:rPr>
              <w:t>Purpose</w:t>
            </w:r>
          </w:p>
        </w:tc>
      </w:tr>
      <w:tr>
        <w:tc>
          <w:tcPr>
            <w:tcW w:type="dxa" w:w="3500"/>
            <w:tcMar>
              <w:top w:w="80" w:type="dxa"/>
              <w:start w:w="120" w:type="dxa"/>
              <w:bottom w:w="80" w:type="dxa"/>
              <w:end w:w="120" w:type="dxa"/>
            </w:tcMar>
            <w:vAlign w:val="center"/>
          </w:tcPr>
          <w:p>
            <w:pPr>
              <w:widowControl/>
              <w:spacing w:after="0" w:line="252" w:lineRule="auto"/>
            </w:pPr>
            <w:r>
              <w:rPr>
                <w:rFonts w:ascii="Calibri" w:hAnsi="Calibri"/>
                <w:color w:val="242424"/>
                <w:sz w:val="18"/>
              </w:rPr>
              <w:t>GET/PUT /api/discovery-profile</w:t>
            </w:r>
          </w:p>
        </w:tc>
        <w:tc>
          <w:tcPr>
            <w:tcW w:type="dxa" w:w="5860"/>
            <w:tcMar>
              <w:top w:w="80" w:type="dxa"/>
              <w:start w:w="120" w:type="dxa"/>
              <w:bottom w:w="80" w:type="dxa"/>
              <w:end w:w="120" w:type="dxa"/>
            </w:tcMar>
            <w:vAlign w:val="center"/>
          </w:tcPr>
          <w:p>
            <w:pPr>
              <w:widowControl/>
              <w:spacing w:after="0" w:line="252" w:lineRule="auto"/>
            </w:pPr>
            <w:r>
              <w:rPr>
                <w:rFonts w:ascii="Calibri" w:hAnsi="Calibri"/>
                <w:color w:val="242424"/>
                <w:sz w:val="18"/>
              </w:rPr>
              <w:t>Retrieve or update a user’s structured discovery settings.</w:t>
            </w:r>
          </w:p>
        </w:tc>
      </w:tr>
      <w:tr>
        <w:tc>
          <w:tcPr>
            <w:tcW w:type="dxa" w:w="3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POST /api/discovery-profile/caption</w:t>
            </w:r>
          </w:p>
        </w:tc>
        <w:tc>
          <w:tcPr>
            <w:tcW w:type="dxa" w:w="5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Create or update a caption and return moderation state.</w:t>
            </w:r>
          </w:p>
        </w:tc>
      </w:tr>
      <w:tr>
        <w:tc>
          <w:tcPr>
            <w:tcW w:type="dxa" w:w="3500"/>
            <w:tcMar>
              <w:top w:w="80" w:type="dxa"/>
              <w:start w:w="120" w:type="dxa"/>
              <w:bottom w:w="80" w:type="dxa"/>
              <w:end w:w="120" w:type="dxa"/>
            </w:tcMar>
            <w:vAlign w:val="center"/>
          </w:tcPr>
          <w:p>
            <w:pPr>
              <w:widowControl/>
              <w:spacing w:after="0" w:line="252" w:lineRule="auto"/>
            </w:pPr>
            <w:r>
              <w:rPr>
                <w:rFonts w:ascii="Calibri" w:hAnsi="Calibri"/>
                <w:color w:val="242424"/>
                <w:sz w:val="18"/>
              </w:rPr>
              <w:t>POST /api/sessions/{id}/visibility</w:t>
            </w:r>
          </w:p>
        </w:tc>
        <w:tc>
          <w:tcPr>
            <w:tcW w:type="dxa" w:w="5860"/>
            <w:tcMar>
              <w:top w:w="80" w:type="dxa"/>
              <w:start w:w="120" w:type="dxa"/>
              <w:bottom w:w="80" w:type="dxa"/>
              <w:end w:w="120" w:type="dxa"/>
            </w:tcMar>
            <w:vAlign w:val="center"/>
          </w:tcPr>
          <w:p>
            <w:pPr>
              <w:widowControl/>
              <w:spacing w:after="0" w:line="252" w:lineRule="auto"/>
            </w:pPr>
            <w:r>
              <w:rPr>
                <w:rFonts w:ascii="Calibri" w:hAnsi="Calibri"/>
                <w:color w:val="242424"/>
                <w:sz w:val="18"/>
              </w:rPr>
              <w:t>Hide or reveal the profile for the current game session.</w:t>
            </w:r>
          </w:p>
        </w:tc>
      </w:tr>
      <w:tr>
        <w:tc>
          <w:tcPr>
            <w:tcW w:type="dxa" w:w="3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POST /api/matching/recommend</w:t>
            </w:r>
          </w:p>
        </w:tc>
        <w:tc>
          <w:tcPr>
            <w:tcW w:type="dxa" w:w="5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Return ranked eligible first-round opponents for authorized server-side use.</w:t>
            </w:r>
          </w:p>
        </w:tc>
      </w:tr>
      <w:tr>
        <w:tc>
          <w:tcPr>
            <w:tcW w:type="dxa" w:w="3500"/>
            <w:tcMar>
              <w:top w:w="80" w:type="dxa"/>
              <w:start w:w="120" w:type="dxa"/>
              <w:bottom w:w="80" w:type="dxa"/>
              <w:end w:w="120" w:type="dxa"/>
            </w:tcMar>
            <w:vAlign w:val="center"/>
          </w:tcPr>
          <w:p>
            <w:pPr>
              <w:widowControl/>
              <w:spacing w:after="0" w:line="252" w:lineRule="auto"/>
            </w:pPr>
            <w:r>
              <w:rPr>
                <w:rFonts w:ascii="Calibri" w:hAnsi="Calibri"/>
                <w:color w:val="242424"/>
                <w:sz w:val="18"/>
              </w:rPr>
              <w:t>GET /api/brackets/discovery</w:t>
            </w:r>
          </w:p>
        </w:tc>
        <w:tc>
          <w:tcPr>
            <w:tcW w:type="dxa" w:w="5860"/>
            <w:tcMar>
              <w:top w:w="80" w:type="dxa"/>
              <w:start w:w="120" w:type="dxa"/>
              <w:bottom w:w="80" w:type="dxa"/>
              <w:end w:w="120" w:type="dxa"/>
            </w:tcMar>
            <w:vAlign w:val="center"/>
          </w:tcPr>
          <w:p>
            <w:pPr>
              <w:widowControl/>
              <w:spacing w:after="0" w:line="252" w:lineRule="auto"/>
            </w:pPr>
            <w:r>
              <w:rPr>
                <w:rFonts w:ascii="Calibri" w:hAnsi="Calibri"/>
                <w:color w:val="242424"/>
                <w:sz w:val="18"/>
              </w:rPr>
              <w:t>List open brackets and permitted relevance indicators for boosted users.</w:t>
            </w:r>
          </w:p>
        </w:tc>
      </w:tr>
      <w:tr>
        <w:tc>
          <w:tcPr>
            <w:tcW w:type="dxa" w:w="3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Socket: chat:send / chat:latest</w:t>
            </w:r>
          </w:p>
        </w:tc>
        <w:tc>
          <w:tcPr>
            <w:tcW w:type="dxa" w:w="5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Send an authorized message and update the compact latest-message view.</w:t>
            </w:r>
          </w:p>
        </w:tc>
      </w:tr>
      <w:tr>
        <w:tc>
          <w:tcPr>
            <w:tcW w:type="dxa" w:w="3500"/>
            <w:tcMar>
              <w:top w:w="80" w:type="dxa"/>
              <w:start w:w="120" w:type="dxa"/>
              <w:bottom w:w="80" w:type="dxa"/>
              <w:end w:w="120" w:type="dxa"/>
            </w:tcMar>
            <w:vAlign w:val="center"/>
          </w:tcPr>
          <w:p>
            <w:pPr>
              <w:widowControl/>
              <w:spacing w:after="0" w:line="252" w:lineRule="auto"/>
            </w:pPr>
            <w:r>
              <w:rPr>
                <w:rFonts w:ascii="Calibri" w:hAnsi="Calibri"/>
                <w:color w:val="242424"/>
                <w:sz w:val="18"/>
              </w:rPr>
              <w:t>Socket: chat:disable</w:t>
            </w:r>
          </w:p>
        </w:tc>
        <w:tc>
          <w:tcPr>
            <w:tcW w:type="dxa" w:w="5860"/>
            <w:tcMar>
              <w:top w:w="80" w:type="dxa"/>
              <w:start w:w="120" w:type="dxa"/>
              <w:bottom w:w="80" w:type="dxa"/>
              <w:end w:w="120" w:type="dxa"/>
            </w:tcMar>
            <w:vAlign w:val="center"/>
          </w:tcPr>
          <w:p>
            <w:pPr>
              <w:widowControl/>
              <w:spacing w:after="0" w:line="252" w:lineRule="auto"/>
            </w:pPr>
            <w:r>
              <w:rPr>
                <w:rFonts w:ascii="Calibri" w:hAnsi="Calibri"/>
                <w:color w:val="242424"/>
                <w:sz w:val="18"/>
              </w:rPr>
              <w:t>Disable chat for the current session and notify both clients.</w:t>
            </w:r>
          </w:p>
        </w:tc>
      </w:tr>
      <w:tr>
        <w:tc>
          <w:tcPr>
            <w:tcW w:type="dxa" w:w="35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POST /api/reports</w:t>
            </w:r>
          </w:p>
        </w:tc>
        <w:tc>
          <w:tcPr>
            <w:tcW w:type="dxa" w:w="58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Submit a block/report request tied to a user and session.</w:t>
            </w:r>
          </w:p>
        </w:tc>
      </w:tr>
    </w:tbl>
    <w:p>
      <w:pPr>
        <w:spacing w:after="20"/>
      </w:pPr>
    </w:p>
    <w:p>
      <w:pPr>
        <w:pStyle w:val="Heading2"/>
      </w:pPr>
      <w:r>
        <w:t>10.3 Security requirements</w:t>
      </w:r>
    </w:p>
    <w:p>
      <w:pPr>
        <w:spacing w:after="160" w:line="280" w:lineRule="auto"/>
        <w:numPr>
          <w:ilvl w:val="0"/>
          <w:numId w:val="10"/>
        </w:numPr>
      </w:pPr>
      <w:r>
        <w:t>All APIs and socket events require authenticated user and session authorization; client-provided user IDs are never trusted as authority.</w:t>
      </w:r>
    </w:p>
    <w:p>
      <w:pPr>
        <w:spacing w:after="160" w:line="280" w:lineRule="auto"/>
        <w:numPr>
          <w:ilvl w:val="0"/>
          <w:numId w:val="10"/>
        </w:numPr>
      </w:pPr>
      <w:r>
        <w:t>Server-side validation enforces caption length, category, entitlement, visibility and recipient eligibility.</w:t>
      </w:r>
    </w:p>
    <w:p>
      <w:pPr>
        <w:spacing w:after="160" w:line="280" w:lineRule="auto"/>
        <w:numPr>
          <w:ilvl w:val="0"/>
          <w:numId w:val="10"/>
        </w:numPr>
      </w:pPr>
      <w:r>
        <w:t>Messages are escaped/sanitised to prevent script injection and stored outside public web directories.</w:t>
      </w:r>
    </w:p>
    <w:p>
      <w:pPr>
        <w:spacing w:after="160" w:line="280" w:lineRule="auto"/>
        <w:numPr>
          <w:ilvl w:val="0"/>
          <w:numId w:val="10"/>
        </w:numPr>
      </w:pPr>
      <w:r>
        <w:t>Rate limits apply per account, connection and session; abuse controls should include replay and spam protection.</w:t>
      </w:r>
    </w:p>
    <w:p>
      <w:pPr>
        <w:spacing w:after="160" w:line="280" w:lineRule="auto"/>
        <w:numPr>
          <w:ilvl w:val="0"/>
          <w:numId w:val="10"/>
        </w:numPr>
      </w:pPr>
      <w:r>
        <w:t>Logs use identifiers and reason codes, not raw relationship preferences or ordinary chat content, unless required for an approved safety process.</w:t>
      </w:r>
    </w:p>
    <w:p>
      <w:pPr>
        <w:pStyle w:val="Heading1"/>
      </w:pPr>
      <w:r>
        <w:t>11. Delivery roadmap and testing</w:t>
      </w:r>
    </w:p>
    <w:p>
      <w:r>
        <w:t>The staged milestone sequence remains authoritative. Payment activation is default off and controlled independently from the Hybrid capability switches; turning off a required capability immediately stops sales of that benefit.</w:t>
      </w:r>
    </w:p>
    <w:tbl>
      <w:tblPr>
        <w:tblStyle w:val="TableGrid"/>
        <w:tblW w:type="dxa" w:w="9360"/>
        <w:jc w:val="left"/>
        <w:tblLayout w:type="fixed"/>
        <w:tblLook w:firstColumn="1" w:firstRow="1" w:lastColumn="0" w:lastRow="0" w:noHBand="0" w:noVBand="1" w:val="04A0"/>
        <w:tblInd w:w="120" w:type="dxa"/>
      </w:tblPr>
      <w:tblGrid>
        <w:gridCol w:w="1650"/>
        <w:gridCol w:w="4650"/>
        <w:gridCol w:w="3060"/>
      </w:tblGrid>
      <w:tr>
        <w:trPr>
          <w:tblHeader w:val="true"/>
        </w:trPr>
        <w:tc>
          <w:tcPr>
            <w:tcW w:type="dxa" w:w="1650"/>
            <w:shd w:fill="F2F4F7"/>
            <w:tcMar>
              <w:top w:w="80" w:type="dxa"/>
              <w:start w:w="120" w:type="dxa"/>
              <w:bottom w:w="80" w:type="dxa"/>
              <w:end w:w="120" w:type="dxa"/>
            </w:tcMar>
            <w:vAlign w:val="center"/>
          </w:tcPr>
          <w:p>
            <w:pPr>
              <w:widowControl/>
              <w:spacing w:after="0"/>
            </w:pPr>
            <w:r>
              <w:rPr>
                <w:rFonts w:ascii="Calibri" w:hAnsi="Calibri"/>
                <w:b/>
                <w:color w:val="781C2E"/>
                <w:sz w:val="19"/>
              </w:rPr>
              <w:t>Phase</w:t>
            </w:r>
          </w:p>
        </w:tc>
        <w:tc>
          <w:tcPr>
            <w:tcW w:type="dxa" w:w="4650"/>
            <w:shd w:fill="F2F4F7"/>
            <w:tcMar>
              <w:top w:w="80" w:type="dxa"/>
              <w:start w:w="120" w:type="dxa"/>
              <w:bottom w:w="80" w:type="dxa"/>
              <w:end w:w="120" w:type="dxa"/>
            </w:tcMar>
            <w:vAlign w:val="center"/>
          </w:tcPr>
          <w:p>
            <w:pPr>
              <w:widowControl/>
              <w:spacing w:after="0"/>
            </w:pPr>
            <w:r>
              <w:rPr>
                <w:rFonts w:ascii="Calibri" w:hAnsi="Calibri"/>
                <w:b/>
                <w:color w:val="781C2E"/>
                <w:sz w:val="19"/>
              </w:rPr>
              <w:t>Primary deliverables</w:t>
            </w:r>
          </w:p>
        </w:tc>
        <w:tc>
          <w:tcPr>
            <w:tcW w:type="dxa" w:w="3060"/>
            <w:shd w:fill="F2F4F7"/>
            <w:tcMar>
              <w:top w:w="80" w:type="dxa"/>
              <w:start w:w="120" w:type="dxa"/>
              <w:bottom w:w="80" w:type="dxa"/>
              <w:end w:w="120" w:type="dxa"/>
            </w:tcMar>
            <w:vAlign w:val="center"/>
          </w:tcPr>
          <w:p>
            <w:pPr>
              <w:widowControl/>
              <w:spacing w:after="0"/>
            </w:pPr>
            <w:r>
              <w:rPr>
                <w:rFonts w:ascii="Calibri" w:hAnsi="Calibri"/>
                <w:b/>
                <w:color w:val="781C2E"/>
                <w:sz w:val="19"/>
              </w:rPr>
              <w:t>Exit criteria</w:t>
            </w:r>
          </w:p>
        </w:tc>
      </w:tr>
      <w:tr>
        <w:tc>
          <w:tcPr>
            <w:tcW w:type="dxa" w:w="1650"/>
            <w:tcMar>
              <w:top w:w="80" w:type="dxa"/>
              <w:start w:w="120" w:type="dxa"/>
              <w:bottom w:w="80" w:type="dxa"/>
              <w:end w:w="120" w:type="dxa"/>
            </w:tcMar>
            <w:vAlign w:val="center"/>
          </w:tcPr>
          <w:p>
            <w:pPr>
              <w:widowControl/>
              <w:spacing w:after="0" w:line="252" w:lineRule="auto"/>
            </w:pPr>
            <w:r>
              <w:rPr>
                <w:rFonts w:ascii="Calibri" w:hAnsi="Calibri"/>
                <w:color w:val="242424"/>
                <w:sz w:val="18"/>
              </w:rPr>
              <w:t>0. Alignment</w:t>
            </w:r>
          </w:p>
        </w:tc>
        <w:tc>
          <w:tcPr>
            <w:tcW w:type="dxa" w:w="4650"/>
            <w:tcMar>
              <w:top w:w="80" w:type="dxa"/>
              <w:start w:w="120" w:type="dxa"/>
              <w:bottom w:w="80" w:type="dxa"/>
              <w:end w:w="120" w:type="dxa"/>
            </w:tcMar>
            <w:vAlign w:val="center"/>
          </w:tcPr>
          <w:p>
            <w:pPr>
              <w:widowControl/>
              <w:spacing w:after="0" w:line="252" w:lineRule="auto"/>
            </w:pPr>
            <w:r>
              <w:rPr>
                <w:rFonts w:ascii="Calibri" w:hAnsi="Calibri"/>
                <w:color w:val="242424"/>
                <w:sz w:val="18"/>
              </w:rPr>
              <w:t>Approve scope, categories, matching rules, safety policy, data retention and feature flags.</w:t>
            </w:r>
          </w:p>
        </w:tc>
        <w:tc>
          <w:tcPr>
            <w:tcW w:type="dxa" w:w="3060"/>
            <w:tcMar>
              <w:top w:w="80" w:type="dxa"/>
              <w:start w:w="120" w:type="dxa"/>
              <w:bottom w:w="80" w:type="dxa"/>
              <w:end w:w="120" w:type="dxa"/>
            </w:tcMar>
            <w:vAlign w:val="center"/>
          </w:tcPr>
          <w:p>
            <w:pPr>
              <w:widowControl/>
              <w:spacing w:after="0" w:line="252" w:lineRule="auto"/>
            </w:pPr>
            <w:r>
              <w:rPr>
                <w:rFonts w:ascii="Calibri" w:hAnsi="Calibri"/>
                <w:color w:val="242424"/>
                <w:sz w:val="18"/>
              </w:rPr>
              <w:t>Signed product decisions and testable acceptance criteria.</w:t>
            </w:r>
          </w:p>
        </w:tc>
      </w:tr>
      <w:tr>
        <w:tc>
          <w:tcPr>
            <w:tcW w:type="dxa" w:w="1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1. Matching prototype</w:t>
            </w:r>
          </w:p>
        </w:tc>
        <w:tc>
          <w:tcPr>
            <w:tcW w:type="dxa" w:w="4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Standalone rule engine, candidate filters, scoring, labels, reason codes and normal-game fallback.</w:t>
            </w:r>
          </w:p>
        </w:tc>
        <w:tc>
          <w:tcPr>
            <w:tcW w:type="dxa" w:w="3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Deterministic tests cover compatible, incompatible and no-match cases.</w:t>
            </w:r>
          </w:p>
        </w:tc>
      </w:tr>
      <w:tr>
        <w:tc>
          <w:tcPr>
            <w:tcW w:type="dxa" w:w="1650"/>
            <w:tcMar>
              <w:top w:w="80" w:type="dxa"/>
              <w:start w:w="120" w:type="dxa"/>
              <w:bottom w:w="80" w:type="dxa"/>
              <w:end w:w="120" w:type="dxa"/>
            </w:tcMar>
            <w:vAlign w:val="center"/>
          </w:tcPr>
          <w:p>
            <w:pPr>
              <w:widowControl/>
              <w:spacing w:after="0" w:line="252" w:lineRule="auto"/>
            </w:pPr>
            <w:r>
              <w:rPr>
                <w:rFonts w:ascii="Calibri" w:hAnsi="Calibri"/>
                <w:color w:val="242424"/>
                <w:sz w:val="18"/>
              </w:rPr>
              <w:t>2. Models and profile APIs</w:t>
            </w:r>
          </w:p>
        </w:tc>
        <w:tc>
          <w:tcPr>
            <w:tcW w:type="dxa" w:w="4650"/>
            <w:tcMar>
              <w:top w:w="80" w:type="dxa"/>
              <w:start w:w="120" w:type="dxa"/>
              <w:bottom w:w="80" w:type="dxa"/>
              <w:end w:w="120" w:type="dxa"/>
            </w:tcMar>
            <w:vAlign w:val="center"/>
          </w:tcPr>
          <w:p>
            <w:pPr>
              <w:widowControl/>
              <w:spacing w:after="0" w:line="252" w:lineRule="auto"/>
            </w:pPr>
            <w:r>
              <w:rPr>
                <w:rFonts w:ascii="Calibri" w:hAnsi="Calibri"/>
                <w:color w:val="242424"/>
                <w:sz w:val="18"/>
              </w:rPr>
              <w:t>Add-on models, migrations, profile preferences, consent, visibility and pilot entitlements.</w:t>
            </w:r>
          </w:p>
        </w:tc>
        <w:tc>
          <w:tcPr>
            <w:tcW w:type="dxa" w:w="3060"/>
            <w:tcMar>
              <w:top w:w="80" w:type="dxa"/>
              <w:start w:w="120" w:type="dxa"/>
              <w:bottom w:w="80" w:type="dxa"/>
              <w:end w:w="120" w:type="dxa"/>
            </w:tcMar>
            <w:vAlign w:val="center"/>
          </w:tcPr>
          <w:p>
            <w:pPr>
              <w:widowControl/>
              <w:spacing w:after="0" w:line="252" w:lineRule="auto"/>
            </w:pPr>
            <w:r>
              <w:rPr>
                <w:rFonts w:ascii="Calibri" w:hAnsi="Calibri"/>
                <w:color w:val="242424"/>
                <w:sz w:val="18"/>
              </w:rPr>
              <w:t>Users can configure modes without changing core user records unnecessarily.</w:t>
            </w:r>
          </w:p>
        </w:tc>
      </w:tr>
      <w:tr>
        <w:tc>
          <w:tcPr>
            <w:tcW w:type="dxa" w:w="1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3. Agent panel and chat</w:t>
            </w:r>
          </w:p>
        </w:tc>
        <w:tc>
          <w:tcPr>
            <w:tcW w:type="dxa" w:w="4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Compact UI, latest-message display, game-commentary fallback, Socket.IO authorization, hide/mute/block/report.</w:t>
            </w:r>
          </w:p>
        </w:tc>
        <w:tc>
          <w:tcPr>
            <w:tcW w:type="dxa" w:w="3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Mobile gameplay remains usable; chat cannot cross sessions.</w:t>
            </w:r>
          </w:p>
        </w:tc>
      </w:tr>
      <w:tr>
        <w:tc>
          <w:tcPr>
            <w:tcW w:type="dxa" w:w="1650"/>
            <w:tcMar>
              <w:top w:w="80" w:type="dxa"/>
              <w:start w:w="120" w:type="dxa"/>
              <w:bottom w:w="80" w:type="dxa"/>
              <w:end w:w="120" w:type="dxa"/>
            </w:tcMar>
            <w:vAlign w:val="center"/>
          </w:tcPr>
          <w:p>
            <w:pPr>
              <w:widowControl/>
              <w:spacing w:after="0" w:line="252" w:lineRule="auto"/>
            </w:pPr>
            <w:r>
              <w:rPr>
                <w:rFonts w:ascii="Calibri" w:hAnsi="Calibri"/>
                <w:color w:val="242424"/>
                <w:sz w:val="18"/>
              </w:rPr>
              <w:t>4. Bracket integration</w:t>
            </w:r>
          </w:p>
        </w:tc>
        <w:tc>
          <w:tcPr>
            <w:tcW w:type="dxa" w:w="4650"/>
            <w:tcMar>
              <w:top w:w="80" w:type="dxa"/>
              <w:start w:w="120" w:type="dxa"/>
              <w:bottom w:w="80" w:type="dxa"/>
              <w:end w:w="120" w:type="dxa"/>
            </w:tcMar>
            <w:vAlign w:val="center"/>
          </w:tcPr>
          <w:p>
            <w:pPr>
              <w:widowControl/>
              <w:spacing w:after="0" w:line="252" w:lineRule="auto"/>
            </w:pPr>
            <w:r>
              <w:rPr>
                <w:rFonts w:ascii="Calibri" w:hAnsi="Calibri"/>
                <w:color w:val="242424"/>
                <w:sz w:val="18"/>
              </w:rPr>
              <w:t>First-round match recommendation and boosted bracket discovery behind feature flags.</w:t>
            </w:r>
          </w:p>
        </w:tc>
        <w:tc>
          <w:tcPr>
            <w:tcW w:type="dxa" w:w="3060"/>
            <w:tcMar>
              <w:top w:w="80" w:type="dxa"/>
              <w:start w:w="120" w:type="dxa"/>
              <w:bottom w:w="80" w:type="dxa"/>
              <w:end w:w="120" w:type="dxa"/>
            </w:tcMar>
            <w:vAlign w:val="center"/>
          </w:tcPr>
          <w:p>
            <w:pPr>
              <w:widowControl/>
              <w:spacing w:after="0" w:line="252" w:lineRule="auto"/>
            </w:pPr>
            <w:r>
              <w:rPr>
                <w:rFonts w:ascii="Calibri" w:hAnsi="Calibri"/>
                <w:color w:val="242424"/>
                <w:sz w:val="18"/>
              </w:rPr>
              <w:t>Later rounds and existing tournament logic remain unchanged.</w:t>
            </w:r>
          </w:p>
        </w:tc>
      </w:tr>
      <w:tr>
        <w:tc>
          <w:tcPr>
            <w:tcW w:type="dxa" w:w="1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5. Pilot test</w:t>
            </w:r>
          </w:p>
        </w:tc>
        <w:tc>
          <w:tcPr>
            <w:tcW w:type="dxa" w:w="4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Free controlled rollout, analytics, load tests, moderation trial and stakeholder review.</w:t>
            </w:r>
          </w:p>
        </w:tc>
        <w:tc>
          <w:tcPr>
            <w:tcW w:type="dxa" w:w="3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Acceptance, safety and performance thresholds are met.</w:t>
            </w:r>
          </w:p>
        </w:tc>
      </w:tr>
      <w:tr>
        <w:tc>
          <w:tcPr>
            <w:tcW w:type="dxa" w:w="1650"/>
            <w:tcMar>
              <w:top w:w="80" w:type="dxa"/>
              <w:start w:w="120" w:type="dxa"/>
              <w:bottom w:w="80" w:type="dxa"/>
              <w:end w:w="120" w:type="dxa"/>
            </w:tcMar>
            <w:vAlign w:val="center"/>
          </w:tcPr>
          <w:p>
            <w:r>
              <w:t>6. Monetisation - E20/E40 complete</w:t>
            </w:r>
          </w:p>
        </w:tc>
        <w:tc>
          <w:tcPr>
            <w:tcW w:type="dxa" w:w="4650"/>
            <w:tcMar>
              <w:top w:w="80" w:type="dxa"/>
              <w:start w:w="120" w:type="dxa"/>
              <w:bottom w:w="80" w:type="dxa"/>
              <w:end w:w="120" w:type="dxa"/>
            </w:tcMar>
            <w:vAlign w:val="center"/>
          </w:tcPr>
          <w:p>
            <w:r>
              <w:t>Configurable plan sales, gateway initiation, callbacks, persistent purchases, expiring entitlements, account purchase UI and administrator controls.</w:t>
            </w:r>
          </w:p>
        </w:tc>
        <w:tc>
          <w:tcPr>
            <w:tcW w:type="dxa" w:w="3060"/>
            <w:tcMar>
              <w:top w:w="80" w:type="dxa"/>
              <w:start w:w="120" w:type="dxa"/>
              <w:bottom w:w="80" w:type="dxa"/>
              <w:end w:w="120" w:type="dxa"/>
            </w:tcMar>
            <w:vAlign w:val="center"/>
          </w:tcPr>
          <w:p>
            <w:r>
              <w:t>E20/E40 payment and entitlement regressions pass. Premium remains gated by openWA; public commercial terms and reconciliation remain launch gates.</w:t>
            </w:r>
          </w:p>
        </w:tc>
      </w:tr>
      <w:tr>
        <w:tc>
          <w:tcPr>
            <w:tcW w:type="dxa" w:w="1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7. Gradual launch</w:t>
            </w:r>
          </w:p>
        </w:tc>
        <w:tc>
          <w:tcPr>
            <w:tcW w:type="dxa" w:w="46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Segmented release, monitoring, support playbook and rollback controls.</w:t>
            </w:r>
          </w:p>
        </w:tc>
        <w:tc>
          <w:tcPr>
            <w:tcW w:type="dxa" w:w="30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Stable KPIs and manageable report volume.</w:t>
            </w:r>
          </w:p>
        </w:tc>
      </w:tr>
    </w:tbl>
    <w:p>
      <w:pPr>
        <w:spacing w:after="20"/>
      </w:pPr>
    </w:p>
    <w:p>
      <w:pPr>
        <w:pStyle w:val="Heading2"/>
      </w:pPr>
      <w:r>
        <w:t>11.1 Test priorities</w:t>
      </w:r>
    </w:p>
    <w:p>
      <w:pPr>
        <w:spacing w:after="160" w:line="280" w:lineRule="auto"/>
        <w:numPr>
          <w:ilvl w:val="0"/>
          <w:numId w:val="10"/>
        </w:numPr>
      </w:pPr>
      <w:r>
        <w:t>Regression: all existing games, bracket entry, first-round creation, progression, prize and Socket.IO behaviours.</w:t>
      </w:r>
    </w:p>
    <w:p>
      <w:pPr>
        <w:spacing w:after="160" w:line="280" w:lineRule="auto"/>
        <w:numPr>
          <w:ilvl w:val="0"/>
          <w:numId w:val="10"/>
        </w:numPr>
      </w:pPr>
      <w:r>
        <w:t>Matching: complementarity, no-match fallback, repeated-pair prevention, entitlement differences and first-round-only enforcement.</w:t>
      </w:r>
    </w:p>
    <w:p>
      <w:pPr>
        <w:spacing w:after="160" w:line="280" w:lineRule="auto"/>
        <w:numPr>
          <w:ilvl w:val="0"/>
          <w:numId w:val="10"/>
        </w:numPr>
      </w:pPr>
      <w:r>
        <w:t>Privacy: restricted caption visibility, hidden profiles, blocked users, expired consent and relationship-mode isolation.</w:t>
      </w:r>
    </w:p>
    <w:p>
      <w:pPr>
        <w:spacing w:after="160" w:line="280" w:lineRule="auto"/>
        <w:numPr>
          <w:ilvl w:val="0"/>
          <w:numId w:val="10"/>
        </w:numPr>
      </w:pPr>
      <w:r>
        <w:t>Chat: authorization, rate limiting, sanitisation, disable behaviour, disconnection/reconnection and automatic deletion.</w:t>
      </w:r>
    </w:p>
    <w:p>
      <w:pPr>
        <w:spacing w:after="160" w:line="280" w:lineRule="auto"/>
        <w:numPr>
          <w:ilvl w:val="0"/>
          <w:numId w:val="10"/>
        </w:numPr>
      </w:pPr>
      <w:r>
        <w:t>Performance: concurrent brackets and chats, service timeouts and baseline-versus-upgrade comparison.</w:t>
      </w:r>
    </w:p>
    <w:p>
      <w:pPr>
        <w:spacing w:after="160" w:line="280" w:lineRule="auto"/>
        <w:numPr>
          <w:ilvl w:val="0"/>
          <w:numId w:val="10"/>
        </w:numPr>
      </w:pPr>
      <w:r>
        <w:t>Commercial: plan availability, payment initiation, exact callback amount and currency, idempotent activation, expiry, extensions, failed payments, entitlement enforcement and referral independence.</w:t>
      </w:r>
    </w:p>
    <w:p>
      <w:pPr>
        <w:pStyle w:val="Heading1"/>
      </w:pPr>
      <w:r>
        <w:t>12. Success measures, risks and open decisions</w:t>
      </w:r>
    </w:p>
    <w:p>
      <w:pPr>
        <w:pStyle w:val="Heading2"/>
      </w:pPr>
      <w:r>
        <w:t>12.1 Pilot success measures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F2F4F7"/>
            <w:tcMar>
              <w:top w:w="80" w:type="dxa"/>
              <w:start w:w="120" w:type="dxa"/>
              <w:bottom w:w="80" w:type="dxa"/>
              <w:end w:w="120" w:type="dxa"/>
            </w:tcMar>
            <w:vAlign w:val="center"/>
          </w:tcPr>
          <w:p>
            <w:pPr>
              <w:widowControl/>
              <w:spacing w:after="0"/>
            </w:pPr>
            <w:r>
              <w:rPr>
                <w:rFonts w:ascii="Calibri" w:hAnsi="Calibri"/>
                <w:b/>
                <w:color w:val="781C2E"/>
                <w:sz w:val="19"/>
              </w:rPr>
              <w:t>Area</w:t>
            </w:r>
          </w:p>
        </w:tc>
        <w:tc>
          <w:tcPr>
            <w:tcW w:type="dxa" w:w="7110"/>
            <w:shd w:fill="F2F4F7"/>
            <w:tcMar>
              <w:top w:w="80" w:type="dxa"/>
              <w:start w:w="120" w:type="dxa"/>
              <w:bottom w:w="80" w:type="dxa"/>
              <w:end w:w="120" w:type="dxa"/>
            </w:tcMar>
            <w:vAlign w:val="center"/>
          </w:tcPr>
          <w:p>
            <w:pPr>
              <w:widowControl/>
              <w:spacing w:after="0"/>
            </w:pPr>
            <w:r>
              <w:rPr>
                <w:rFonts w:ascii="Calibri" w:hAnsi="Calibri"/>
                <w:b/>
                <w:color w:val="781C2E"/>
                <w:sz w:val="19"/>
              </w:rPr>
              <w:t>Illustrative measure</w:t>
            </w:r>
          </w:p>
        </w:tc>
      </w:tr>
      <w:tr>
        <w:tc>
          <w:tcPr>
            <w:tcW w:type="dxa" w:w="2250"/>
            <w:tcMar>
              <w:top w:w="80" w:type="dxa"/>
              <w:start w:w="120" w:type="dxa"/>
              <w:bottom w:w="80" w:type="dxa"/>
              <w:end w:w="120" w:type="dxa"/>
            </w:tcMar>
            <w:vAlign w:val="center"/>
          </w:tcPr>
          <w:p>
            <w:pPr>
              <w:widowControl/>
              <w:spacing w:after="0" w:line="252" w:lineRule="auto"/>
            </w:pPr>
            <w:r>
              <w:rPr>
                <w:rFonts w:ascii="Calibri" w:hAnsi="Calibri"/>
                <w:color w:val="242424"/>
                <w:sz w:val="18"/>
              </w:rPr>
              <w:t>Adoption</w:t>
            </w:r>
          </w:p>
        </w:tc>
        <w:tc>
          <w:tcPr>
            <w:tcW w:type="dxa" w:w="7110"/>
            <w:tcMar>
              <w:top w:w="80" w:type="dxa"/>
              <w:start w:w="120" w:type="dxa"/>
              <w:bottom w:w="80" w:type="dxa"/>
              <w:end w:w="120" w:type="dxa"/>
            </w:tcMar>
            <w:vAlign w:val="center"/>
          </w:tcPr>
          <w:p>
            <w:pPr>
              <w:widowControl/>
              <w:spacing w:after="0" w:line="252" w:lineRule="auto"/>
            </w:pPr>
            <w:r>
              <w:rPr>
                <w:rFonts w:ascii="Calibri" w:hAnsi="Calibri"/>
                <w:color w:val="242424"/>
                <w:sz w:val="18"/>
              </w:rPr>
              <w:t>Percentage of eligible players who create a discovery profile or enable a mode.</w:t>
            </w:r>
          </w:p>
        </w:tc>
      </w:tr>
      <w:tr>
        <w:tc>
          <w:tcPr>
            <w:tcW w:type="dxa" w:w="22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Engagement</w:t>
            </w:r>
          </w:p>
        </w:tc>
        <w:tc>
          <w:tcPr>
            <w:tcW w:type="dxa" w:w="711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Tournament joins, repeat participation, session completion and agent-panel interactions.</w:t>
            </w:r>
          </w:p>
        </w:tc>
      </w:tr>
      <w:tr>
        <w:tc>
          <w:tcPr>
            <w:tcW w:type="dxa" w:w="2250"/>
            <w:tcMar>
              <w:top w:w="80" w:type="dxa"/>
              <w:start w:w="120" w:type="dxa"/>
              <w:bottom w:w="80" w:type="dxa"/>
              <w:end w:w="120" w:type="dxa"/>
            </w:tcMar>
            <w:vAlign w:val="center"/>
          </w:tcPr>
          <w:p>
            <w:pPr>
              <w:widowControl/>
              <w:spacing w:after="0" w:line="252" w:lineRule="auto"/>
            </w:pPr>
            <w:r>
              <w:rPr>
                <w:rFonts w:ascii="Calibri" w:hAnsi="Calibri"/>
                <w:color w:val="242424"/>
                <w:sz w:val="18"/>
              </w:rPr>
              <w:t>Matching quality</w:t>
            </w:r>
          </w:p>
        </w:tc>
        <w:tc>
          <w:tcPr>
            <w:tcW w:type="dxa" w:w="7110"/>
            <w:tcMar>
              <w:top w:w="80" w:type="dxa"/>
              <w:start w:w="120" w:type="dxa"/>
              <w:bottom w:w="80" w:type="dxa"/>
              <w:end w:w="120" w:type="dxa"/>
            </w:tcMar>
            <w:vAlign w:val="center"/>
          </w:tcPr>
          <w:p>
            <w:pPr>
              <w:widowControl/>
              <w:spacing w:after="0" w:line="252" w:lineRule="auto"/>
            </w:pPr>
            <w:r>
              <w:rPr>
                <w:rFonts w:ascii="Calibri" w:hAnsi="Calibri"/>
                <w:color w:val="242424"/>
                <w:sz w:val="18"/>
              </w:rPr>
              <w:t>Eligible match rate, user-rated relevance and fallback rate by matching level.</w:t>
            </w:r>
          </w:p>
        </w:tc>
      </w:tr>
      <w:tr>
        <w:tc>
          <w:tcPr>
            <w:tcW w:type="dxa" w:w="22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Commercial intent</w:t>
            </w:r>
          </w:p>
        </w:tc>
        <w:tc>
          <w:tcPr>
            <w:tcW w:type="dxa" w:w="711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Trial-to-paid conversion, subscription retention and plan mix after monetisation.</w:t>
            </w:r>
          </w:p>
        </w:tc>
      </w:tr>
      <w:tr>
        <w:tc>
          <w:tcPr>
            <w:tcW w:type="dxa" w:w="2250"/>
            <w:tcMar>
              <w:top w:w="80" w:type="dxa"/>
              <w:start w:w="120" w:type="dxa"/>
              <w:bottom w:w="80" w:type="dxa"/>
              <w:end w:w="120" w:type="dxa"/>
            </w:tcMar>
            <w:vAlign w:val="center"/>
          </w:tcPr>
          <w:p>
            <w:pPr>
              <w:widowControl/>
              <w:spacing w:after="0" w:line="252" w:lineRule="auto"/>
            </w:pPr>
            <w:r>
              <w:rPr>
                <w:rFonts w:ascii="Calibri" w:hAnsi="Calibri"/>
                <w:color w:val="242424"/>
                <w:sz w:val="18"/>
              </w:rPr>
              <w:t>Safety</w:t>
            </w:r>
          </w:p>
        </w:tc>
        <w:tc>
          <w:tcPr>
            <w:tcW w:type="dxa" w:w="7110"/>
            <w:tcMar>
              <w:top w:w="80" w:type="dxa"/>
              <w:start w:w="120" w:type="dxa"/>
              <w:bottom w:w="80" w:type="dxa"/>
              <w:end w:w="120" w:type="dxa"/>
            </w:tcMar>
            <w:vAlign w:val="center"/>
          </w:tcPr>
          <w:p>
            <w:pPr>
              <w:widowControl/>
              <w:spacing w:after="0" w:line="252" w:lineRule="auto"/>
            </w:pPr>
            <w:r>
              <w:rPr>
                <w:rFonts w:ascii="Calibri" w:hAnsi="Calibri"/>
                <w:color w:val="242424"/>
                <w:sz w:val="18"/>
              </w:rPr>
              <w:t>Blocks/reports per 1,000 sessions, moderation response time and repeat-offender rate.</w:t>
            </w:r>
          </w:p>
        </w:tc>
      </w:tr>
      <w:tr>
        <w:tc>
          <w:tcPr>
            <w:tcW w:type="dxa" w:w="225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Reliability</w:t>
            </w:r>
          </w:p>
        </w:tc>
        <w:tc>
          <w:tcPr>
            <w:tcW w:type="dxa" w:w="711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Bracket-formation latency, socket error rate, gameplay completion and rollback frequency.</w:t>
            </w:r>
          </w:p>
        </w:tc>
      </w:tr>
    </w:tbl>
    <w:p>
      <w:pPr>
        <w:spacing w:after="20"/>
      </w:pPr>
    </w:p>
    <w:p>
      <w:pPr>
        <w:pStyle w:val="Heading2"/>
      </w:pPr>
      <w:r>
        <w:t>12.2 Principal risks and mitigations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80" w:type="dxa"/>
              <w:start w:w="120" w:type="dxa"/>
              <w:bottom w:w="80" w:type="dxa"/>
              <w:end w:w="120" w:type="dxa"/>
            </w:tcMar>
            <w:vAlign w:val="center"/>
          </w:tcPr>
          <w:p>
            <w:pPr>
              <w:widowControl/>
              <w:spacing w:after="0"/>
            </w:pPr>
            <w:r>
              <w:rPr>
                <w:rFonts w:ascii="Calibri" w:hAnsi="Calibri"/>
                <w:b/>
                <w:color w:val="781C2E"/>
                <w:sz w:val="19"/>
              </w:rPr>
              <w:t>Risk</w:t>
            </w:r>
          </w:p>
        </w:tc>
        <w:tc>
          <w:tcPr>
            <w:tcW w:type="dxa" w:w="6360"/>
            <w:shd w:fill="F2F4F7"/>
            <w:tcMar>
              <w:top w:w="80" w:type="dxa"/>
              <w:start w:w="120" w:type="dxa"/>
              <w:bottom w:w="80" w:type="dxa"/>
              <w:end w:w="120" w:type="dxa"/>
            </w:tcMar>
            <w:vAlign w:val="center"/>
          </w:tcPr>
          <w:p>
            <w:pPr>
              <w:widowControl/>
              <w:spacing w:after="0"/>
            </w:pPr>
            <w:r>
              <w:rPr>
                <w:rFonts w:ascii="Calibri" w:hAnsi="Calibri"/>
                <w:b/>
                <w:color w:val="781C2E"/>
                <w:sz w:val="19"/>
              </w:rPr>
              <w:t>Mitigation</w:t>
            </w:r>
          </w:p>
        </w:tc>
      </w:tr>
      <w:tr>
        <w:tc>
          <w:tcPr>
            <w:tcW w:type="dxa" w:w="3000"/>
            <w:tcMar>
              <w:top w:w="80" w:type="dxa"/>
              <w:start w:w="120" w:type="dxa"/>
              <w:bottom w:w="80" w:type="dxa"/>
              <w:end w:w="120" w:type="dxa"/>
            </w:tcMar>
            <w:vAlign w:val="center"/>
          </w:tcPr>
          <w:p>
            <w:pPr>
              <w:widowControl/>
              <w:spacing w:after="0" w:line="252" w:lineRule="auto"/>
            </w:pPr>
            <w:r>
              <w:rPr>
                <w:rFonts w:ascii="Calibri" w:hAnsi="Calibri"/>
                <w:color w:val="242424"/>
                <w:sz w:val="18"/>
              </w:rPr>
              <w:t>Game distraction</w:t>
            </w:r>
          </w:p>
        </w:tc>
        <w:tc>
          <w:tcPr>
            <w:tcW w:type="dxa" w:w="6360"/>
            <w:tcMar>
              <w:top w:w="80" w:type="dxa"/>
              <w:start w:w="120" w:type="dxa"/>
              <w:bottom w:w="80" w:type="dxa"/>
              <w:end w:w="120" w:type="dxa"/>
            </w:tcMar>
            <w:vAlign w:val="center"/>
          </w:tcPr>
          <w:p>
            <w:pPr>
              <w:widowControl/>
              <w:spacing w:after="0" w:line="252" w:lineRule="auto"/>
            </w:pPr>
            <w:r>
              <w:rPr>
                <w:rFonts w:ascii="Calibri" w:hAnsi="Calibri"/>
                <w:color w:val="242424"/>
                <w:sz w:val="18"/>
              </w:rPr>
              <w:t>Compact panel, latest-message-only design, instruction priority and session controls.</w:t>
            </w:r>
          </w:p>
        </w:tc>
      </w:tr>
      <w:tr>
        <w:tc>
          <w:tcPr>
            <w:tcW w:type="dxa" w:w="3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Low match supply</w:t>
            </w:r>
          </w:p>
        </w:tc>
        <w:tc>
          <w:tcPr>
            <w:tcW w:type="dxa" w:w="63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Passive visibility and normal-bracket fallback; avoid guarantees in marketing copy.</w:t>
            </w:r>
          </w:p>
        </w:tc>
      </w:tr>
      <w:tr>
        <w:tc>
          <w:tcPr>
            <w:tcW w:type="dxa" w:w="3000"/>
            <w:tcMar>
              <w:top w:w="80" w:type="dxa"/>
              <w:start w:w="120" w:type="dxa"/>
              <w:bottom w:w="80" w:type="dxa"/>
              <w:end w:w="120" w:type="dxa"/>
            </w:tcMar>
            <w:vAlign w:val="center"/>
          </w:tcPr>
          <w:p>
            <w:pPr>
              <w:widowControl/>
              <w:spacing w:after="0" w:line="252" w:lineRule="auto"/>
            </w:pPr>
            <w:r>
              <w:rPr>
                <w:rFonts w:ascii="Calibri" w:hAnsi="Calibri"/>
                <w:color w:val="242424"/>
                <w:sz w:val="18"/>
              </w:rPr>
              <w:t>Harassment or unsafe contact</w:t>
            </w:r>
          </w:p>
        </w:tc>
        <w:tc>
          <w:tcPr>
            <w:tcW w:type="dxa" w:w="6360"/>
            <w:tcMar>
              <w:top w:w="80" w:type="dxa"/>
              <w:start w:w="120" w:type="dxa"/>
              <w:bottom w:w="80" w:type="dxa"/>
              <w:end w:w="120" w:type="dxa"/>
            </w:tcMar>
            <w:vAlign w:val="center"/>
          </w:tcPr>
          <w:p>
            <w:pPr>
              <w:widowControl/>
              <w:spacing w:after="0" w:line="252" w:lineRule="auto"/>
            </w:pPr>
            <w:r>
              <w:rPr>
                <w:rFonts w:ascii="Calibri" w:hAnsi="Calibri"/>
                <w:color w:val="242424"/>
                <w:sz w:val="18"/>
              </w:rPr>
              <w:t>Eligibility, opt-in, privacy isolation, block/report, moderation and enforcement.</w:t>
            </w:r>
          </w:p>
        </w:tc>
      </w:tr>
      <w:tr>
        <w:tc>
          <w:tcPr>
            <w:tcW w:type="dxa" w:w="3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Core-code instability</w:t>
            </w:r>
          </w:p>
        </w:tc>
        <w:tc>
          <w:tcPr>
            <w:tcW w:type="dxa" w:w="63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Feature flags, service interfaces, minimal bracket touchpoints and regression tests.</w:t>
            </w:r>
          </w:p>
        </w:tc>
      </w:tr>
      <w:tr>
        <w:tc>
          <w:tcPr>
            <w:tcW w:type="dxa" w:w="3000"/>
            <w:tcMar>
              <w:top w:w="80" w:type="dxa"/>
              <w:start w:w="120" w:type="dxa"/>
              <w:bottom w:w="80" w:type="dxa"/>
              <w:end w:w="120" w:type="dxa"/>
            </w:tcMar>
            <w:vAlign w:val="center"/>
          </w:tcPr>
          <w:p>
            <w:pPr>
              <w:widowControl/>
              <w:spacing w:after="0" w:line="252" w:lineRule="auto"/>
            </w:pPr>
            <w:r>
              <w:rPr>
                <w:rFonts w:ascii="Calibri" w:hAnsi="Calibri"/>
                <w:color w:val="242424"/>
                <w:sz w:val="18"/>
              </w:rPr>
              <w:t>Temporary storage failure</w:t>
            </w:r>
          </w:p>
        </w:tc>
        <w:tc>
          <w:tcPr>
            <w:tcW w:type="dxa" w:w="6360"/>
            <w:tcMar>
              <w:top w:w="80" w:type="dxa"/>
              <w:start w:w="120" w:type="dxa"/>
              <w:bottom w:w="80" w:type="dxa"/>
              <w:end w:w="120" w:type="dxa"/>
            </w:tcMar>
            <w:vAlign w:val="center"/>
          </w:tcPr>
          <w:p>
            <w:pPr>
              <w:widowControl/>
              <w:spacing w:after="0" w:line="252" w:lineRule="auto"/>
            </w:pPr>
            <w:r>
              <w:rPr>
                <w:rFonts w:ascii="Calibri" w:hAnsi="Calibri"/>
                <w:color w:val="242424"/>
                <w:sz w:val="18"/>
              </w:rPr>
              <w:t>ChatStore abstraction, expiry-capable production store and deletion monitoring.</w:t>
            </w:r>
          </w:p>
        </w:tc>
      </w:tr>
      <w:tr>
        <w:tc>
          <w:tcPr>
            <w:tcW w:type="dxa" w:w="300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Unclear paid value</w:t>
            </w:r>
          </w:p>
        </w:tc>
        <w:tc>
          <w:tcPr>
            <w:tcW w:type="dxa" w:w="6360"/>
            <w:shd w:fill="FAFAFA"/>
            <w:tcMar>
              <w:top w:w="80" w:type="dxa"/>
              <w:start w:w="120" w:type="dxa"/>
              <w:bottom w:w="80" w:type="dxa"/>
              <w:end w:w="120" w:type="dxa"/>
            </w:tcMar>
            <w:vAlign w:val="center"/>
          </w:tcPr>
          <w:p>
            <w:pPr>
              <w:widowControl/>
              <w:spacing w:after="0" w:line="252" w:lineRule="auto"/>
            </w:pPr>
            <w:r>
              <w:rPr>
                <w:rFonts w:ascii="Calibri" w:hAnsi="Calibri"/>
                <w:color w:val="242424"/>
                <w:sz w:val="18"/>
              </w:rPr>
              <w:t>Pilot relevance metrics, transparent plan labels and clear distinction between exposure and matching.</w:t>
            </w:r>
          </w:p>
        </w:tc>
      </w:tr>
      <w:tr>
        <w:tc>
          <w:tcPr>
            <w:tcW w:type="dxa" w:w="3000"/>
            <w:tcMar>
              <w:top w:w="80" w:type="dxa"/>
              <w:start w:w="120" w:type="dxa"/>
              <w:bottom w:w="80" w:type="dxa"/>
              <w:end w:w="120" w:type="dxa"/>
            </w:tcMar>
            <w:vAlign w:val="center"/>
          </w:tcPr>
          <w:p>
            <w:pPr>
              <w:widowControl/>
              <w:spacing w:after="0" w:line="252" w:lineRule="auto"/>
            </w:pPr>
            <w:r>
              <w:rPr>
                <w:rFonts w:ascii="Calibri" w:hAnsi="Calibri"/>
                <w:color w:val="242424"/>
                <w:sz w:val="18"/>
              </w:rPr>
              <w:t>Regulatory or consumer issues</w:t>
            </w:r>
          </w:p>
        </w:tc>
        <w:tc>
          <w:tcPr>
            <w:tcW w:type="dxa" w:w="6360"/>
            <w:tcMar>
              <w:top w:w="80" w:type="dxa"/>
              <w:start w:w="120" w:type="dxa"/>
              <w:bottom w:w="80" w:type="dxa"/>
              <w:end w:w="120" w:type="dxa"/>
            </w:tcMar>
            <w:vAlign w:val="center"/>
          </w:tcPr>
          <w:p>
            <w:pPr>
              <w:widowControl/>
              <w:spacing w:after="0" w:line="252" w:lineRule="auto"/>
            </w:pPr>
            <w:r>
              <w:rPr>
                <w:rFonts w:ascii="Calibri" w:hAnsi="Calibri"/>
                <w:color w:val="242424"/>
                <w:sz w:val="18"/>
              </w:rPr>
              <w:t>Local legal review of privacy, adult safety, subscriptions, non-refund wording and gaming-related implications.</w:t>
            </w:r>
          </w:p>
        </w:tc>
      </w:tr>
    </w:tbl>
    <w:p>
      <w:pPr>
        <w:spacing w:after="20"/>
      </w:pPr>
    </w:p>
    <w:p>
      <w:pPr>
        <w:pStyle w:val="Heading2"/>
      </w:pPr>
      <w:r>
        <w:t>12.3 Decisions required before development lock</w:t>
      </w:r>
    </w:p>
    <w:p>
      <w:pPr>
        <w:spacing w:after="160" w:line="280" w:lineRule="auto"/>
        <w:numPr>
          <w:ilvl w:val="0"/>
          <w:numId w:val="14"/>
        </w:numPr>
      </w:pPr>
      <w:r>
        <w:t>Approve the final product name for the hybrid layer and the exact category taxonomy.</w:t>
      </w:r>
    </w:p>
    <w:p>
      <w:pPr>
        <w:spacing w:after="160" w:line="280" w:lineRule="auto"/>
        <w:numPr>
          <w:ilvl w:val="0"/>
          <w:numId w:val="14"/>
        </w:numPr>
      </w:pPr>
      <w:r>
        <w:t>Approve the complete 18% bracket-fee allocation and its calculation base.</w:t>
      </w:r>
    </w:p>
    <w:p>
      <w:pPr>
        <w:spacing w:after="160" w:line="280" w:lineRule="auto"/>
        <w:numPr>
          <w:ilvl w:val="0"/>
          <w:numId w:val="14"/>
        </w:numPr>
      </w:pPr>
      <w:r>
        <w:t>Approve public tax, refund, cancellation and receipt wording. The MVP currently uses configurable seven-day, non-renewing paid passes.</w:t>
      </w:r>
    </w:p>
    <w:p>
      <w:pPr>
        <w:spacing w:after="160" w:line="280" w:lineRule="auto"/>
        <w:numPr>
          <w:ilvl w:val="0"/>
          <w:numId w:val="14"/>
        </w:numPr>
      </w:pPr>
      <w:r>
        <w:t>Relationship matching remains outside the Version 3 MVP and requires separate adult-safety, privacy, moderation and legal approval.</w:t>
      </w:r>
    </w:p>
    <w:p>
      <w:pPr>
        <w:spacing w:after="160" w:line="280" w:lineRule="auto"/>
        <w:numPr>
          <w:ilvl w:val="0"/>
          <w:numId w:val="14"/>
        </w:numPr>
      </w:pPr>
      <w:r>
        <w:t>Select the pilot chat store and confirm the 24-hour deletion mechanism and report-hold procedure.</w:t>
      </w:r>
    </w:p>
    <w:p>
      <w:pPr>
        <w:spacing w:after="160" w:line="280" w:lineRule="auto"/>
        <w:numPr>
          <w:ilvl w:val="0"/>
          <w:numId w:val="14"/>
        </w:numPr>
      </w:pPr>
      <w:r>
        <w:t>Define bracket-matching indicators: what users may see without exposing another player’s private details.</w:t>
      </w:r>
    </w:p>
    <w:p>
      <w:pPr>
        <w:spacing w:after="160" w:line="280" w:lineRule="auto"/>
        <w:numPr>
          <w:ilvl w:val="0"/>
          <w:numId w:val="14"/>
        </w:numPr>
      </w:pPr>
      <w:r>
        <w:t>Approve pilot audience, success thresholds, launch gates and rollback authority.</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vAlign w:val="center"/>
            <w:shd w:fill="F7F0DF"/>
            <w:tcBorders>
              <w:left w:val="single" w:sz="20" w:color="C49A3A"/>
            </w:tcBorders>
          </w:tcPr>
          <w:p>
            <w:pPr>
              <w:pStyle w:val="KeyTakeaway"/>
              <w:widowControl/>
            </w:pPr>
            <w:r>
              <w:rPr>
                <w:rFonts w:ascii="Calibri" w:hAnsi="Calibri"/>
                <w:b/>
                <w:color w:val="781C2E"/>
              </w:rPr>
              <w:t xml:space="preserve">Recommended next step: </w:t>
            </w:r>
            <w:r>
              <w:t>Hold a product, technical, finance and safety alignment workshop to close the seven decisions above. The team can then convert this document into detailed user stories, API contracts, database migrations and a sprint backlog.</w:t>
            </w:r>
          </w:p>
        </w:tc>
      </w:tr>
    </w:tbl>
    <w:p>
      <w:pPr>
        <w:spacing w:after="20"/>
      </w:pPr>
    </w:p>
    <w:p>
      <w:pPr>
        <w:pStyle w:val="Heading2"/>
      </w:pPr>
      <w:r>
        <w:t>12.4 Version 3 implementation checklist snapshot</w:t>
      </w:r>
    </w:p>
    <w:p>
      <w:pPr>
        <w:pStyle w:val="ListBullet"/>
      </w:pPr>
      <w:r>
        <w:t>V3-1001 - PARTIAL: configurable seven-day pass terms are defined; public tax, refund, cancellation and receipt wording remains to be approved.</w:t>
      </w:r>
    </w:p>
    <w:p>
      <w:pPr>
        <w:pStyle w:val="ListBullet"/>
      </w:pPr>
      <w:r>
        <w:t>V3-1002 - COMPLETE: referral codes are universal and the referrer receives one E10 promotional-credit reward after the referred user completes a first valid ordinary tournament.</w:t>
      </w:r>
    </w:p>
    <w:p>
      <w:pPr>
        <w:pStyle w:val="ListBullet"/>
      </w:pPr>
      <w:r>
        <w:t>V3-1003 - COMPLETE: E20 Hybrid purchases, joined-bracket entitlement enforcement, expiry, extension and administrator kill switches are covered.</w:t>
      </w:r>
    </w:p>
    <w:p>
      <w:pPr>
        <w:pStyle w:val="ListBullet"/>
      </w:pPr>
      <w:r>
        <w:t>V3-1004 - COMPLETE: E40 Hybrid+ purchases and privacy-safe relevant open-bracket badges are covered without seeker identity or contact disclosure.</w:t>
      </w:r>
    </w:p>
    <w:p>
      <w:pPr>
        <w:pStyle w:val="ListBullet"/>
      </w:pPr>
      <w:r>
        <w:t>V3-1005 - GATED: E60 Premium remains non-purchasable until the separately approved live openWA alert benefit is implemented and verified.</w:t>
      </w:r>
    </w:p>
    <w:p>
      <w:pPr>
        <w:pStyle w:val="ListBullet"/>
      </w:pPr>
      <w:r>
        <w:t>V3-1006 - COMPLETE FOR MVP CORE: exact SZL payment callbacks, idempotency, failed-payment handling, audit records and recovery coverage are implemented.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STAKEHOLDER CONCEPT DOCUMENT   |   </w:t>
    </w:r>
    <w:r>
      <w:rPr>
        <w:rFonts w:ascii="Calibri" w:hAnsi="Calibri"/>
        <w:color w:val="6B728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9D2C3"/>
      </w:pBdr>
    </w:pPr>
    <w:r>
      <w:rPr>
        <w:rFonts w:ascii="Calibri" w:hAnsi="Calibri"/>
        <w:b/>
        <w:color w:val="6B7280"/>
        <w:sz w:val="17"/>
      </w:rPr>
      <w:t>uMSHOVA DEALUXE  /  HYBRID UPGRADE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81C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81C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424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360"/>
    </w:pPr>
    <w:rPr>
      <w:rFonts w:ascii="Calibri" w:hAnsi="Calibri"/>
      <w:color w:val="6B7280"/>
      <w:sz w:val="26"/>
    </w:rPr>
  </w:style>
  <w:style w:type="paragraph" w:customStyle="1" w:styleId="KeyTakeaway">
    <w:name w:val="Key Takeaway"/>
    <w:pPr>
      <w:spacing w:before="160" w:after="200" w:line="264" w:lineRule="auto"/>
      <w:ind w:left="230" w:right="230"/>
    </w:pPr>
    <w:rPr>
      <w:rFonts w:ascii="Calibri" w:hAnsi="Calibri"/>
      <w:color w:val="242424"/>
      <w:sz w:val="22"/>
    </w:rPr>
  </w:style>
  <w:style w:type="paragraph" w:customStyle="1" w:styleId="TableNote">
    <w:name w:val="Table Note"/>
    <w:pPr>
      <w:spacing w:before="80" w:after="80"/>
    </w:pPr>
    <w:rPr>
      <w:rFonts w:ascii="Calibri" w:hAnsi="Calibri"/>
      <w:i/>
      <w:color w:val="6B7280"/>
      <w:sz w:val="18"/>
    </w:rPr>
  </w:style>
  <w:style w:type="paragraph" w:customStyle="1" w:styleId="SmallLabel">
    <w:name w:val="Small Label"/>
    <w:pPr>
      <w:spacing w:after="60"/>
    </w:pPr>
    <w:rPr>
      <w:rFonts w:ascii="Calibri" w:hAnsi="Calibri"/>
      <w:b/>
      <w:color w:val="781C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uMshova Dealuxe Hybrid Upgrade - Version 3</dc:title>
  <dc:subject>Stakeholder concept and product requirements</dc:subject>
  <dc:creator>Tech Xolutions / Dealuxe</dc:creator>
  <cp:keywords>uMshova, Dealuxe, hybrid gaming, matching, marketing, chat</cp:keywords>
  <dc:description>generated by python-docx</dc:description>
  <cp:lastModifiedBy/>
  <cp:revision>1</cp:revision>
  <dcterms:created xsi:type="dcterms:W3CDTF">2013-12-23T23:15:00Z</dcterms:created>
  <dcterms:modified xsi:type="dcterms:W3CDTF">2013-12-23T23:15:00Z</dcterms:modified>
  <cp:category/>
</cp:coreProperties>
</file>