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pPr>
      <w:r>
        <w:rPr>
          <w:rFonts w:ascii="Calibri" w:cs="Calibri" w:eastAsia="Calibri" w:hAnsi="Calibri"/>
          <w:b/>
          <w:bCs/>
          <w:color w:val="C8A96E"/>
          <w:spacing w:val="80"/>
          <w:sz w:val="20"/>
          <w:szCs w:val="20"/>
        </w:rPr>
        <w:t xml:space="preserve">RETAILSPHERE (PTY) LTD</w:t>
      </w:r>
    </w:p>
    <w:p>
      <w:pPr>
        <w:spacing w:after="80" w:before="0"/>
      </w:pPr>
      <w:r>
        <w:rPr>
          <w:rFonts w:ascii="Calibri" w:cs="Calibri" w:eastAsia="Calibri" w:hAnsi="Calibri"/>
          <w:color w:val="555555"/>
          <w:sz w:val="20"/>
          <w:szCs w:val="20"/>
        </w:rPr>
        <w:t xml:space="preserve">BPA-001 — Stakeholder Interview Reference</w:t>
      </w:r>
    </w:p>
    <w:p>
      <w:pPr>
        <w:pBdr>
          <w:bottom w:val="single" w:color="C8A96E" w:sz="6" w:space="8"/>
        </w:pBdr>
        <w:spacing w:after="400" w:before="0"/>
      </w:pPr>
      <w:r>
        <w:rPr>
          <w:rFonts w:ascii="Calibri" w:cs="Calibri" w:eastAsia="Calibri" w:hAnsi="Calibri"/>
          <w:b/>
          <w:bCs/>
          <w:color w:val="1A2E5A"/>
          <w:sz w:val="48"/>
          <w:szCs w:val="48"/>
        </w:rPr>
        <w:t xml:space="preserve">Interview 3 — Rethabile Sithole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Full Name</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Rethabile Sithole</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Title</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Chief Commercial Officer</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Domain</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Sales and Marketing</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Interview Date</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17 April 2026</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Interview Status</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Complete</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ADRs Triggered</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ADR-002 (Customer Identity — scope expanded), ADR-006 (Marketing Attribution)</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BPA Finding</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BPA-FINDING-002 — Marketing Attribution Has No Source of Truth</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New Sources</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Salesforce Marketing Cloud, Meta Business Manager, Google Analytics 4</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Domain Impact</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Marketing added as sixth domain in BDR-001 v1.2</w:t>
            </w:r>
          </w:p>
        </w:tc>
      </w:tr>
    </w:tbl>
    <w:p>
      <w:pPr>
        <w:spacing w:after="0" w:before="3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1. Process Owner Profile</w:t>
      </w:r>
    </w:p>
    <w:p>
      <w:pPr>
        <w:spacing w:after="80" w:before="80"/>
        <w:jc w:val="both"/>
      </w:pPr>
      <w:r>
        <w:rPr>
          <w:rFonts w:ascii="Calibri" w:cs="Calibri" w:eastAsia="Calibri" w:hAnsi="Calibri"/>
          <w:b w:val="false"/>
          <w:bCs w:val="false"/>
          <w:i w:val="false"/>
          <w:iCs w:val="false"/>
          <w:color w:val="1A1A1A"/>
          <w:sz w:val="20"/>
          <w:szCs w:val="20"/>
        </w:rPr>
        <w:t xml:space="preserve">Rethabile Sithole is the Chief Commercial Officer — the most senior stakeholder in the interview programme. She owns both the Sales domain and the newly created Marketing domain following BDR-001 v1.2. She arrived with exactly 30 minutes and low expectations, having been through two failed vendor data platform promises in three years. She left after 34 minutes — more engaged than when she arrived. She speaks in commercial language: revenue, lifetime value, attribution, ROI. She does not care about data architecture. She cares about decisions.</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2. Key Business Processes</w:t>
      </w:r>
    </w:p>
    <w:p>
      <w:pPr>
        <w:spacing w:after="60" w:before="60"/>
        <w:ind w:left="400"/>
      </w:pPr>
      <w:r>
        <w:rPr>
          <w:rFonts w:ascii="Calibri" w:cs="Calibri" w:eastAsia="Calibri" w:hAnsi="Calibri"/>
          <w:color w:val="1A1A1A"/>
          <w:sz w:val="20"/>
          <w:szCs w:val="20"/>
        </w:rPr>
        <w:t xml:space="preserve">• In-store sales across 87 stores via Oracle MICROS POS.</w:t>
      </w:r>
    </w:p>
    <w:p>
      <w:pPr>
        <w:spacing w:after="60" w:before="60"/>
        <w:ind w:left="400"/>
      </w:pPr>
      <w:r>
        <w:rPr>
          <w:rFonts w:ascii="Calibri" w:cs="Calibri" w:eastAsia="Calibri" w:hAnsi="Calibri"/>
          <w:color w:val="1A1A1A"/>
          <w:sz w:val="20"/>
          <w:szCs w:val="20"/>
        </w:rPr>
        <w:t xml:space="preserve">• Online sales via Shopify Plus — separate customer journey from in-store.</w:t>
      </w:r>
    </w:p>
    <w:p>
      <w:pPr>
        <w:spacing w:after="60" w:before="60"/>
        <w:ind w:left="400"/>
      </w:pPr>
      <w:r>
        <w:rPr>
          <w:rFonts w:ascii="Calibri" w:cs="Calibri" w:eastAsia="Calibri" w:hAnsi="Calibri"/>
          <w:color w:val="1A1A1A"/>
          <w:sz w:val="20"/>
          <w:szCs w:val="20"/>
        </w:rPr>
        <w:t xml:space="preserve">• Campaign execution across three marketing systems — Salesforce Marketing Cloud, Meta Business Manager, Google Analytics 4.</w:t>
      </w:r>
    </w:p>
    <w:p>
      <w:pPr>
        <w:spacing w:after="60" w:before="60"/>
        <w:ind w:left="400"/>
      </w:pPr>
      <w:r>
        <w:rPr>
          <w:rFonts w:ascii="Calibri" w:cs="Calibri" w:eastAsia="Calibri" w:hAnsi="Calibri"/>
          <w:color w:val="1A1A1A"/>
          <w:sz w:val="20"/>
          <w:szCs w:val="20"/>
        </w:rPr>
        <w:t xml:space="preserve">• Customer acquisition — converting new and lapsed customers through paid and owned media.</w:t>
      </w:r>
    </w:p>
    <w:p>
      <w:pPr>
        <w:spacing w:after="60" w:before="60"/>
        <w:ind w:left="400"/>
      </w:pPr>
      <w:r>
        <w:rPr>
          <w:rFonts w:ascii="Calibri" w:cs="Calibri" w:eastAsia="Calibri" w:hAnsi="Calibri"/>
          <w:color w:val="1A1A1A"/>
          <w:sz w:val="20"/>
          <w:szCs w:val="20"/>
        </w:rPr>
        <w:t xml:space="preserve">• Revenue reporting to board — total, by store, by category, by channel, by month.</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3. Decisions Made — Daily, Weekly, Monthly</w:t>
      </w:r>
    </w:p>
    <w:p>
      <w:pPr>
        <w:spacing w:after="100" w:before="280"/>
      </w:pPr>
      <w:r>
        <w:rPr>
          <w:rFonts w:ascii="Calibri" w:cs="Calibri" w:eastAsia="Calibri" w:hAnsi="Calibri"/>
          <w:b/>
          <w:bCs/>
          <w:color w:val="1A2E5A"/>
          <w:sz w:val="24"/>
          <w:szCs w:val="24"/>
        </w:rPr>
        <w:t xml:space="preserve">Daily</w:t>
      </w:r>
    </w:p>
    <w:p>
      <w:pPr>
        <w:spacing w:after="60" w:before="60"/>
        <w:ind w:left="400"/>
      </w:pPr>
      <w:r>
        <w:rPr>
          <w:rFonts w:ascii="Calibri" w:cs="Calibri" w:eastAsia="Calibri" w:hAnsi="Calibri"/>
          <w:color w:val="1A1A1A"/>
          <w:sz w:val="20"/>
          <w:szCs w:val="20"/>
        </w:rPr>
        <w:t xml:space="preserve">• Revenue performance vs target — by channel and store.</w:t>
      </w:r>
    </w:p>
    <w:p>
      <w:pPr>
        <w:spacing w:after="60" w:before="60"/>
        <w:ind w:left="400"/>
      </w:pPr>
      <w:r>
        <w:rPr>
          <w:rFonts w:ascii="Calibri" w:cs="Calibri" w:eastAsia="Calibri" w:hAnsi="Calibri"/>
          <w:color w:val="1A1A1A"/>
          <w:sz w:val="20"/>
          <w:szCs w:val="20"/>
        </w:rPr>
        <w:t xml:space="preserve">• Campaign performance — which campaigns are driving traffic and conversion.</w:t>
      </w:r>
    </w:p>
    <w:p>
      <w:pPr>
        <w:spacing w:after="100" w:before="280"/>
      </w:pPr>
      <w:r>
        <w:rPr>
          <w:rFonts w:ascii="Calibri" w:cs="Calibri" w:eastAsia="Calibri" w:hAnsi="Calibri"/>
          <w:b/>
          <w:bCs/>
          <w:color w:val="1A2E5A"/>
          <w:sz w:val="24"/>
          <w:szCs w:val="24"/>
        </w:rPr>
        <w:t xml:space="preserve">Weekly</w:t>
      </w:r>
    </w:p>
    <w:p>
      <w:pPr>
        <w:spacing w:after="60" w:before="60"/>
        <w:ind w:left="400"/>
      </w:pPr>
      <w:r>
        <w:rPr>
          <w:rFonts w:ascii="Calibri" w:cs="Calibri" w:eastAsia="Calibri" w:hAnsi="Calibri"/>
          <w:color w:val="1A1A1A"/>
          <w:sz w:val="20"/>
          <w:szCs w:val="20"/>
        </w:rPr>
        <w:t xml:space="preserve">• Channel mix analysis — in-store vs online revenue split.</w:t>
      </w:r>
    </w:p>
    <w:p>
      <w:pPr>
        <w:spacing w:after="60" w:before="60"/>
        <w:ind w:left="400"/>
      </w:pPr>
      <w:r>
        <w:rPr>
          <w:rFonts w:ascii="Calibri" w:cs="Calibri" w:eastAsia="Calibri" w:hAnsi="Calibri"/>
          <w:color w:val="1A1A1A"/>
          <w:sz w:val="20"/>
          <w:szCs w:val="20"/>
        </w:rPr>
        <w:t xml:space="preserve">• Marketing spend efficiency — cost per acquisition by channel.</w:t>
      </w:r>
    </w:p>
    <w:p>
      <w:pPr>
        <w:spacing w:after="100" w:before="280"/>
      </w:pPr>
      <w:r>
        <w:rPr>
          <w:rFonts w:ascii="Calibri" w:cs="Calibri" w:eastAsia="Calibri" w:hAnsi="Calibri"/>
          <w:b/>
          <w:bCs/>
          <w:color w:val="1A2E5A"/>
          <w:sz w:val="24"/>
          <w:szCs w:val="24"/>
        </w:rPr>
        <w:t xml:space="preserve">Monthly</w:t>
      </w:r>
    </w:p>
    <w:p>
      <w:pPr>
        <w:spacing w:after="60" w:before="60"/>
        <w:ind w:left="400"/>
      </w:pPr>
      <w:r>
        <w:rPr>
          <w:rFonts w:ascii="Calibri" w:cs="Calibri" w:eastAsia="Calibri" w:hAnsi="Calibri"/>
          <w:color w:val="1A1A1A"/>
          <w:sz w:val="20"/>
          <w:szCs w:val="20"/>
        </w:rPr>
        <w:t xml:space="preserve">• Board presentation — total revenue, channel breakdown, customer metrics.</w:t>
      </w:r>
    </w:p>
    <w:p>
      <w:pPr>
        <w:spacing w:after="60" w:before="60"/>
        <w:ind w:left="400"/>
      </w:pPr>
      <w:r>
        <w:rPr>
          <w:rFonts w:ascii="Calibri" w:cs="Calibri" w:eastAsia="Calibri" w:hAnsi="Calibri"/>
          <w:color w:val="1A1A1A"/>
          <w:sz w:val="20"/>
          <w:szCs w:val="20"/>
        </w:rPr>
        <w:t xml:space="preserve">• Marketing ROI report — R8.3M annual spend, attributed revenue per channel.</w:t>
      </w:r>
    </w:p>
    <w:p>
      <w:pPr>
        <w:spacing w:after="60" w:before="60"/>
        <w:ind w:left="400"/>
      </w:pPr>
      <w:r>
        <w:rPr>
          <w:rFonts w:ascii="Calibri" w:cs="Calibri" w:eastAsia="Calibri" w:hAnsi="Calibri"/>
          <w:color w:val="1A1A1A"/>
          <w:sz w:val="20"/>
          <w:szCs w:val="20"/>
        </w:rPr>
        <w:t xml:space="preserve">• Currently: each system produces its own attribution. Numbers do not add up. Double and triple counting likely.</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4. Questions Rethabile Cannot Currently Answer</w:t>
      </w:r>
    </w:p>
    <w:p>
      <w:pPr>
        <w:spacing w:after="60" w:before="60"/>
        <w:ind w:left="400"/>
      </w:pPr>
      <w:r>
        <w:rPr>
          <w:rFonts w:ascii="Calibri" w:cs="Calibri" w:eastAsia="Calibri" w:hAnsi="Calibri"/>
          <w:color w:val="1A1A1A"/>
          <w:sz w:val="20"/>
          <w:szCs w:val="20"/>
        </w:rPr>
        <w:t xml:space="preserve">• Is the customer who spent R12,000 on Shopify last year the same person who shops in our stores? Have they ever visited a store? Are they a loyalty member?</w:t>
      </w:r>
    </w:p>
    <w:p>
      <w:pPr>
        <w:spacing w:after="60" w:before="60"/>
        <w:ind w:left="400"/>
      </w:pPr>
      <w:r>
        <w:rPr>
          <w:rFonts w:ascii="Calibri" w:cs="Calibri" w:eastAsia="Calibri" w:hAnsi="Calibri"/>
          <w:color w:val="1A1A1A"/>
          <w:sz w:val="20"/>
          <w:szCs w:val="20"/>
        </w:rPr>
        <w:t xml:space="preserve">• What is our true customer retention rate across the business — not per channel?</w:t>
      </w:r>
    </w:p>
    <w:p>
      <w:pPr>
        <w:spacing w:after="60" w:before="60"/>
        <w:ind w:left="400"/>
      </w:pPr>
      <w:r>
        <w:rPr>
          <w:rFonts w:ascii="Calibri" w:cs="Calibri" w:eastAsia="Calibri" w:hAnsi="Calibri"/>
          <w:color w:val="1A1A1A"/>
          <w:sz w:val="20"/>
          <w:szCs w:val="20"/>
        </w:rPr>
        <w:t xml:space="preserve">• Which of our R8.3M in marketing spend is actually driving revenue — and through which channel? Can we close the loop between campaign send and purchase?</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5. What Good Looks Like in 12 Months</w:t>
      </w:r>
    </w:p>
    <w:p>
      <w:pPr>
        <w:spacing w:after="80" w:before="80"/>
        <w:jc w:val="left"/>
      </w:pPr>
      <w:r>
        <w:rPr>
          <w:rFonts w:ascii="Calibri" w:cs="Calibri" w:eastAsia="Calibri" w:hAnsi="Calibri"/>
          <w:b/>
          <w:bCs/>
          <w:i w:val="false"/>
          <w:iCs w:val="false"/>
          <w:color w:val="1A1A1A"/>
          <w:sz w:val="20"/>
          <w:szCs w:val="20"/>
        </w:rPr>
        <w:t xml:space="preserve">Three Gold layer requirements — stated directly by Rethabile:</w:t>
      </w:r>
    </w:p>
    <w:p>
      <w:pPr>
        <w:spacing w:after="60" w:before="60"/>
        <w:ind w:left="400"/>
      </w:pPr>
      <w:r>
        <w:rPr>
          <w:rFonts w:ascii="Calibri" w:cs="Calibri" w:eastAsia="Calibri" w:hAnsi="Calibri"/>
          <w:color w:val="1A1A1A"/>
          <w:sz w:val="20"/>
          <w:szCs w:val="20"/>
        </w:rPr>
        <w:t xml:space="preserve">• Customer Lifetime Value across all channels — not per channel.</w:t>
      </w:r>
    </w:p>
    <w:p>
      <w:pPr>
        <w:spacing w:after="60" w:before="60"/>
        <w:ind w:left="400"/>
      </w:pPr>
      <w:r>
        <w:rPr>
          <w:rFonts w:ascii="Calibri" w:cs="Calibri" w:eastAsia="Calibri" w:hAnsi="Calibri"/>
          <w:color w:val="1A1A1A"/>
          <w:sz w:val="20"/>
          <w:szCs w:val="20"/>
        </w:rPr>
        <w:t xml:space="preserve">• True retention and churn rate — single definition. Business definition agreed: 6 months no engagement signal (purchase, browse, email open, store visit).</w:t>
      </w:r>
    </w:p>
    <w:p>
      <w:pPr>
        <w:spacing w:after="60" w:before="60"/>
        <w:ind w:left="400"/>
      </w:pPr>
      <w:r>
        <w:rPr>
          <w:rFonts w:ascii="Calibri" w:cs="Calibri" w:eastAsia="Calibri" w:hAnsi="Calibri"/>
          <w:color w:val="1A1A1A"/>
          <w:sz w:val="20"/>
          <w:szCs w:val="20"/>
        </w:rPr>
        <w:t xml:space="preserve">• Closed-loop marketing attribution — campaign spend connected to revenue regardless of which channel the customer converted on.</w:t>
      </w:r>
    </w:p>
    <w:p>
      <w:pPr>
        <w:spacing w:after="0" w:before="80"/>
      </w:pPr>
      <w:r>
        <w:t xml:space="preserve"/>
      </w:r>
    </w:p>
    <w:p>
      <w:pPr>
        <w:spacing w:after="80" w:before="80"/>
        <w:jc w:val="left"/>
      </w:pPr>
      <w:r>
        <w:rPr>
          <w:rFonts w:ascii="Calibri" w:cs="Calibri" w:eastAsia="Calibri" w:hAnsi="Calibri"/>
          <w:b/>
          <w:bCs/>
          <w:i w:val="false"/>
          <w:iCs w:val="false"/>
          <w:color w:val="1A1A1A"/>
          <w:sz w:val="20"/>
          <w:szCs w:val="20"/>
        </w:rPr>
        <w:t xml:space="preserve">Customer Segment Framework — four segments, monthly refresh:</w:t>
      </w:r>
    </w:p>
    <w:p>
      <w:pPr>
        <w:spacing w:after="60" w:before="60"/>
        <w:ind w:left="400"/>
      </w:pPr>
      <w:r>
        <w:rPr>
          <w:rFonts w:ascii="Calibri" w:cs="Calibri" w:eastAsia="Calibri" w:hAnsi="Calibri"/>
          <w:color w:val="1A1A1A"/>
          <w:sz w:val="20"/>
          <w:szCs w:val="20"/>
        </w:rPr>
        <w:t xml:space="preserve">• Anonymous in-store: 66% of store transactions. No identity. Average basket size and category preferences still measurable.</w:t>
      </w:r>
    </w:p>
    <w:p>
      <w:pPr>
        <w:spacing w:after="60" w:before="60"/>
        <w:ind w:left="400"/>
      </w:pPr>
      <w:r>
        <w:rPr>
          <w:rFonts w:ascii="Calibri" w:cs="Calibri" w:eastAsia="Calibri" w:hAnsi="Calibri"/>
          <w:color w:val="1A1A1A"/>
          <w:sz w:val="20"/>
          <w:szCs w:val="20"/>
        </w:rPr>
        <w:t xml:space="preserve">• Online only: Shopify customers with no loyalty or in-store link.</w:t>
      </w:r>
    </w:p>
    <w:p>
      <w:pPr>
        <w:spacing w:after="60" w:before="60"/>
        <w:ind w:left="400"/>
      </w:pPr>
      <w:r>
        <w:rPr>
          <w:rFonts w:ascii="Calibri" w:cs="Calibri" w:eastAsia="Calibri" w:hAnsi="Calibri"/>
          <w:color w:val="1A1A1A"/>
          <w:sz w:val="20"/>
          <w:szCs w:val="20"/>
        </w:rPr>
        <w:t xml:space="preserve">• Loyalty only: Members who have never transacted online.</w:t>
      </w:r>
    </w:p>
    <w:p>
      <w:pPr>
        <w:spacing w:after="60" w:before="60"/>
        <w:ind w:left="400"/>
      </w:pPr>
      <w:r>
        <w:rPr>
          <w:rFonts w:ascii="Calibri" w:cs="Calibri" w:eastAsia="Calibri" w:hAnsi="Calibri"/>
          <w:color w:val="1A1A1A"/>
          <w:sz w:val="20"/>
          <w:szCs w:val="20"/>
        </w:rPr>
        <w:t xml:space="preserve">• Full cross-channel: Highest value segment. Linked across all three systems.</w:t>
      </w:r>
    </w:p>
    <w:p>
      <w:pPr>
        <w:spacing w:after="0" w:before="80"/>
      </w:pPr>
      <w:r>
        <w:t xml:space="preserve"/>
      </w:r>
    </w:p>
    <w:p>
      <w:pPr>
        <w:spacing w:after="80" w:before="80"/>
        <w:jc w:val="left"/>
      </w:pPr>
      <w:r>
        <w:rPr>
          <w:rFonts w:ascii="Calibri" w:cs="Calibri" w:eastAsia="Calibri" w:hAnsi="Calibri"/>
          <w:b/>
          <w:bCs/>
          <w:i w:val="false"/>
          <w:iCs w:val="false"/>
          <w:color w:val="1A1A1A"/>
          <w:sz w:val="20"/>
          <w:szCs w:val="20"/>
        </w:rPr>
        <w:t xml:space="preserve">Customer Segment History:</w:t>
      </w:r>
    </w:p>
    <w:p>
      <w:pPr>
        <w:spacing w:after="60" w:before="60"/>
        <w:ind w:left="400"/>
      </w:pPr>
      <w:r>
        <w:rPr>
          <w:rFonts w:ascii="Calibri" w:cs="Calibri" w:eastAsia="Calibri" w:hAnsi="Calibri"/>
          <w:color w:val="1A1A1A"/>
          <w:sz w:val="20"/>
          <w:szCs w:val="20"/>
        </w:rPr>
        <w:t xml:space="preserve">• SCD Type 2 on Customer dimension segment attribute. Track when customers move between segments and what triggered the move.</w:t>
      </w:r>
    </w:p>
    <w:p>
      <w:pPr>
        <w:spacing w:after="60" w:before="60"/>
        <w:ind w:left="400"/>
      </w:pPr>
      <w:r>
        <w:rPr>
          <w:rFonts w:ascii="Calibri" w:cs="Calibri" w:eastAsia="Calibri" w:hAnsi="Calibri"/>
          <w:color w:val="1A1A1A"/>
          <w:sz w:val="20"/>
          <w:szCs w:val="20"/>
        </w:rPr>
        <w:t xml:space="preserve">• Rethabile's exact requirement: show where a customer started, when they moved, what triggered the move. Understand what converts anonymous to loyalty.</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6. Data Sources and Quality Issues</w:t>
      </w:r>
    </w:p>
    <w:p>
      <w:pPr>
        <w:spacing w:after="100" w:before="280"/>
      </w:pPr>
      <w:r>
        <w:rPr>
          <w:rFonts w:ascii="Calibri" w:cs="Calibri" w:eastAsia="Calibri" w:hAnsi="Calibri"/>
          <w:b/>
          <w:bCs/>
          <w:color w:val="1A2E5A"/>
          <w:sz w:val="24"/>
          <w:szCs w:val="24"/>
        </w:rPr>
        <w:t xml:space="preserve">Source Systems — Sales Domain</w:t>
      </w:r>
    </w:p>
    <w:p>
      <w:pPr>
        <w:spacing w:after="60" w:before="60"/>
        <w:ind w:left="400"/>
      </w:pPr>
      <w:r>
        <w:rPr>
          <w:rFonts w:ascii="Calibri" w:cs="Calibri" w:eastAsia="Calibri" w:hAnsi="Calibri"/>
          <w:color w:val="1A1A1A"/>
          <w:sz w:val="20"/>
          <w:szCs w:val="20"/>
        </w:rPr>
        <w:t xml:space="preserve">• Oracle MICROS POS — in-store transactions, 87 stores.</w:t>
      </w:r>
    </w:p>
    <w:p>
      <w:pPr>
        <w:spacing w:after="60" w:before="60"/>
        <w:ind w:left="400"/>
      </w:pPr>
      <w:r>
        <w:rPr>
          <w:rFonts w:ascii="Calibri" w:cs="Calibri" w:eastAsia="Calibri" w:hAnsi="Calibri"/>
          <w:color w:val="1A1A1A"/>
          <w:sz w:val="20"/>
          <w:szCs w:val="20"/>
        </w:rPr>
        <w:t xml:space="preserve">• Shopify Plus — online orders, customers, products.</w:t>
      </w:r>
    </w:p>
    <w:p>
      <w:pPr>
        <w:spacing w:after="60" w:before="60"/>
        <w:ind w:left="400"/>
      </w:pPr>
      <w:r>
        <w:rPr>
          <w:rFonts w:ascii="Calibri" w:cs="Calibri" w:eastAsia="Calibri" w:hAnsi="Calibri"/>
          <w:color w:val="1A1A1A"/>
          <w:sz w:val="20"/>
          <w:szCs w:val="20"/>
        </w:rPr>
        <w:t xml:space="preserve">• Salesforce CRM — loyalty-linked in-store transactions.</w:t>
      </w:r>
    </w:p>
    <w:p>
      <w:pPr>
        <w:spacing w:after="100" w:before="280"/>
      </w:pPr>
      <w:r>
        <w:rPr>
          <w:rFonts w:ascii="Calibri" w:cs="Calibri" w:eastAsia="Calibri" w:hAnsi="Calibri"/>
          <w:b/>
          <w:bCs/>
          <w:color w:val="1A2E5A"/>
          <w:sz w:val="24"/>
          <w:szCs w:val="24"/>
        </w:rPr>
        <w:t xml:space="preserve">New Source Systems — Marketing Domain (identified in this interview)</w:t>
      </w:r>
    </w:p>
    <w:p>
      <w:pPr>
        <w:spacing w:after="60" w:before="60"/>
        <w:ind w:left="400"/>
      </w:pPr>
      <w:r>
        <w:rPr>
          <w:rFonts w:ascii="Calibri" w:cs="Calibri" w:eastAsia="Calibri" w:hAnsi="Calibri"/>
          <w:color w:val="1A1A1A"/>
          <w:sz w:val="20"/>
          <w:szCs w:val="20"/>
        </w:rPr>
        <w:t xml:space="preserve">• Salesforce Marketing Cloud — campaign sends, opens, clicks, segment targeting.</w:t>
      </w:r>
    </w:p>
    <w:p>
      <w:pPr>
        <w:spacing w:after="60" w:before="60"/>
        <w:ind w:left="400"/>
      </w:pPr>
      <w:r>
        <w:rPr>
          <w:rFonts w:ascii="Calibri" w:cs="Calibri" w:eastAsia="Calibri" w:hAnsi="Calibri"/>
          <w:color w:val="1A1A1A"/>
          <w:sz w:val="20"/>
          <w:szCs w:val="20"/>
        </w:rPr>
        <w:t xml:space="preserve">• Meta Business Manager — paid social spend and platform attribution.</w:t>
      </w:r>
    </w:p>
    <w:p>
      <w:pPr>
        <w:spacing w:after="60" w:before="60"/>
        <w:ind w:left="400"/>
      </w:pPr>
      <w:r>
        <w:rPr>
          <w:rFonts w:ascii="Calibri" w:cs="Calibri" w:eastAsia="Calibri" w:hAnsi="Calibri"/>
          <w:color w:val="1A1A1A"/>
          <w:sz w:val="20"/>
          <w:szCs w:val="20"/>
        </w:rPr>
        <w:t xml:space="preserve">• Google Analytics 4 — online behavioural data and Shopify conversion tracking.</w:t>
      </w:r>
    </w:p>
    <w:p>
      <w:pPr>
        <w:spacing w:after="100" w:before="280"/>
      </w:pPr>
      <w:r>
        <w:rPr>
          <w:rFonts w:ascii="Calibri" w:cs="Calibri" w:eastAsia="Calibri" w:hAnsi="Calibri"/>
          <w:b/>
          <w:bCs/>
          <w:color w:val="1A2E5A"/>
          <w:sz w:val="24"/>
          <w:szCs w:val="24"/>
        </w:rPr>
        <w:t xml:space="preserve">Critical Data Quality Issues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3"/>
              <w:left w:val="thick" w:color="8B1A1A" w:sz="6"/>
              <w:bottom w:val="single" w:color="8B1A1A" w:sz="1"/>
              <w:right w:val="single" w:color="8B1A1A" w:sz="1"/>
            </w:tcBorders>
            <w:shd w:fill="FDF0F0" w:val="clear"/>
            <w:tcMar>
              <w:top w:type="dxa" w:w="120"/>
              <w:left w:type="dxa" w:w="180"/>
              <w:bottom w:type="dxa" w:w="120"/>
              <w:right w:type="dxa" w:w="180"/>
            </w:tcMar>
          </w:tcPr>
          <w:p>
            <w:pPr>
              <w:spacing w:after="40" w:before="40"/>
            </w:pPr>
            <w:r>
              <w:rPr>
                <w:rFonts w:ascii="Calibri" w:cs="Calibri" w:eastAsia="Calibri" w:hAnsi="Calibri"/>
                <w:b/>
                <w:bCs/>
                <w:i w:val="false"/>
                <w:iCs w:val="false"/>
                <w:color w:val="8B1A1A"/>
                <w:sz w:val="19"/>
                <w:szCs w:val="19"/>
              </w:rPr>
              <w:t xml:space="preserve">Issue 1 — No Cross-Channel Customer View</w:t>
            </w:r>
          </w:p>
          <w:p>
            <w:pPr>
              <w:spacing w:after="40" w:before="40"/>
            </w:pPr>
            <w:r>
              <w:rPr>
                <w:rFonts w:ascii="Calibri" w:cs="Calibri" w:eastAsia="Calibri" w:hAnsi="Calibri"/>
                <w:b w:val="false"/>
                <w:bCs w:val="false"/>
                <w:i w:val="false"/>
                <w:iCs w:val="false"/>
                <w:color w:val="1A1A1A"/>
                <w:sz w:val="19"/>
                <w:szCs w:val="19"/>
              </w:rPr>
              <w:t xml:space="preserve">Salesforce Loyalty ID ≠ Shopify Customer ID ≠ POS receipt number. 66% of in-store transactions are completely anonymous. Identity resolution required — ADR-002.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3"/>
              <w:left w:val="thick" w:color="8B1A1A" w:sz="6"/>
              <w:bottom w:val="single" w:color="8B1A1A" w:sz="1"/>
              <w:right w:val="single" w:color="8B1A1A" w:sz="1"/>
            </w:tcBorders>
            <w:shd w:fill="FDF0F0" w:val="clear"/>
            <w:tcMar>
              <w:top w:type="dxa" w:w="120"/>
              <w:left w:type="dxa" w:w="180"/>
              <w:bottom w:type="dxa" w:w="120"/>
              <w:right w:type="dxa" w:w="180"/>
            </w:tcMar>
          </w:tcPr>
          <w:p>
            <w:pPr>
              <w:spacing w:after="40" w:before="40"/>
            </w:pPr>
            <w:r>
              <w:rPr>
                <w:rFonts w:ascii="Calibri" w:cs="Calibri" w:eastAsia="Calibri" w:hAnsi="Calibri"/>
                <w:b/>
                <w:bCs/>
                <w:i w:val="false"/>
                <w:iCs w:val="false"/>
                <w:color w:val="8B1A1A"/>
                <w:sz w:val="19"/>
                <w:szCs w:val="19"/>
              </w:rPr>
              <w:t xml:space="preserve">Issue 2 — No Marketing Attribution Source of Truth</w:t>
            </w:r>
          </w:p>
          <w:p>
            <w:pPr>
              <w:spacing w:after="40" w:before="40"/>
            </w:pPr>
            <w:r>
              <w:rPr>
                <w:rFonts w:ascii="Calibri" w:cs="Calibri" w:eastAsia="Calibri" w:hAnsi="Calibri"/>
                <w:b w:val="false"/>
                <w:bCs w:val="false"/>
                <w:i w:val="false"/>
                <w:iCs w:val="false"/>
                <w:color w:val="1A1A1A"/>
                <w:sz w:val="19"/>
                <w:szCs w:val="19"/>
              </w:rPr>
              <w:t xml:space="preserve">Three campaign systems each use their own attribution model. Double and triple counting of conversions is likely. Attribution data does not exist in any source system — the platform creates it for the first time. ADR-006 required before any Gold layer marketing build.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3"/>
              <w:left w:val="thick" w:color="7A5C00" w:sz="6"/>
              <w:bottom w:val="single" w:color="7A5C00" w:sz="1"/>
              <w:right w:val="single" w:color="7A5C00" w:sz="1"/>
            </w:tcBorders>
            <w:shd w:fill="FDF6E3" w:val="clear"/>
            <w:tcMar>
              <w:top w:type="dxa" w:w="120"/>
              <w:left w:type="dxa" w:w="180"/>
              <w:bottom w:type="dxa" w:w="120"/>
              <w:right w:type="dxa" w:w="180"/>
            </w:tcMar>
          </w:tcPr>
          <w:p>
            <w:pPr>
              <w:spacing w:after="40" w:before="40"/>
            </w:pPr>
            <w:r>
              <w:rPr>
                <w:rFonts w:ascii="Calibri" w:cs="Calibri" w:eastAsia="Calibri" w:hAnsi="Calibri"/>
                <w:b/>
                <w:bCs/>
                <w:i w:val="false"/>
                <w:iCs w:val="false"/>
                <w:color w:val="7A5C00"/>
                <w:sz w:val="19"/>
                <w:szCs w:val="19"/>
              </w:rPr>
              <w:t xml:space="preserve">Issue 3 — No Common Campaign Identifier</w:t>
            </w:r>
          </w:p>
          <w:p>
            <w:pPr>
              <w:spacing w:after="40" w:before="40"/>
            </w:pPr>
            <w:r>
              <w:rPr>
                <w:rFonts w:ascii="Calibri" w:cs="Calibri" w:eastAsia="Calibri" w:hAnsi="Calibri"/>
                <w:b w:val="false"/>
                <w:bCs w:val="false"/>
                <w:i w:val="false"/>
                <w:iCs w:val="false"/>
                <w:color w:val="1A1A1A"/>
                <w:sz w:val="19"/>
                <w:szCs w:val="19"/>
              </w:rPr>
              <w:t xml:space="preserve">Salesforce uses loyalty ID. Meta uses pixel-based browser tracking. GA4 uses client ID. Three different identifiers for the same person. Attribution across systems requires identity resolution first.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3"/>
              <w:left w:val="thick" w:color="8B1A1A" w:sz="6"/>
              <w:bottom w:val="single" w:color="8B1A1A" w:sz="1"/>
              <w:right w:val="single" w:color="8B1A1A" w:sz="1"/>
            </w:tcBorders>
            <w:shd w:fill="FDF0F0" w:val="clear"/>
            <w:tcMar>
              <w:top w:type="dxa" w:w="120"/>
              <w:left w:type="dxa" w:w="180"/>
              <w:bottom w:type="dxa" w:w="120"/>
              <w:right w:type="dxa" w:w="180"/>
            </w:tcMar>
          </w:tcPr>
          <w:p>
            <w:pPr>
              <w:spacing w:after="40" w:before="40"/>
            </w:pPr>
            <w:r>
              <w:rPr>
                <w:rFonts w:ascii="Calibri" w:cs="Calibri" w:eastAsia="Calibri" w:hAnsi="Calibri"/>
                <w:b/>
                <w:bCs/>
                <w:i w:val="false"/>
                <w:iCs w:val="false"/>
                <w:color w:val="8B1A1A"/>
                <w:sz w:val="19"/>
                <w:szCs w:val="19"/>
              </w:rPr>
              <w:t xml:space="preserve">BPA-FINDING-002 — Marketing Attribution Has No Source of Truth</w:t>
            </w:r>
          </w:p>
          <w:p>
            <w:pPr>
              <w:spacing w:after="40" w:before="40"/>
            </w:pPr>
            <w:r>
              <w:rPr>
                <w:rFonts w:ascii="Calibri" w:cs="Calibri" w:eastAsia="Calibri" w:hAnsi="Calibri"/>
                <w:b w:val="false"/>
                <w:bCs w:val="false"/>
                <w:i w:val="false"/>
                <w:iCs w:val="false"/>
                <w:color w:val="1A1A1A"/>
                <w:sz w:val="19"/>
                <w:szCs w:val="19"/>
              </w:rPr>
              <w:t xml:space="preserve">Attribution data does not exist in any RetailSphere source system. The data platform will create it for the first time. RetailSphere will spend R8.3M annually based on numbers that have no external validation source. ADR-006 must be formally agreed and signed by the CCO before any Gold layer marketing build begins.</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7. Architectural Implications</w:t>
      </w:r>
    </w:p>
    <w:p>
      <w:pPr>
        <w:spacing w:after="60" w:before="60"/>
        <w:ind w:left="400"/>
      </w:pPr>
      <w:r>
        <w:rPr>
          <w:rFonts w:ascii="Calibri" w:cs="Calibri" w:eastAsia="Calibri" w:hAnsi="Calibri"/>
          <w:color w:val="1A1A1A"/>
          <w:sz w:val="20"/>
          <w:szCs w:val="20"/>
        </w:rPr>
        <w:t xml:space="preserve">• Marketing added as sixth domain in BDR-001 v1.2 — Rethabile owns acquisition, Priya owns retention. Formal boundary drawn.</w:t>
      </w:r>
    </w:p>
    <w:p>
      <w:pPr>
        <w:spacing w:after="60" w:before="60"/>
        <w:ind w:left="400"/>
      </w:pPr>
      <w:r>
        <w:rPr>
          <w:rFonts w:ascii="Calibri" w:cs="Calibri" w:eastAsia="Calibri" w:hAnsi="Calibri"/>
          <w:color w:val="1A1A1A"/>
          <w:sz w:val="20"/>
          <w:szCs w:val="20"/>
        </w:rPr>
        <w:t xml:space="preserve">• ADR-002 scope expanded: Customer identity resolution must include segment classification logic and anonymous customer handling. Not just loyalty member matching.</w:t>
      </w:r>
    </w:p>
    <w:p>
      <w:pPr>
        <w:spacing w:after="60" w:before="60"/>
        <w:ind w:left="400"/>
      </w:pPr>
      <w:r>
        <w:rPr>
          <w:rFonts w:ascii="Calibri" w:cs="Calibri" w:eastAsia="Calibri" w:hAnsi="Calibri"/>
          <w:color w:val="1A1A1A"/>
          <w:sz w:val="20"/>
          <w:szCs w:val="20"/>
        </w:rPr>
        <w:t xml:space="preserve">• ADR-006 raised: Marketing Attribution Logic — attribution window, model type, and cross-channel weighting must be agreed before Gold layer marketing build.</w:t>
      </w:r>
    </w:p>
    <w:p>
      <w:pPr>
        <w:spacing w:after="60" w:before="60"/>
        <w:ind w:left="400"/>
      </w:pPr>
      <w:r>
        <w:rPr>
          <w:rFonts w:ascii="Calibri" w:cs="Calibri" w:eastAsia="Calibri" w:hAnsi="Calibri"/>
          <w:color w:val="1A1A1A"/>
          <w:sz w:val="20"/>
          <w:szCs w:val="20"/>
        </w:rPr>
        <w:t xml:space="preserve">• Customer dimension: SCD Type 2 required on segment attribute. Full segment history required not just current segment.</w:t>
      </w:r>
    </w:p>
    <w:p>
      <w:pPr>
        <w:spacing w:after="60" w:before="60"/>
        <w:ind w:left="400"/>
      </w:pPr>
      <w:r>
        <w:rPr>
          <w:rFonts w:ascii="Calibri" w:cs="Calibri" w:eastAsia="Calibri" w:hAnsi="Calibri"/>
          <w:color w:val="1A1A1A"/>
          <w:sz w:val="20"/>
          <w:szCs w:val="20"/>
        </w:rPr>
        <w:t xml:space="preserve">• Identity resolution approach: Deterministic matching for loyalty customers (email + name + address). Segment framework for unmatched population.</w:t>
      </w:r>
    </w:p>
    <w:p>
      <w:pPr>
        <w:spacing w:after="60" w:before="60"/>
        <w:ind w:left="400"/>
      </w:pPr>
      <w:r>
        <w:rPr>
          <w:rFonts w:ascii="Calibri" w:cs="Calibri" w:eastAsia="Calibri" w:hAnsi="Calibri"/>
          <w:color w:val="1A1A1A"/>
          <w:sz w:val="20"/>
          <w:szCs w:val="20"/>
        </w:rPr>
        <w:t xml:space="preserve">• Churn definition agreed: 6 months no engagement signal — purchase, browse, email open, or store visit. Single definition across all channels.</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8. Key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5A" w:sz="3"/>
              <w:left w:val="thick" w:color="1A2E5A" w:sz="6"/>
              <w:bottom w:val="single" w:color="1A2E5A" w:sz="1"/>
              <w:right w:val="single" w:color="1A2E5A" w:sz="1"/>
            </w:tcBorders>
            <w:shd w:fill="EEF1F8" w:val="clear"/>
            <w:tcMar>
              <w:top w:type="dxa" w:w="120"/>
              <w:left w:type="dxa" w:w="180"/>
              <w:bottom w:type="dxa" w:w="120"/>
              <w:right w:type="dxa" w:w="180"/>
            </w:tcMar>
          </w:tcPr>
          <w:p>
            <w:pPr>
              <w:spacing w:after="40" w:before="40"/>
            </w:pPr>
            <w:r>
              <w:rPr>
                <w:rFonts w:ascii="Calibri" w:cs="Calibri" w:eastAsia="Calibri" w:hAnsi="Calibri"/>
                <w:b w:val="false"/>
                <w:bCs w:val="false"/>
                <w:i/>
                <w:iCs/>
                <w:color w:val="1A2E5A"/>
                <w:sz w:val="19"/>
                <w:szCs w:val="19"/>
              </w:rPr>
              <w:t xml:space="preserve">"I have been telling the board the data does not exist to calculate customer lifetime value properly. If you fix the customer ID problem — that excuse goes away."</w:t>
            </w:r>
          </w:p>
          <w:p>
            <w:pPr>
              <w:spacing w:after="40" w:before="40"/>
            </w:pPr>
            <w:r>
              <w:rPr>
                <w:rFonts w:ascii="Calibri" w:cs="Calibri" w:eastAsia="Calibri" w:hAnsi="Calibri"/>
                <w:b/>
                <w:bCs/>
                <w:i w:val="false"/>
                <w:iCs w:val="false"/>
                <w:color w:val="1A2E5A"/>
                <w:sz w:val="19"/>
                <w:szCs w:val="19"/>
              </w:rPr>
              <w:t xml:space="preserve">— Rethabile Sithole, Chief Commercial Officer</w:t>
            </w:r>
          </w:p>
        </w:tc>
      </w:tr>
    </w:tbl>
    <w:p>
      <w:pPr>
        <w:spacing w:after="0" w:before="300"/>
      </w:pPr>
      <w:r>
        <w:t xml:space="preserve"/>
      </w:r>
    </w:p>
    <w:p>
      <w:pPr>
        <w:spacing w:after="80" w:before="80"/>
        <w:jc w:val="left"/>
      </w:pPr>
      <w:r>
        <w:rPr>
          <w:rFonts w:ascii="Calibri" w:cs="Calibri" w:eastAsia="Calibri" w:hAnsi="Calibri"/>
          <w:b w:val="false"/>
          <w:bCs w:val="false"/>
          <w:i/>
          <w:iCs/>
          <w:color w:val="555555"/>
          <w:sz w:val="20"/>
          <w:szCs w:val="20"/>
        </w:rPr>
        <w:t xml:space="preserve">— End of Interview Reference — Rethabile Sithole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D0D8EC" w:sz="3"/>
        <w:left w:val="none"/>
        <w:bottom w:val="none"/>
        <w:right w:val="none"/>
        <w:insideH w:val="single" w:color="auto" w:sz="4"/>
        <w:insideV w:val="single" w:color="auto" w:sz="4"/>
      </w:tblBorders>
    </w:tblPr>
    <w:tblGrid>
      <w:gridCol w:w="5000"/>
      <w:gridCol w:w="4360"/>
    </w:tblGrid>
    <w:tr>
      <w:tc>
        <w:tcPr>
          <w:tcW w:type="dxa" w:w="5000"/>
          <w:tcBorders>
            <w:top w:val="single" w:color="D0D8EC" w:sz="1"/>
            <w:left w:val="single" w:color="FFFFFF" w:sz="1"/>
            <w:bottom w:val="single" w:color="FFFFFF" w:sz="1"/>
            <w:right w:val="single" w:color="FFFFFF" w:sz="1"/>
          </w:tcBorders>
        </w:tcPr>
        <w:p>
          <w:r>
            <w:rPr>
              <w:rFonts w:ascii="Calibri" w:cs="Calibri" w:eastAsia="Calibri" w:hAnsi="Calibri"/>
              <w:color w:val="555555"/>
              <w:sz w:val="16"/>
              <w:szCs w:val="16"/>
            </w:rPr>
            <w:t xml:space="preserve">Step 2 — Business Process Analysis | Interview Reference Document</w:t>
          </w:r>
        </w:p>
      </w:tc>
      <w:tc>
        <w:tcPr>
          <w:tcW w:type="dxa" w:w="4360"/>
          <w:tcBorders>
            <w:top w:val="single" w:color="D0D8EC" w:sz="1"/>
            <w:left w:val="single" w:color="FFFFFF" w:sz="1"/>
            <w:bottom w:val="single" w:color="FFFFFF" w:sz="1"/>
            <w:right w:val="single" w:color="FFFFFF" w:sz="1"/>
          </w:tcBorders>
        </w:tcPr>
        <w:p>
          <w:pPr>
            <w:jc w:val="right"/>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single" w:color="C8A96E" w:sz="3"/>
        <w:right w:val="none"/>
        <w:insideH w:val="single" w:color="auto" w:sz="4"/>
        <w:insideV w:val="single" w:color="auto" w:sz="4"/>
      </w:tblBorders>
    </w:tblPr>
    <w:tblGrid>
      <w:gridCol w:w="6000"/>
      <w:gridCol w:w="3360"/>
    </w:tblGrid>
    <w:tr>
      <w:tc>
        <w:tcPr>
          <w:tcW w:type="dxa" w:w="6000"/>
          <w:tcBorders>
            <w:top w:val="single" w:color="FFFFFF" w:sz="1"/>
            <w:left w:val="single" w:color="FFFFFF" w:sz="1"/>
            <w:bottom w:val="single" w:color="C8A96E" w:sz="1"/>
            <w:right w:val="single" w:color="FFFFFF" w:sz="1"/>
          </w:tcBorders>
        </w:tcPr>
        <w:p>
          <w:r>
            <w:rPr>
              <w:rFonts w:ascii="Calibri" w:cs="Calibri" w:eastAsia="Calibri" w:hAnsi="Calibri"/>
              <w:b/>
              <w:bCs/>
              <w:color w:val="1A2E5A"/>
              <w:sz w:val="18"/>
              <w:szCs w:val="18"/>
            </w:rPr>
            <w:t xml:space="preserve">RetailSphere — BPA-001 Interview Reference</w:t>
          </w:r>
        </w:p>
      </w:tc>
      <w:tc>
        <w:tcPr>
          <w:tcW w:type="dxa" w:w="3360"/>
          <w:tcBorders>
            <w:top w:val="single" w:color="FFFFFF" w:sz="1"/>
            <w:left w:val="single" w:color="FFFFFF" w:sz="1"/>
            <w:bottom w:val="single" w:color="C8A96E" w:sz="1"/>
            <w:right w:val="single" w:color="FFFFFF" w:sz="1"/>
          </w:tcBorders>
        </w:tcPr>
        <w:p>
          <w:pPr>
            <w:jc w:val="right"/>
          </w:pPr>
          <w:r>
            <w:rPr>
              <w:rFonts w:ascii="Calibri" w:cs="Calibri" w:eastAsia="Calibri" w:hAnsi="Calibri"/>
              <w:color w:val="555555"/>
              <w:sz w:val="16"/>
              <w:szCs w:val="16"/>
            </w:rPr>
            <w:t xml:space="preserve">Rethabile Sithole — Sales and Marketing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2026-05-01T12:48:02.599Z</dcterms:created>
  <dcterms:modified xsi:type="dcterms:W3CDTF">2026-05-01T12:48:02.599Z</dcterms:modified>
</cp:coreProperties>
</file>

<file path=docProps/custom.xml><?xml version="1.0" encoding="utf-8"?>
<Properties xmlns="http://schemas.openxmlformats.org/officeDocument/2006/custom-properties" xmlns:vt="http://schemas.openxmlformats.org/officeDocument/2006/docPropsVTypes"/>
</file>