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Calibri" w:cs="Calibri" w:eastAsia="Calibri" w:hAnsi="Calibri"/>
          <w:b/>
          <w:bCs/>
          <w:color w:val="C8A96E"/>
          <w:spacing w:val="80"/>
          <w:sz w:val="20"/>
          <w:szCs w:val="20"/>
        </w:rPr>
        <w:t xml:space="preserve">RETAILSPHERE (PTY) LTD</w:t>
      </w:r>
    </w:p>
    <w:p>
      <w:pPr>
        <w:spacing w:after="80" w:before="0"/>
      </w:pPr>
      <w:r>
        <w:rPr>
          <w:rFonts w:ascii="Calibri" w:cs="Calibri" w:eastAsia="Calibri" w:hAnsi="Calibri"/>
          <w:color w:val="555555"/>
          <w:sz w:val="20"/>
          <w:szCs w:val="20"/>
        </w:rPr>
        <w:t xml:space="preserve">BPA-001 — Stakeholder Interview Reference</w:t>
      </w:r>
    </w:p>
    <w:p>
      <w:pPr>
        <w:pBdr>
          <w:bottom w:val="single" w:color="C8A96E" w:sz="6" w:space="8"/>
        </w:pBdr>
        <w:spacing w:after="400" w:before="0"/>
      </w:pPr>
      <w:r>
        <w:rPr>
          <w:rFonts w:ascii="Calibri" w:cs="Calibri" w:eastAsia="Calibri" w:hAnsi="Calibri"/>
          <w:b/>
          <w:bCs/>
          <w:color w:val="1A2E5A"/>
          <w:sz w:val="48"/>
          <w:szCs w:val="48"/>
        </w:rPr>
        <w:t xml:space="preserve">Interview 4 — Priya Naidoo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Full Name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Priya Naidoo</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Title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Head of CRM and Loyalty</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Domain</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Customer Loyalty (Retention only — post BDR-001 v1.2)</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Interview Date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17 April 2026</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Interview Status</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Complete</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Data Steward Role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Customer dimension — authority over identity, attributes, and business rules</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ADRs Triggered</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ADR-002 (Customer Identity), ADR-007 (Contact Governance)</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BPA Finding</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BPA-FINDING-003 — Domain Ownership Gap</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Key Evidence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14,847 member unsubscribes in Q1 2026. R35M at-risk lifetime value.</w:t>
            </w:r>
          </w:p>
        </w:tc>
      </w:tr>
    </w:tbl>
    <w:p>
      <w:pPr>
        <w:spacing w:after="0" w:before="3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 Process Owner Profile</w:t>
      </w:r>
    </w:p>
    <w:p>
      <w:pPr>
        <w:spacing w:after="80" w:before="80"/>
        <w:jc w:val="both"/>
      </w:pPr>
      <w:r>
        <w:rPr>
          <w:rFonts w:ascii="Calibri" w:cs="Calibri" w:eastAsia="Calibri" w:hAnsi="Calibri"/>
          <w:b w:val="false"/>
          <w:bCs w:val="false"/>
          <w:i w:val="false"/>
          <w:iCs w:val="false"/>
          <w:color w:val="1A1A1A"/>
          <w:sz w:val="20"/>
          <w:szCs w:val="20"/>
        </w:rPr>
        <w:t xml:space="preserve">Priya Naidoo is the Head of CRM and Customer Loyalty. She owns the CRM and Customer Loyalty Programme that has 2.1 million registered members, focusing on customer retention exclusively. She is also the Data Steward of the Customer dimension, having authority over customer identity, attributes, and business rules. Following further discussions during Step 2 stakeholder interviews, a Marketing domain was established and campaign execution and customer acquisition were moved to that domain, led by Rethabile Sithole. This boundary clarifies accountability and responsibility, with Priya's domain responsibility limited to customer retention.</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2. Key Business Processes</w:t>
      </w:r>
    </w:p>
    <w:p>
      <w:pPr>
        <w:spacing w:after="80" w:before="80"/>
        <w:jc w:val="both"/>
      </w:pPr>
      <w:r>
        <w:rPr>
          <w:rFonts w:ascii="Calibri" w:cs="Calibri" w:eastAsia="Calibri" w:hAnsi="Calibri"/>
          <w:b w:val="false"/>
          <w:bCs w:val="false"/>
          <w:i w:val="false"/>
          <w:iCs w:val="false"/>
          <w:color w:val="1A1A1A"/>
          <w:sz w:val="20"/>
          <w:szCs w:val="20"/>
        </w:rPr>
        <w:t xml:space="preserve">After a customer is registered as a loyalty member their information — ID number, address, purchase behaviour, and communication preference — is loaded onto Salesforce CRM. Currently Priya monitors member engagement reactively through system-generated reports that only show problems after they have occurred, as evidenced by 14,847 members unsubscribed in Q1 2026 citing excessive communication frequency. The data platform will flag at-risk members before they leave through the Contact History fact table linked to last purchase date, last category bought from, and last engagement date. There is also a POPIA compliance requirement that when a member unsubscribes, they must be recorded and excluded within 4 hours from all campaigns across all channels.</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3. Decisions Made — Daily, Weekly, Monthly</w:t>
      </w:r>
    </w:p>
    <w:p>
      <w:pPr>
        <w:spacing w:after="100" w:before="280"/>
      </w:pPr>
      <w:r>
        <w:rPr>
          <w:rFonts w:ascii="Calibri" w:cs="Calibri" w:eastAsia="Calibri" w:hAnsi="Calibri"/>
          <w:b/>
          <w:bCs/>
          <w:color w:val="1A2E5A"/>
          <w:sz w:val="24"/>
          <w:szCs w:val="24"/>
        </w:rPr>
        <w:t xml:space="preserve">Daily</w:t>
      </w:r>
    </w:p>
    <w:p>
      <w:pPr>
        <w:spacing w:after="80" w:before="80"/>
        <w:jc w:val="left"/>
      </w:pPr>
      <w:r>
        <w:rPr>
          <w:rFonts w:ascii="Calibri" w:cs="Calibri" w:eastAsia="Calibri" w:hAnsi="Calibri"/>
          <w:b w:val="false"/>
          <w:bCs w:val="false"/>
          <w:i w:val="false"/>
          <w:iCs w:val="false"/>
          <w:color w:val="1A1A1A"/>
          <w:sz w:val="20"/>
          <w:szCs w:val="20"/>
        </w:rPr>
        <w:t xml:space="preserve">Currently Priya sees unsubscribed members after they happen. The data platform will flag at-risk members before they leave.</w:t>
      </w:r>
    </w:p>
    <w:p>
      <w:pPr>
        <w:spacing w:after="100" w:before="280"/>
      </w:pPr>
      <w:r>
        <w:rPr>
          <w:rFonts w:ascii="Calibri" w:cs="Calibri" w:eastAsia="Calibri" w:hAnsi="Calibri"/>
          <w:b/>
          <w:bCs/>
          <w:color w:val="1A2E5A"/>
          <w:sz w:val="24"/>
          <w:szCs w:val="24"/>
        </w:rPr>
        <w:t xml:space="preserve">Weekly</w:t>
      </w:r>
    </w:p>
    <w:p>
      <w:pPr>
        <w:spacing w:after="80" w:before="80"/>
        <w:jc w:val="left"/>
      </w:pPr>
      <w:r>
        <w:rPr>
          <w:rFonts w:ascii="Calibri" w:cs="Calibri" w:eastAsia="Calibri" w:hAnsi="Calibri"/>
          <w:b w:val="false"/>
          <w:bCs w:val="false"/>
          <w:i w:val="false"/>
          <w:iCs w:val="false"/>
          <w:color w:val="1A1A1A"/>
          <w:sz w:val="20"/>
          <w:szCs w:val="20"/>
        </w:rPr>
        <w:t xml:space="preserve">There are currently manual campaign reports pulled from three separate systems. There will be an automated performance dashboard with all three systems in one view.</w:t>
      </w:r>
    </w:p>
    <w:p>
      <w:pPr>
        <w:spacing w:after="100" w:before="280"/>
      </w:pPr>
      <w:r>
        <w:rPr>
          <w:rFonts w:ascii="Calibri" w:cs="Calibri" w:eastAsia="Calibri" w:hAnsi="Calibri"/>
          <w:b/>
          <w:bCs/>
          <w:color w:val="1A2E5A"/>
          <w:sz w:val="24"/>
          <w:szCs w:val="24"/>
        </w:rPr>
        <w:t xml:space="preserve">Monthly</w:t>
      </w:r>
    </w:p>
    <w:p>
      <w:pPr>
        <w:spacing w:after="80" w:before="80"/>
        <w:jc w:val="left"/>
      </w:pPr>
      <w:r>
        <w:rPr>
          <w:rFonts w:ascii="Calibri" w:cs="Calibri" w:eastAsia="Calibri" w:hAnsi="Calibri"/>
          <w:b w:val="false"/>
          <w:bCs w:val="false"/>
          <w:i w:val="false"/>
          <w:iCs w:val="false"/>
          <w:color w:val="1A1A1A"/>
          <w:sz w:val="20"/>
          <w:szCs w:val="20"/>
        </w:rPr>
        <w:t xml:space="preserve">The total number of loyal members count is currently reactive. With the data platform the dashboard will show the net member movement plus predicted churn for the next 30 days.</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4. Questions Priya Cannot Currently Answer</w:t>
      </w:r>
    </w:p>
    <w:p>
      <w:pPr>
        <w:spacing w:after="80" w:before="80"/>
        <w:jc w:val="both"/>
      </w:pPr>
      <w:r>
        <w:rPr>
          <w:rFonts w:ascii="Calibri" w:cs="Calibri" w:eastAsia="Calibri" w:hAnsi="Calibri"/>
          <w:b w:val="false"/>
          <w:bCs w:val="false"/>
          <w:i w:val="false"/>
          <w:iCs w:val="false"/>
          <w:color w:val="1A1A1A"/>
          <w:sz w:val="20"/>
          <w:szCs w:val="20"/>
        </w:rPr>
        <w:t xml:space="preserve">Priya cannot currently determine the main reasons members unsubscribed before intervention could occur. This is because there is no clear picture on the 67% of members who reported too many emails and 24% who reported not relevant, in terms of how many emails were sent per member and which campaigns were not relevant.</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Priya cannot currently determine whether a loyalty member is valuable enough to warrant a personalised retention intervention. This is because there is no visibility into when they last purchased, from which product category, or the last time they engaged with campaigns.</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Priya cannot currently determine if the same member unsubscribed across all channels or only one. This is because there is no single source of truth or unified customer identifier.</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5. What Good Looks Like in 12 Months</w:t>
      </w:r>
    </w:p>
    <w:p>
      <w:pPr>
        <w:spacing w:after="80" w:before="80"/>
        <w:jc w:val="both"/>
      </w:pPr>
      <w:r>
        <w:rPr>
          <w:rFonts w:ascii="Calibri" w:cs="Calibri" w:eastAsia="Calibri" w:hAnsi="Calibri"/>
          <w:b w:val="false"/>
          <w:bCs w:val="false"/>
          <w:i w:val="false"/>
          <w:iCs w:val="false"/>
          <w:color w:val="1A1A1A"/>
          <w:sz w:val="20"/>
          <w:szCs w:val="20"/>
        </w:rPr>
        <w:t xml:space="preserve">In 12 months Priya's team will be able to see every communication sent to every member in one place. When a member says stop, it stops everywhere, immediately, with no exceptions. Priya's team will be able to intervene before members leave, not after. No member will receive more than four contacts a month as Priya will know on the same day if that rule is breached and she can action immediately.</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6. Data Sources and Quality Issues</w:t>
      </w:r>
    </w:p>
    <w:p>
      <w:pPr>
        <w:spacing w:after="100" w:before="280"/>
      </w:pPr>
      <w:r>
        <w:rPr>
          <w:rFonts w:ascii="Calibri" w:cs="Calibri" w:eastAsia="Calibri" w:hAnsi="Calibri"/>
          <w:b/>
          <w:bCs/>
          <w:color w:val="1A2E5A"/>
          <w:sz w:val="24"/>
          <w:szCs w:val="24"/>
        </w:rPr>
        <w:t xml:space="preserve">Source Systems</w:t>
      </w:r>
    </w:p>
    <w:p>
      <w:pPr>
        <w:spacing w:after="60" w:before="60"/>
        <w:ind w:left="400"/>
      </w:pPr>
      <w:r>
        <w:rPr>
          <w:rFonts w:ascii="Calibri" w:cs="Calibri" w:eastAsia="Calibri" w:hAnsi="Calibri"/>
          <w:color w:val="1A1A1A"/>
          <w:sz w:val="20"/>
          <w:szCs w:val="20"/>
        </w:rPr>
        <w:t xml:space="preserve">• Primary: Salesforce CRM — 2.1 million loyalty member records, identity attributes, rewards history, communication preferences.</w:t>
      </w:r>
    </w:p>
    <w:p>
      <w:pPr>
        <w:spacing w:after="60" w:before="60"/>
        <w:ind w:left="400"/>
      </w:pPr>
      <w:r>
        <w:rPr>
          <w:rFonts w:ascii="Calibri" w:cs="Calibri" w:eastAsia="Calibri" w:hAnsi="Calibri"/>
          <w:color w:val="1A1A1A"/>
          <w:sz w:val="20"/>
          <w:szCs w:val="20"/>
        </w:rPr>
        <w:t xml:space="preserve">• Enrichment — from Marketing domain: Salesforce Marketing Cloud, Meta Business Manager, Google Analytics 4. Campaign engagement data flows back into the Customer dimension.</w:t>
      </w:r>
    </w:p>
    <w:p>
      <w:pPr>
        <w:spacing w:after="100" w:before="280"/>
      </w:pPr>
      <w:r>
        <w:rPr>
          <w:rFonts w:ascii="Calibri" w:cs="Calibri" w:eastAsia="Calibri" w:hAnsi="Calibri"/>
          <w:b/>
          <w:bCs/>
          <w:color w:val="1A2E5A"/>
          <w:sz w:val="24"/>
          <w:szCs w:val="24"/>
        </w:rPr>
        <w:t xml:space="preserve">Data Quality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Issue 1 — No Unified Customer Identifier</w:t>
            </w:r>
          </w:p>
          <w:p>
            <w:pPr>
              <w:spacing w:after="40" w:before="40"/>
            </w:pPr>
            <w:r>
              <w:rPr>
                <w:rFonts w:ascii="Calibri" w:cs="Calibri" w:eastAsia="Calibri" w:hAnsi="Calibri"/>
                <w:b w:val="false"/>
                <w:bCs w:val="false"/>
                <w:i w:val="false"/>
                <w:iCs w:val="false"/>
                <w:color w:val="1A1A1A"/>
                <w:sz w:val="19"/>
                <w:szCs w:val="19"/>
              </w:rPr>
              <w:t xml:space="preserve">Priya cannot determine if the same member unsubscribed across all channels or only one. No single source of truth links Salesforce loyalty ID to Shopify customer ID or POS receipt number. ADR-002 required.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Issue 2 — No Cross-System Opt-out Communication</w:t>
            </w:r>
          </w:p>
          <w:p>
            <w:pPr>
              <w:spacing w:after="40" w:before="40"/>
            </w:pPr>
            <w:r>
              <w:rPr>
                <w:rFonts w:ascii="Calibri" w:cs="Calibri" w:eastAsia="Calibri" w:hAnsi="Calibri"/>
                <w:b w:val="false"/>
                <w:bCs w:val="false"/>
                <w:i w:val="false"/>
                <w:iCs w:val="false"/>
                <w:color w:val="1A1A1A"/>
                <w:sz w:val="19"/>
                <w:szCs w:val="19"/>
              </w:rPr>
              <w:t xml:space="preserve">When a member opts out in one system, there is no mechanism to communicate that event to the other two systems. Members who have legally withdrawn marketing consent continue to receive communications through channels that have not received the opt-out signal. This is a direct POPIA compliance risk.</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7. Architectural Implications</w:t>
      </w:r>
    </w:p>
    <w:p>
      <w:pPr>
        <w:spacing w:after="80" w:before="80"/>
        <w:jc w:val="left"/>
      </w:pPr>
      <w:r>
        <w:rPr>
          <w:rFonts w:ascii="Calibri" w:cs="Calibri" w:eastAsia="Calibri" w:hAnsi="Calibri"/>
          <w:b/>
          <w:bCs/>
          <w:i w:val="false"/>
          <w:iCs w:val="false"/>
          <w:color w:val="1A1A1A"/>
          <w:sz w:val="20"/>
          <w:szCs w:val="20"/>
        </w:rPr>
        <w:t xml:space="preserve">Priya's interview introduced four architectural requirements:</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First — Contact History fact table: One row per communication event per member per channel, sourced from all three marketing systems. Enables rolling 30-day contact frequency calculation and breach detection.</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Second — Tiered ingestion pipeline for POPIA compliance: Opt-out events cannot wait for nightly batch. Near real-time pipeline must propagate opt-out events across all four systems within four hours.</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Third — Two new dimension considerations: Customer Preference dimension capturing opt-out status and communication limits. Campaign Frequency dimension tracking contact counts per member per rolling window. Both governed by Priya as Data Steward.</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Fourth — ADR-007 raised: Contact Governance and Opt-out Propagation Architecture. Must be formally agreed and signed before any contact governance logic is built. Covers tiered ingestion design, suppression logic, breach alerting, and cross-system propagation rules.</w:t>
      </w:r>
    </w:p>
    <w:p>
      <w:pPr>
        <w:spacing w:after="0" w:before="80"/>
      </w:pPr>
      <w:r>
        <w:t xml:space="preserve"/>
      </w:r>
    </w:p>
    <w:p>
      <w:pPr>
        <w:spacing w:after="80" w:before="80"/>
        <w:jc w:val="left"/>
      </w:pPr>
      <w:r>
        <w:rPr>
          <w:rFonts w:ascii="Calibri" w:cs="Calibri" w:eastAsia="Calibri" w:hAnsi="Calibri"/>
          <w:b/>
          <w:bCs/>
          <w:i w:val="false"/>
          <w:iCs w:val="false"/>
          <w:color w:val="1A1A1A"/>
          <w:sz w:val="20"/>
          <w:szCs w:val="20"/>
        </w:rPr>
        <w:t xml:space="preserve">At-risk member flag — three components required:</w:t>
      </w:r>
    </w:p>
    <w:p>
      <w:pPr>
        <w:spacing w:after="60" w:before="60"/>
        <w:ind w:left="400"/>
      </w:pPr>
      <w:r>
        <w:rPr>
          <w:rFonts w:ascii="Calibri" w:cs="Calibri" w:eastAsia="Calibri" w:hAnsi="Calibri"/>
          <w:color w:val="1A1A1A"/>
          <w:sz w:val="20"/>
          <w:szCs w:val="20"/>
        </w:rPr>
        <w:t xml:space="preserve">• Last purchase date — from Sales fact table.</w:t>
      </w:r>
    </w:p>
    <w:p>
      <w:pPr>
        <w:spacing w:after="60" w:before="60"/>
        <w:ind w:left="400"/>
      </w:pPr>
      <w:r>
        <w:rPr>
          <w:rFonts w:ascii="Calibri" w:cs="Calibri" w:eastAsia="Calibri" w:hAnsi="Calibri"/>
          <w:color w:val="1A1A1A"/>
          <w:sz w:val="20"/>
          <w:szCs w:val="20"/>
        </w:rPr>
        <w:t xml:space="preserve">• Last category purchased — derived from Sales fact table joined to Product dimension.</w:t>
      </w:r>
    </w:p>
    <w:p>
      <w:pPr>
        <w:spacing w:after="60" w:before="60"/>
        <w:ind w:left="400"/>
      </w:pPr>
      <w:r>
        <w:rPr>
          <w:rFonts w:ascii="Calibri" w:cs="Calibri" w:eastAsia="Calibri" w:hAnsi="Calibri"/>
          <w:color w:val="1A1A1A"/>
          <w:sz w:val="20"/>
          <w:szCs w:val="20"/>
        </w:rPr>
        <w:t xml:space="preserve">• Last engagement date — from Contact History fact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3"/>
              <w:left w:val="thick" w:color="7A5C00" w:sz="6"/>
              <w:bottom w:val="single" w:color="7A5C00" w:sz="1"/>
              <w:right w:val="single" w:color="7A5C00" w:sz="1"/>
            </w:tcBorders>
            <w:shd w:fill="FDF6E3" w:val="clear"/>
            <w:tcMar>
              <w:top w:type="dxa" w:w="120"/>
              <w:left w:type="dxa" w:w="180"/>
              <w:bottom w:type="dxa" w:w="120"/>
              <w:right w:type="dxa" w:w="180"/>
            </w:tcMar>
          </w:tcPr>
          <w:p>
            <w:pPr>
              <w:spacing w:after="40" w:before="40"/>
            </w:pPr>
            <w:r>
              <w:rPr>
                <w:rFonts w:ascii="Calibri" w:cs="Calibri" w:eastAsia="Calibri" w:hAnsi="Calibri"/>
                <w:b/>
                <w:bCs/>
                <w:i w:val="false"/>
                <w:iCs w:val="false"/>
                <w:color w:val="7A5C00"/>
                <w:sz w:val="19"/>
                <w:szCs w:val="19"/>
              </w:rPr>
              <w:t xml:space="preserve">BPA-FINDING-003 — Domain Ownership Gap</w:t>
            </w:r>
          </w:p>
          <w:p>
            <w:pPr>
              <w:spacing w:after="40" w:before="40"/>
            </w:pPr>
            <w:r>
              <w:rPr>
                <w:rFonts w:ascii="Calibri" w:cs="Calibri" w:eastAsia="Calibri" w:hAnsi="Calibri"/>
                <w:b w:val="false"/>
                <w:bCs w:val="false"/>
                <w:i w:val="false"/>
                <w:iCs w:val="false"/>
                <w:color w:val="1A1A1A"/>
                <w:sz w:val="19"/>
                <w:szCs w:val="19"/>
              </w:rPr>
              <w:t xml:space="preserve">Marketing domain boundary formalised in BDR-001 v1.2. Rethabile owns acquisition. Priya owns retention. Priya was informed during the interview. Risk: without ongoing clarity, both stakeholders may attempt to define conflicting requirements for Salesforce Marketing Cloud data in Step 3. Must be monitored through Step 3.</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8. Priya's Three Rules + Breach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Rule 1 — Opt-out Propagation (POPIA Legal Obligation)</w:t>
            </w:r>
          </w:p>
          <w:p>
            <w:pPr>
              <w:spacing w:after="40" w:before="40"/>
            </w:pPr>
            <w:r>
              <w:rPr>
                <w:rFonts w:ascii="Calibri" w:cs="Calibri" w:eastAsia="Calibri" w:hAnsi="Calibri"/>
                <w:b w:val="false"/>
                <w:bCs w:val="false"/>
                <w:i w:val="false"/>
                <w:iCs w:val="false"/>
                <w:color w:val="1A1A1A"/>
                <w:sz w:val="19"/>
                <w:szCs w:val="19"/>
              </w:rPr>
              <w:t xml:space="preserve">Members who opt out must be excluded from ALL campaigns across ALL channels within 4 hours. Salesforce CRM, Marketing Cloud, Meta, and GA4 must all be updated.</w:t>
            </w:r>
          </w:p>
          <w:p>
            <w:pPr>
              <w:spacing w:after="40" w:before="40"/>
            </w:pPr>
            <w:r>
              <w:rPr>
                <w:rFonts w:ascii="Calibri" w:cs="Calibri" w:eastAsia="Calibri" w:hAnsi="Calibri"/>
                <w:b/>
                <w:bCs/>
                <w:i w:val="false"/>
                <w:iCs w:val="false"/>
                <w:color w:val="7A5C00"/>
                <w:sz w:val="19"/>
                <w:szCs w:val="19"/>
              </w:rPr>
              <w:t xml:space="preserve">Rule 2 — At-risk Member Routing</w:t>
            </w:r>
          </w:p>
          <w:p>
            <w:pPr>
              <w:spacing w:after="40" w:before="40"/>
            </w:pPr>
            <w:r>
              <w:rPr>
                <w:rFonts w:ascii="Calibri" w:cs="Calibri" w:eastAsia="Calibri" w:hAnsi="Calibri"/>
                <w:b w:val="false"/>
                <w:bCs w:val="false"/>
                <w:i w:val="false"/>
                <w:iCs w:val="false"/>
                <w:color w:val="1A1A1A"/>
                <w:sz w:val="19"/>
                <w:szCs w:val="19"/>
              </w:rPr>
              <w:t xml:space="preserve">Members with no purchase in 9+ months are flagged as at-risk and routed to retention campaigns only. Not acquisition campaigns.</w:t>
            </w:r>
          </w:p>
          <w:p>
            <w:pPr>
              <w:spacing w:after="40" w:before="40"/>
            </w:pPr>
            <w:r>
              <w:rPr>
                <w:rFonts w:ascii="Calibri" w:cs="Calibri" w:eastAsia="Calibri" w:hAnsi="Calibri"/>
                <w:b/>
                <w:bCs/>
                <w:i w:val="false"/>
                <w:iCs w:val="false"/>
                <w:color w:val="1A2E5A"/>
                <w:sz w:val="19"/>
                <w:szCs w:val="19"/>
              </w:rPr>
              <w:t xml:space="preserve">Rule 3 — Contact Frequency Cap</w:t>
            </w:r>
          </w:p>
          <w:p>
            <w:pPr>
              <w:spacing w:after="40" w:before="40"/>
            </w:pPr>
            <w:r>
              <w:rPr>
                <w:rFonts w:ascii="Calibri" w:cs="Calibri" w:eastAsia="Calibri" w:hAnsi="Calibri"/>
                <w:b w:val="false"/>
                <w:bCs w:val="false"/>
                <w:i w:val="false"/>
                <w:iCs w:val="false"/>
                <w:color w:val="1A1A1A"/>
                <w:sz w:val="19"/>
                <w:szCs w:val="19"/>
              </w:rPr>
              <w:t xml:space="preserve">Maximum 4 communications per member per month across ALL channels combined. Not per channel. Combined.</w:t>
            </w:r>
          </w:p>
          <w:p>
            <w:pPr>
              <w:spacing w:after="40" w:before="40"/>
            </w:pPr>
            <w:r>
              <w:rPr>
                <w:rFonts w:ascii="Calibri" w:cs="Calibri" w:eastAsia="Calibri" w:hAnsi="Calibri"/>
                <w:b/>
                <w:bCs/>
                <w:i w:val="false"/>
                <w:iCs w:val="false"/>
                <w:color w:val="1A2E5A"/>
                <w:sz w:val="19"/>
                <w:szCs w:val="19"/>
              </w:rPr>
              <w:t xml:space="preserve">Rule 4 — Breach Alert (added during interview)</w:t>
            </w:r>
          </w:p>
          <w:p>
            <w:pPr>
              <w:spacing w:after="40" w:before="40"/>
            </w:pPr>
            <w:r>
              <w:rPr>
                <w:rFonts w:ascii="Calibri" w:cs="Calibri" w:eastAsia="Calibri" w:hAnsi="Calibri"/>
                <w:b w:val="false"/>
                <w:bCs w:val="false"/>
                <w:i w:val="false"/>
                <w:iCs w:val="false"/>
                <w:color w:val="1A1A1A"/>
                <w:sz w:val="19"/>
                <w:szCs w:val="19"/>
              </w:rPr>
              <w:t xml:space="preserve">When Meta data arrives and confirms a member exceeded 4 contacts — Priya's team must receive an alert the same day so they can intervene before the member unsubscribes.</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9. Key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val="false"/>
                <w:bCs w:val="false"/>
                <w:i/>
                <w:iCs/>
                <w:color w:val="1A2E5A"/>
                <w:sz w:val="19"/>
                <w:szCs w:val="19"/>
              </w:rPr>
              <w:t xml:space="preserve">"These are not just data rules. Rule 1 is a legal obligation. Rule 2 is retention strategy. Rule 3 is member experience. Rule 4 is my safety net. All four must be enforced by the platform — not by my team manually checking spreadsheets."</w:t>
            </w:r>
          </w:p>
          <w:p>
            <w:pPr>
              <w:spacing w:after="40" w:before="40"/>
            </w:pPr>
            <w:r>
              <w:rPr>
                <w:rFonts w:ascii="Calibri" w:cs="Calibri" w:eastAsia="Calibri" w:hAnsi="Calibri"/>
                <w:b/>
                <w:bCs/>
                <w:i w:val="false"/>
                <w:iCs w:val="false"/>
                <w:color w:val="1A2E5A"/>
                <w:sz w:val="19"/>
                <w:szCs w:val="19"/>
              </w:rPr>
              <w:t xml:space="preserve">— Priya Naidoo, Head of CRM and Loyalty</w:t>
            </w:r>
          </w:p>
        </w:tc>
      </w:tr>
    </w:tbl>
    <w:p>
      <w:pPr>
        <w:spacing w:after="0" w:before="300"/>
      </w:pPr>
      <w:r>
        <w:t xml:space="preserve"/>
      </w:r>
    </w:p>
    <w:p>
      <w:pPr>
        <w:spacing w:after="80" w:before="80"/>
        <w:jc w:val="left"/>
      </w:pPr>
      <w:r>
        <w:rPr>
          <w:rFonts w:ascii="Calibri" w:cs="Calibri" w:eastAsia="Calibri" w:hAnsi="Calibri"/>
          <w:b w:val="false"/>
          <w:bCs w:val="false"/>
          <w:i/>
          <w:iCs/>
          <w:color w:val="555555"/>
          <w:sz w:val="20"/>
          <w:szCs w:val="20"/>
        </w:rPr>
        <w:t xml:space="preserve">— End of Interview Reference — Priya Naidoo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D0D8EC" w:sz="3"/>
        <w:left w:val="none"/>
        <w:bottom w:val="none"/>
        <w:right w:val="none"/>
        <w:insideH w:val="single" w:color="auto" w:sz="4"/>
        <w:insideV w:val="single" w:color="auto" w:sz="4"/>
      </w:tblBorders>
    </w:tblPr>
    <w:tblGrid>
      <w:gridCol w:w="5000"/>
      <w:gridCol w:w="4360"/>
    </w:tblGrid>
    <w:tr>
      <w:tc>
        <w:tcPr>
          <w:tcW w:type="dxa" w:w="5000"/>
          <w:tcBorders>
            <w:top w:val="single" w:color="D0D8EC" w:sz="1"/>
            <w:left w:val="single" w:color="FFFFFF" w:sz="1"/>
            <w:bottom w:val="single" w:color="FFFFFF" w:sz="1"/>
            <w:right w:val="single" w:color="FFFFFF" w:sz="1"/>
          </w:tcBorders>
        </w:tcPr>
        <w:p>
          <w:r>
            <w:rPr>
              <w:rFonts w:ascii="Calibri" w:cs="Calibri" w:eastAsia="Calibri" w:hAnsi="Calibri"/>
              <w:color w:val="555555"/>
              <w:sz w:val="16"/>
              <w:szCs w:val="16"/>
            </w:rPr>
            <w:t xml:space="preserve">Step 2 — Business Process Analysis | Interview Reference Document</w:t>
          </w:r>
        </w:p>
      </w:tc>
      <w:tc>
        <w:tcPr>
          <w:tcW w:type="dxa" w:w="4360"/>
          <w:tcBorders>
            <w:top w:val="single" w:color="D0D8EC" w:sz="1"/>
            <w:left w:val="single" w:color="FFFFFF" w:sz="1"/>
            <w:bottom w:val="single" w:color="FFFFFF" w:sz="1"/>
            <w:right w:val="single" w:color="FFFFFF" w:sz="1"/>
          </w:tcBorders>
        </w:tcPr>
        <w:p>
          <w:pPr>
            <w:jc w:val="right"/>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C8A96E" w:sz="3"/>
        <w:right w:val="none"/>
        <w:insideH w:val="single" w:color="auto" w:sz="4"/>
        <w:insideV w:val="single" w:color="auto" w:sz="4"/>
      </w:tblBorders>
    </w:tblPr>
    <w:tblGrid>
      <w:gridCol w:w="6000"/>
      <w:gridCol w:w="3360"/>
    </w:tblGrid>
    <w:tr>
      <w:tc>
        <w:tcPr>
          <w:tcW w:type="dxa" w:w="6000"/>
          <w:tcBorders>
            <w:top w:val="single" w:color="FFFFFF" w:sz="1"/>
            <w:left w:val="single" w:color="FFFFFF" w:sz="1"/>
            <w:bottom w:val="single" w:color="C8A96E" w:sz="1"/>
            <w:right w:val="single" w:color="FFFFFF" w:sz="1"/>
          </w:tcBorders>
        </w:tcPr>
        <w:p>
          <w:r>
            <w:rPr>
              <w:rFonts w:ascii="Calibri" w:cs="Calibri" w:eastAsia="Calibri" w:hAnsi="Calibri"/>
              <w:b/>
              <w:bCs/>
              <w:color w:val="1A2E5A"/>
              <w:sz w:val="18"/>
              <w:szCs w:val="18"/>
            </w:rPr>
            <w:t xml:space="preserve">RetailSphere — BPA-001 Interview Reference</w:t>
          </w:r>
        </w:p>
      </w:tc>
      <w:tc>
        <w:tcPr>
          <w:tcW w:type="dxa" w:w="3360"/>
          <w:tcBorders>
            <w:top w:val="single" w:color="FFFFFF" w:sz="1"/>
            <w:left w:val="single" w:color="FFFFFF" w:sz="1"/>
            <w:bottom w:val="single" w:color="C8A96E" w:sz="1"/>
            <w:right w:val="single" w:color="FFFFFF" w:sz="1"/>
          </w:tcBorders>
        </w:tcPr>
        <w:p>
          <w:pPr>
            <w:jc w:val="right"/>
          </w:pPr>
          <w:r>
            <w:rPr>
              <w:rFonts w:ascii="Calibri" w:cs="Calibri" w:eastAsia="Calibri" w:hAnsi="Calibri"/>
              <w:color w:val="555555"/>
              <w:sz w:val="16"/>
              <w:szCs w:val="16"/>
            </w:rPr>
            <w:t xml:space="preserve">Priya Naidoo — Customer Loyalty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2026-05-01T12:48:02.603Z</dcterms:created>
  <dcterms:modified xsi:type="dcterms:W3CDTF">2026-05-01T12:48:02.603Z</dcterms:modified>
</cp:coreProperties>
</file>

<file path=docProps/custom.xml><?xml version="1.0" encoding="utf-8"?>
<Properties xmlns="http://schemas.openxmlformats.org/officeDocument/2006/custom-properties" xmlns:vt="http://schemas.openxmlformats.org/officeDocument/2006/docPropsVTypes"/>
</file>