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120" w:before="0"/>
      </w:pPr>
      <w:r>
        <w:rPr>
          <w:rFonts w:ascii="Calibri" w:cs="Calibri" w:eastAsia="Calibri" w:hAnsi="Calibri"/>
          <w:color w:val="555555"/>
          <w:sz w:val="20"/>
          <w:szCs w:val="20"/>
        </w:rPr>
        <w:t xml:space="preserve">Data Platform Programme</w:t>
      </w:r>
    </w:p>
    <w:p>
      <w:pPr>
        <w:spacing w:after="120" w:before="0"/>
      </w:pPr>
      <w:r>
        <w:rPr>
          <w:rFonts w:ascii="Calibri" w:cs="Calibri" w:eastAsia="Calibri" w:hAnsi="Calibri"/>
          <w:b/>
          <w:bCs/>
          <w:color w:val="1A2E5A"/>
          <w:sz w:val="56"/>
          <w:szCs w:val="56"/>
        </w:rPr>
        <w:t xml:space="preserve">Project Plan</w:t>
      </w:r>
    </w:p>
    <w:p>
      <w:pPr>
        <w:pBdr>
          <w:bottom w:val="single" w:color="C8A96E" w:sz="6" w:space="8"/>
        </w:pBdr>
        <w:spacing w:after="400" w:before="0"/>
      </w:pPr>
      <w:r>
        <w:rPr>
          <w:rFonts w:ascii="Calibri" w:cs="Calibri" w:eastAsia="Calibri" w:hAnsi="Calibri"/>
          <w:i/>
          <w:iCs/>
          <w:color w:val="555555"/>
          <w:sz w:val="24"/>
          <w:szCs w:val="24"/>
        </w:rPr>
        <w:t xml:space="preserve">18-Step Design and Build Roadmap — April 2026 to February 2027</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Document ID</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PP-001</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Version</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1.0</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Date</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5 May 2026</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Author</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Thozamile Mbalo — Data Solutions Architect</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Presented to</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N. Mahlangu (CDO) and J. van der Merwe (Finance)</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320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bCs/>
                <w:color w:val="7A5C00"/>
                <w:sz w:val="18"/>
                <w:szCs w:val="18"/>
              </w:rPr>
              <w:t xml:space="preserve">Phase 1 In Progress — Step 2 of 18 Complete</w:t>
            </w:r>
          </w:p>
        </w:tc>
      </w:tr>
    </w:tbl>
    <w:p>
      <w:pPr>
        <w:spacing w:after="0" w:before="4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Purpose</w:t>
      </w:r>
    </w:p>
    <w:p>
      <w:pPr>
        <w:spacing w:after="80" w:before="80"/>
        <w:jc w:val="both"/>
      </w:pPr>
      <w:r>
        <w:rPr>
          <w:rFonts w:ascii="Calibri" w:cs="Calibri" w:eastAsia="Calibri" w:hAnsi="Calibri"/>
          <w:b w:val="false"/>
          <w:bCs w:val="false"/>
          <w:i w:val="false"/>
          <w:iCs w:val="false"/>
          <w:color w:val="1A1A1A"/>
          <w:sz w:val="20"/>
          <w:szCs w:val="20"/>
        </w:rPr>
        <w:t xml:space="preserve">This document presents the project plan for the RetailSphere (Pty) Ltd Data Platform Programme. It defines the eight phases of work required to design and build a complete, end-to-end data platform — from business domain identification through to live dashboards and showcase deployment.</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The plan covers 18 steps across two major phases — a 12-step design phase and a 6-step build phase — with a realistic timeline of April 2026 to February 2027 based on approximately 2 to 3 hours of dedicated work per day.</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This document is presented to the CDO and Group Financial Controller for visibility, milestone awareness, and to surface the two constraints that require their specific attention.</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Critical Constraints</w:t>
      </w:r>
    </w:p>
    <w:p>
      <w:pPr>
        <w:spacing w:after="80" w:before="80"/>
        <w:jc w:val="left"/>
      </w:pPr>
      <w:r>
        <w:rPr>
          <w:rFonts w:ascii="Calibri" w:cs="Calibri" w:eastAsia="Calibri" w:hAnsi="Calibri"/>
          <w:b w:val="false"/>
          <w:bCs w:val="false"/>
          <w:i w:val="false"/>
          <w:iCs w:val="false"/>
          <w:color w:val="1A1A1A"/>
          <w:sz w:val="20"/>
          <w:szCs w:val="20"/>
        </w:rPr>
        <w:t xml:space="preserve">Two constraints have been identified that affect the programme timeline and require formal acknowledgement from programme stakeholders.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Constraint 1 — ADR-001 and ADR-002 Are Critical Path Dependencies</w:t>
            </w:r>
          </w:p>
          <w:p>
            <w:pPr>
              <w:spacing w:after="40" w:before="40"/>
            </w:pPr>
            <w:r>
              <w:rPr>
                <w:rFonts w:ascii="Calibri" w:cs="Calibri" w:eastAsia="Calibri" w:hAnsi="Calibri"/>
                <w:b w:val="false"/>
                <w:bCs w:val="false"/>
                <w:i w:val="false"/>
                <w:iCs w:val="false"/>
                <w:color w:val="1A1A1A"/>
                <w:sz w:val="19"/>
                <w:szCs w:val="19"/>
              </w:rPr>
              <w:t xml:space="preserve">The Master Product Identifier Strategy (ADR-001) and the Unified Customer Identity Resolution Strategy (ADR-002) must be formally agreed and signed off in Step 6 before Step 7 dimensional model design can be finalised. Every customer-level metric and every cross-channel product metric across all six domains is blocked until these two decisions are made. Delay in ADR resolution directly delays Step 7 and every subsequent step.</w:t>
            </w:r>
          </w:p>
          <w:p>
            <w:pPr>
              <w:spacing w:after="40" w:before="40"/>
            </w:pPr>
            <w:r>
              <w:rPr>
                <w:rFonts w:ascii="Calibri" w:cs="Calibri" w:eastAsia="Calibri" w:hAnsi="Calibri"/>
                <w:b/>
                <w:bCs/>
                <w:i w:val="false"/>
                <w:iCs w:val="false"/>
                <w:color w:val="8B1A1A"/>
                <w:sz w:val="19"/>
                <w:szCs w:val="19"/>
              </w:rPr>
              <w:t xml:space="preserve">Action required: CDO to prioritise ADR-001 and ADR-002 sign-off as the highest priority decisions in Step 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Constraint 2 — Legacy DW Decommission and Excel Parallel Running</w:t>
            </w:r>
          </w:p>
          <w:p>
            <w:pPr>
              <w:spacing w:after="40" w:before="40"/>
            </w:pPr>
            <w:r>
              <w:rPr>
                <w:rFonts w:ascii="Calibri" w:cs="Calibri" w:eastAsia="Calibri" w:hAnsi="Calibri"/>
                <w:b w:val="false"/>
                <w:bCs w:val="false"/>
                <w:i w:val="false"/>
                <w:iCs w:val="false"/>
                <w:color w:val="1A1A1A"/>
                <w:sz w:val="19"/>
                <w:szCs w:val="19"/>
              </w:rPr>
              <w:t xml:space="preserve">Johan van der Merwe has confirmed two conditions for Finance domain sign-off. First, the platform and Excel workbooks must run simultaneously for a minimum of two consecutive months before Excel is decommissioned — Johan's sign-off required each month. Second, the Legacy SQL Server Data Warehouse must not be decommissioned until both undocumented Finance reports have been discovered, replicated, and validated by Johan. The CDO's Q3 2026 decommission deadline for the Legacy DW may need to be revised based on the discovery and replication timeline.</w:t>
            </w:r>
          </w:p>
          <w:p>
            <w:pPr>
              <w:spacing w:after="40" w:before="40"/>
            </w:pPr>
            <w:r>
              <w:rPr>
                <w:rFonts w:ascii="Calibri" w:cs="Calibri" w:eastAsia="Calibri" w:hAnsi="Calibri"/>
                <w:b/>
                <w:bCs/>
                <w:i w:val="false"/>
                <w:iCs w:val="false"/>
                <w:color w:val="7A5C00"/>
                <w:sz w:val="19"/>
                <w:szCs w:val="19"/>
              </w:rPr>
              <w:t xml:space="preserve">Action required: CDO and Financial Controller to agree revised Legacy DW decommission timeline based on Step 5 source system investigation findings.</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Programme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400"/>
        <w:gridCol w:w="1400"/>
        <w:gridCol w:w="2400"/>
        <w:gridCol w:w="1560"/>
      </w:tblGrid>
      <w:tr>
        <w:trPr>
          <w:tblHeader/>
        </w:trPr>
        <w:tc>
          <w:tcPr>
            <w:tcW w:type="dxa" w:w="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1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Name</w:t>
            </w:r>
          </w:p>
        </w:tc>
        <w:tc>
          <w:tcPr>
            <w:tcW w:type="dxa" w:w="1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Steps</w:t>
            </w:r>
          </w:p>
        </w:tc>
        <w:tc>
          <w:tcPr>
            <w:tcW w:type="dxa" w:w="1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Start</w:t>
            </w:r>
          </w:p>
        </w:tc>
        <w:tc>
          <w:tcPr>
            <w:tcW w:type="dxa" w:w="1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End</w:t>
            </w:r>
          </w:p>
        </w:tc>
        <w:tc>
          <w:tcPr>
            <w:tcW w:type="dxa" w:w="2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Milestone</w:t>
            </w:r>
          </w:p>
        </w:tc>
        <w:tc>
          <w:tcPr>
            <w:tcW w:type="dxa" w:w="1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8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1</w:t>
            </w:r>
          </w:p>
        </w:tc>
        <w:tc>
          <w:tcPr>
            <w:tcW w:type="dxa" w:w="1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Design</w:t>
            </w:r>
          </w:p>
        </w:tc>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1-12</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Apr 2026</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Oct 2026</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Step 7 complete — start applying</w:t>
            </w:r>
          </w:p>
        </w:tc>
        <w:tc>
          <w:tcPr>
            <w:tcW w:type="dxa" w:w="1560"/>
            <w:tcBorders>
              <w:top w:val="single" w:color="D0D8EC" w:sz="1"/>
              <w:left w:val="single" w:color="D0D8EC" w:sz="1"/>
              <w:bottom w:val="single" w:color="D0D8EC" w:sz="1"/>
              <w:right w:val="single" w:color="D0D8EC" w:sz="1"/>
            </w:tcBorders>
            <w:shd w:fill="FDF6E3" w:val="clear"/>
            <w:tcMar>
              <w:top w:type="dxa" w:w="90"/>
              <w:left w:type="dxa" w:w="140"/>
              <w:bottom w:type="dxa" w:w="90"/>
              <w:right w:type="dxa" w:w="140"/>
            </w:tcMar>
            <w:vAlign w:val="center"/>
          </w:tcPr>
          <w:p>
            <w:pPr>
              <w:jc w:val="center"/>
            </w:pPr>
            <w:r>
              <w:rPr>
                <w:rFonts w:ascii="Calibri" w:cs="Calibri" w:eastAsia="Calibri" w:hAnsi="Calibri"/>
                <w:b/>
                <w:bCs/>
                <w:color w:val="7A5C00"/>
                <w:sz w:val="19"/>
                <w:szCs w:val="19"/>
              </w:rPr>
              <w:t xml:space="preserve">In Progress</w:t>
            </w:r>
          </w:p>
        </w:tc>
      </w:tr>
      <w:tr>
        <w:tc>
          <w:tcPr>
            <w:tcW w:type="dxa" w:w="8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2</w:t>
            </w:r>
          </w:p>
        </w:tc>
        <w:tc>
          <w:tcPr>
            <w:tcW w:type="dxa" w:w="1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Bronze Layer</w:t>
            </w:r>
          </w:p>
        </w:tc>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13</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Oct 2026</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Nov 2026</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Sample data + Bronze DDL complete</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3</w:t>
            </w:r>
          </w:p>
        </w:tc>
        <w:tc>
          <w:tcPr>
            <w:tcW w:type="dxa" w:w="1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Silver Layer</w:t>
            </w:r>
          </w:p>
        </w:tc>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14</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Nov 2026</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Dec 2026</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dbt Silver models running</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4</w:t>
            </w:r>
          </w:p>
        </w:tc>
        <w:tc>
          <w:tcPr>
            <w:tcW w:type="dxa" w:w="1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Gold Layer</w:t>
            </w:r>
          </w:p>
        </w:tc>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15</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Dec 2026</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Dec 2026</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Star schema complete</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5</w:t>
            </w:r>
          </w:p>
        </w:tc>
        <w:tc>
          <w:tcPr>
            <w:tcW w:type="dxa" w:w="1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Orchestration</w:t>
            </w:r>
          </w:p>
        </w:tc>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16</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Dec 2026</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Jan 2027</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End-to-end pipeline running</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6</w:t>
            </w:r>
          </w:p>
        </w:tc>
        <w:tc>
          <w:tcPr>
            <w:tcW w:type="dxa" w:w="1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Reporting</w:t>
            </w:r>
          </w:p>
        </w:tc>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17</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Jan 2027</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Jan 2027</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5 Power BI dashboards live</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7</w:t>
            </w:r>
          </w:p>
        </w:tc>
        <w:tc>
          <w:tcPr>
            <w:tcW w:type="dxa" w:w="1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Metadata + Testing</w:t>
            </w:r>
          </w:p>
        </w:tc>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11+12</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Jan 2027</w:t>
            </w:r>
          </w:p>
        </w:tc>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Jan 2027</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UAT signed off per domain</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r>
        <w:tc>
          <w:tcPr>
            <w:tcW w:type="dxa" w:w="8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8</w:t>
            </w:r>
          </w:p>
        </w:tc>
        <w:tc>
          <w:tcPr>
            <w:tcW w:type="dxa" w:w="1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1A1A"/>
                <w:sz w:val="19"/>
                <w:szCs w:val="19"/>
              </w:rPr>
              <w:t xml:space="preserve">Showcase</w:t>
            </w:r>
          </w:p>
        </w:tc>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18</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Feb 2027</w:t>
            </w:r>
          </w:p>
        </w:tc>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Feb 2027</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Portfolio complete. Loom recorded.</w:t>
            </w:r>
          </w:p>
        </w:tc>
        <w:tc>
          <w:tcPr>
            <w:tcW w:type="dxa" w:w="15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center"/>
          </w:tcPr>
          <w:p>
            <w:pPr>
              <w:jc w:val="center"/>
            </w:pPr>
            <w:r>
              <w:rPr>
                <w:rFonts w:ascii="Calibri" w:cs="Calibri" w:eastAsia="Calibri" w:hAnsi="Calibri"/>
                <w:b/>
                <w:bCs/>
                <w:color w:val="555555"/>
                <w:sz w:val="19"/>
                <w:szCs w:val="19"/>
              </w:rPr>
              <w:t xml:space="preserve">Not Started</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Phase Detail</w:t>
      </w:r>
    </w:p>
    <w:p>
      <w:pPr>
        <w:spacing w:after="80" w:before="80"/>
        <w:jc w:val="left"/>
      </w:pPr>
      <w:r>
        <w:rPr>
          <w:rFonts w:ascii="Calibri" w:cs="Calibri" w:eastAsia="Calibri" w:hAnsi="Calibri"/>
          <w:b w:val="false"/>
          <w:bCs w:val="false"/>
          <w:i w:val="false"/>
          <w:iCs w:val="false"/>
          <w:color w:val="1A1A1A"/>
          <w:sz w:val="20"/>
          <w:szCs w:val="20"/>
        </w:rPr>
        <w:t xml:space="preserve">Each phase is detailed below with steps, deliverables, risks, and current completion status.</w:t>
      </w:r>
    </w:p>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1 — Design  |  Steps 1-12  |  April 2026 to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bCs/>
                <w:color w:val="7A5C00"/>
                <w:sz w:val="18"/>
                <w:szCs w:val="18"/>
              </w:rPr>
              <w:t xml:space="preserve">In Progress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April 2026 to October 2026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Step 7 complete — dimensional model designed. Start applying for DSA roles.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BDR-001, BPA-001, FRD-001, NFR-001, SSI-001, RR-001, ADR-001 to ADR-007, DM-001, STM-001, PDD-001, DID-001, Metadata framework, Test plan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color w:val="166534"/>
                <w:sz w:val="18"/>
                <w:szCs w:val="18"/>
              </w:rPr>
              <w:t xml:space="preserve">Steps 1 and 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Steps 3 through 12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ADR-001 and ADR-002 are critical path dependencies. All downstream design blocked until resolved in Step 6.</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2 — Build Bronze Layer  |  Step 13  |  October 2026 to November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October 2026 to November 2026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Sample data generated with problems baked in. Bronze DDL complete. Python ingestion scripts running.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Bronze database DDL, Python ingestion scripts for all 6 source systems, Sample data CSVs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Data generation must include realistic problems — mismatched product IDs, mismatched customer IDs, GRN timestamp issues, late arriving records.</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3 — Build Silver Layer  |  Step 14  |  November 2026 to December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November 2026 to December 2026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dbt Silver models running. Identity resolution logic working. Data quality tests passing.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dbt Silver models, Identity resolution — product and customer, Data quality test suite, dbt documentation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dbt is a new tool — one transition week allocated between Phase 1 and Phase 2 to build familiarity before build begins.</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4 — Build Gold Layer  |  Step 15  |  December 2026 to December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December 2026 to December 2026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Star schema complete. All fact and dimension tables built. SCD Type 2 working on Customer dimension.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dbt Gold models, Star schema DDL, Fact tables — Sales, Inventory Periodic Snapshot, Replenishment Accumulating Snapshot, Contact History. Dimension tables — Customer, Product, Store, Date, Channel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ADR-002 must be resolved before Customer dimension can be finalised. ADR-001 must be resolved before Product dimension can be finalised.</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5 — Pipeline Orchestration  |  Step 16  |  December 2026 to January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December 2026 to January 2027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End-to-end pipeline running. Error handling and data quality checkpoints active. All alerts configured.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ADF pipeline definitions, Orchestration configuration, Error handling framework, Backdated posting alert, Opt-out propagation pipeline, Contact frequency breach alert, GL reconciliation check</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Azure Data Factory requires work Dev/Test subscription or personal Azure. Manager conversation required before using work environment.</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6 — Reporting and Dashboards  |  Step 17  |  January 2027 to January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January 2027 to January 2027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Five Power BI dashboards live. All stakeholder requirements from BPA-001 met.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Dashboard 1 — Procurement (Sipho). Dashboard 2 — Inventory (Zanele). Dashboard 3 — Sales and Marketing (Rethabile). Dashboard 4 — Customer Loyalty (Priya). Dashboard 5 — Finance (Johan — audit trail section one).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Johan's GL reconciliation report must reconcile to the cent before Finance dashboard goes live. Johan's condition: platform and Excel run simultaneously for two months before Excel decommissioned.</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7 — Metadata and Testing  |  Steps 11 and 12  |  January 2027 to January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January 2027 to January 2027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dbt documentation site live. Business glossary complete. UAT signed off by all five domain process owners.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dbt docs site, Business glossary, Column-level lineage, Data dictionary, UAT sign-off per domain, Regression test suite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Steps 11 and 12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UAT requires availability of all five process owners — Sipho, Zanele, Rethabile, Priya, and Johan. Schedule in advance.</w:t>
            </w:r>
          </w:p>
        </w:tc>
      </w:tr>
    </w:tbl>
    <w:p>
      <w:pPr>
        <w:spacing w:after="0" w:before="200"/>
      </w:pPr>
      <w:r>
        <w:t xml:space="preserve"/>
      </w:r>
    </w:p>
    <w:p>
      <w:pPr>
        <w:pBdr>
          <w:bottom w:val="single" w:color="D0D8EC" w:sz="2" w:space="4"/>
        </w:pBdr>
        <w:spacing w:after="120" w:before="200"/>
      </w:pPr>
      <w:r>
        <w:rPr>
          <w:rFonts w:ascii="Calibri" w:cs="Calibri" w:eastAsia="Calibri" w:hAnsi="Calibri"/>
          <w:b/>
          <w:bCs/>
          <w:color w:val="1A2E5A"/>
          <w:sz w:val="26"/>
          <w:szCs w:val="26"/>
        </w:rPr>
        <w:t xml:space="preserve">Phase 8 — Showcase and Deployment  |  Step 18  |  February 2027 to February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555555"/>
                <w:sz w:val="18"/>
                <w:szCs w:val="18"/>
              </w:rPr>
              <w:t xml:space="preserve">Not Started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Timeline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February 2027 to February 2027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Milestone</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End-to-end platform running on personal Azure. Loom video recorded. Portfolio PDF complete. LinkedIn article series published.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Owner</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 Mbalo</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Deliverables</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Live end-to-end pipeline on personal Azure ($20/month), Loom walkthrough video — 20 minutes, Portfolio PDF — one page summary, LinkedIn article series — 6 articles, GitHub repository — complete and documented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Completed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color w:val="555555"/>
                <w:sz w:val="18"/>
                <w:szCs w:val="18"/>
              </w:rPr>
              <w:t xml:space="preser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Remaining</w:t>
            </w:r>
          </w:p>
        </w:tc>
        <w:tc>
          <w:tcPr>
            <w:tcW w:type="dxa" w:w="73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All of Step 18</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Key Risks</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color w:val="8B1A1A"/>
                <w:sz w:val="18"/>
                <w:szCs w:val="18"/>
              </w:rPr>
              <w:t xml:space="preserve">Personal Azure budget $20/month. Use serverless and consumption-based services. Pause resources when not in use.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69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Language</w:t>
            </w:r>
          </w:p>
        </w:tc>
        <w:tc>
          <w:tcPr>
            <w:tcW w:type="dxa" w:w="69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Python, SQL, YAML</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Transformation</w:t>
            </w:r>
          </w:p>
        </w:tc>
        <w:tc>
          <w:tcPr>
            <w:tcW w:type="dxa" w:w="69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dbt (data build tool)</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Database</w:t>
            </w:r>
          </w:p>
        </w:tc>
        <w:tc>
          <w:tcPr>
            <w:tcW w:type="dxa" w:w="69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SQL Server Developer Edition (local) + Azure Synapse Analytics</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Orchestration</w:t>
            </w:r>
          </w:p>
        </w:tc>
        <w:tc>
          <w:tcPr>
            <w:tcW w:type="dxa" w:w="69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Azure Data Factory</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Storage</w:t>
            </w:r>
          </w:p>
        </w:tc>
        <w:tc>
          <w:tcPr>
            <w:tcW w:type="dxa" w:w="69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Azure Blob Storage</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Reporting</w:t>
            </w:r>
          </w:p>
        </w:tc>
        <w:tc>
          <w:tcPr>
            <w:tcW w:type="dxa" w:w="69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Power BI Desktop + Power BI Service</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Version Control</w:t>
            </w:r>
          </w:p>
        </w:tc>
        <w:tc>
          <w:tcPr>
            <w:tcW w:type="dxa" w:w="69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Git + GitHub</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Documentation</w:t>
            </w:r>
          </w:p>
        </w:tc>
        <w:tc>
          <w:tcPr>
            <w:tcW w:type="dxa" w:w="69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Microsoft Word + draw.io + dbt docs</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Project Tracking</w:t>
            </w:r>
          </w:p>
        </w:tc>
        <w:tc>
          <w:tcPr>
            <w:tcW w:type="dxa" w:w="69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Notion + GitHub README</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Cloud</w:t>
            </w:r>
          </w:p>
        </w:tc>
        <w:tc>
          <w:tcPr>
            <w:tcW w:type="dxa" w:w="69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Personal Azure ($20/month) + Work Dev/Test subscription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Job Application Strategy</w:t>
      </w:r>
    </w:p>
    <w:p>
      <w:pPr>
        <w:spacing w:after="80" w:before="80"/>
        <w:jc w:val="both"/>
      </w:pPr>
      <w:r>
        <w:rPr>
          <w:rFonts w:ascii="Calibri" w:cs="Calibri" w:eastAsia="Calibri" w:hAnsi="Calibri"/>
          <w:b w:val="false"/>
          <w:bCs w:val="false"/>
          <w:i w:val="false"/>
          <w:iCs w:val="false"/>
          <w:color w:val="1A1A1A"/>
          <w:sz w:val="20"/>
          <w:szCs w:val="20"/>
        </w:rPr>
        <w:t xml:space="preserve">The portfolio build is designed to enable job applications before the full platform is complete. The following milestones trigger specific career actions.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Milestone</w:t>
            </w:r>
          </w:p>
        </w:tc>
        <w:tc>
          <w:tcPr>
            <w:tcW w:type="dxa" w:w="33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w:t>
            </w:r>
          </w:p>
        </w:tc>
        <w:tc>
          <w:tcPr>
            <w:tcW w:type="dxa" w:w="3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Rationale</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Today — GitHub live</w:t>
            </w:r>
          </w:p>
        </w:tc>
        <w:tc>
          <w:tcPr>
            <w:tcW w:type="dxa" w:w="33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Create repository. Upload all current documents. Update README.</w:t>
            </w:r>
          </w:p>
        </w:tc>
        <w:tc>
          <w:tcPr>
            <w:tcW w:type="dxa" w:w="3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Evidence of work begins accumulating from day one.</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Step 3 complete</w:t>
            </w:r>
          </w:p>
        </w:tc>
        <w:tc>
          <w:tcPr>
            <w:tcW w:type="dxa" w:w="33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First LinkedIn post — insight from stakeholder interviews.</w:t>
            </w:r>
          </w:p>
        </w:tc>
        <w:tc>
          <w:tcPr>
            <w:tcW w:type="dxa" w:w="3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Insight posts attract more attention than certificate posts.</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Step 5 complete</w:t>
            </w:r>
          </w:p>
        </w:tc>
        <w:tc>
          <w:tcPr>
            <w:tcW w:type="dxa" w:w="33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Conversation with Betway manager. Internal opportunity exploration.</w:t>
            </w:r>
          </w:p>
        </w:tc>
        <w:tc>
          <w:tcPr>
            <w:tcW w:type="dxa" w:w="3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Enough portfolio depth to have a credible conversation.</w:t>
            </w:r>
          </w:p>
        </w:tc>
      </w:tr>
      <w:tr>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Step 7 complete</w:t>
            </w:r>
          </w:p>
        </w:tc>
        <w:tc>
          <w:tcPr>
            <w:tcW w:type="dxa" w:w="33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Begin applying for DSA roles. Update LinkedIn headline.</w:t>
            </w:r>
          </w:p>
        </w:tc>
        <w:tc>
          <w:tcPr>
            <w:tcW w:type="dxa" w:w="36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Eight professional documents covering full DSA scope. Strong enough portfolio to interview.</w:t>
            </w:r>
          </w:p>
        </w:tc>
      </w:tr>
      <w:tr>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Step 18 complete</w:t>
            </w:r>
          </w:p>
        </w:tc>
        <w:tc>
          <w:tcPr>
            <w:tcW w:type="dxa" w:w="33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Full portfolio launch. LinkedIn article series. Loom video.</w:t>
            </w:r>
          </w:p>
        </w:tc>
        <w:tc>
          <w:tcPr>
            <w:tcW w:type="dxa" w:w="36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Complete end-to-end working platform. Strongest possible portfolio position.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Immediate Next Steps</w:t>
      </w:r>
    </w:p>
    <w:p>
      <w:pPr>
        <w:spacing w:after="60" w:before="60"/>
        <w:ind w:left="400"/>
      </w:pPr>
      <w:r>
        <w:rPr>
          <w:rFonts w:ascii="Calibri" w:cs="Calibri" w:eastAsia="Calibri" w:hAnsi="Calibri"/>
          <w:color w:val="1A1A1A"/>
          <w:sz w:val="20"/>
          <w:szCs w:val="20"/>
        </w:rPr>
        <w:t xml:space="preserve">• 1.  CDO sign-off on Project Plan PP-001 v1.0.</w:t>
      </w:r>
    </w:p>
    <w:p>
      <w:pPr>
        <w:spacing w:after="60" w:before="60"/>
        <w:ind w:left="400"/>
      </w:pPr>
      <w:r>
        <w:rPr>
          <w:rFonts w:ascii="Calibri" w:cs="Calibri" w:eastAsia="Calibri" w:hAnsi="Calibri"/>
          <w:color w:val="1A1A1A"/>
          <w:sz w:val="20"/>
          <w:szCs w:val="20"/>
        </w:rPr>
        <w:t xml:space="preserve">• 2.  CDO acknowledgement of two critical constraints — ADR-001/ADR-002 priority and Legacy DW decommission timeline.</w:t>
      </w:r>
    </w:p>
    <w:p>
      <w:pPr>
        <w:spacing w:after="60" w:before="60"/>
        <w:ind w:left="400"/>
      </w:pPr>
      <w:r>
        <w:rPr>
          <w:rFonts w:ascii="Calibri" w:cs="Calibri" w:eastAsia="Calibri" w:hAnsi="Calibri"/>
          <w:color w:val="1A1A1A"/>
          <w:sz w:val="20"/>
          <w:szCs w:val="20"/>
        </w:rPr>
        <w:t xml:space="preserve">• 3.  Proceed to Step 3 — Functional Requirements Definition.</w:t>
      </w:r>
    </w:p>
    <w:p>
      <w:pPr>
        <w:spacing w:after="60" w:before="60"/>
        <w:ind w:left="400"/>
      </w:pPr>
      <w:r>
        <w:rPr>
          <w:rFonts w:ascii="Calibri" w:cs="Calibri" w:eastAsia="Calibri" w:hAnsi="Calibri"/>
          <w:color w:val="1A1A1A"/>
          <w:sz w:val="20"/>
          <w:szCs w:val="20"/>
        </w:rPr>
        <w:t xml:space="preserve">• 4.  Upload Project Plan to GitHub: docs/project-plan/PP-001_Project_Plan_v1.0.docx</w:t>
      </w:r>
    </w:p>
    <w:p>
      <w:pPr>
        <w:spacing w:after="60" w:before="60"/>
        <w:ind w:left="400"/>
      </w:pPr>
      <w:r>
        <w:rPr>
          <w:rFonts w:ascii="Calibri" w:cs="Calibri" w:eastAsia="Calibri" w:hAnsi="Calibri"/>
          <w:color w:val="1A1A1A"/>
          <w:sz w:val="20"/>
          <w:szCs w:val="20"/>
        </w:rPr>
        <w:t xml:space="preserve">• 5.  Update Notion Step Progress Tracker — Step 2 status confirmed Complete.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Document Change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160"/>
        <w:gridCol w:w="4600"/>
      </w:tblGrid>
      <w:tr>
        <w:trPr>
          <w:tblHeader/>
        </w:trPr>
        <w:tc>
          <w:tcPr>
            <w:tcW w:type="dxa" w:w="1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Version</w:t>
            </w:r>
          </w:p>
        </w:tc>
        <w:tc>
          <w:tcPr>
            <w:tcW w:type="dxa" w:w="1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Date</w:t>
            </w:r>
          </w:p>
        </w:tc>
        <w:tc>
          <w:tcPr>
            <w:tcW w:type="dxa" w:w="21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Author</w:t>
            </w:r>
          </w:p>
        </w:tc>
        <w:tc>
          <w:tcPr>
            <w:tcW w:type="dxa" w:w="4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10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bCs/>
                <w:i w:val="false"/>
                <w:iCs w:val="false"/>
                <w:color w:val="166534"/>
                <w:sz w:val="19"/>
                <w:szCs w:val="19"/>
              </w:rPr>
              <w:t xml:space="preserve">1.0</w:t>
            </w:r>
          </w:p>
        </w:tc>
        <w:tc>
          <w:tcPr>
            <w:tcW w:type="dxa" w:w="16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5 May 2026</w:t>
            </w:r>
          </w:p>
        </w:tc>
        <w:tc>
          <w:tcPr>
            <w:tcW w:type="dxa" w:w="216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T. Mbalo</w:t>
            </w:r>
          </w:p>
        </w:tc>
        <w:tc>
          <w:tcPr>
            <w:tcW w:type="dxa" w:w="46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Initial release. 8 phases. 18 steps. April 2026 to February 2027 timeline.</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Document —</w:t>
      </w:r>
    </w:p>
    <w:p>
      <w:pPr>
        <w:spacing w:after="0" w:before="60"/>
      </w:pPr>
      <w:r>
        <w:rPr>
          <w:rFonts w:ascii="Calibri" w:cs="Calibri" w:eastAsia="Calibri" w:hAnsi="Calibri"/>
          <w:i/>
          <w:iCs/>
          <w:color w:val="555555"/>
          <w:sz w:val="16"/>
          <w:szCs w:val="16"/>
        </w:rPr>
        <w:t xml:space="preserve">PP-001 v1.0 | RetailSphere Data Platform Programme | Confidential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PP-001 | Project Plan | RetailSphere Data Platform Programme</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(Pty) Ltd — Data Platform Programme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2026-05-05T11:23:53.522Z</dcterms:created>
  <dcterms:modified xsi:type="dcterms:W3CDTF">2026-05-05T11:23:53.537Z</dcterms:modified>
</cp:coreProperties>
</file>

<file path=docProps/custom.xml><?xml version="1.0" encoding="utf-8"?>
<Properties xmlns="http://schemas.openxmlformats.org/officeDocument/2006/custom-properties" xmlns:vt="http://schemas.openxmlformats.org/officeDocument/2006/docPropsVTypes"/>
</file>