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429F9532" w:rsidR="00E74F73" w:rsidRDefault="00E74F73" w:rsidP="007C6396">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w:t>
      </w:r>
      <w:r w:rsidR="00DA5767">
        <w:rPr>
          <w:rFonts w:ascii="Calibri" w:hAnsi="Calibri" w:cs="Calibri"/>
          <w:b/>
          <w:bCs/>
          <w:color w:val="C8A96E"/>
          <w:spacing w:val="30"/>
          <w:sz w:val="20"/>
          <w:szCs w:val="20"/>
          <w:lang w:val="en-US"/>
        </w:rPr>
        <w:t>P</w:t>
      </w:r>
      <w:r w:rsidRPr="00E74F73">
        <w:rPr>
          <w:rFonts w:ascii="Calibri" w:hAnsi="Calibri" w:cs="Calibri"/>
          <w:b/>
          <w:bCs/>
          <w:color w:val="C8A96E"/>
          <w:spacing w:val="30"/>
          <w:sz w:val="20"/>
          <w:szCs w:val="20"/>
          <w:lang w:val="en-US"/>
        </w:rPr>
        <w:t>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6FD8B77B" w:rsidR="0053707D" w:rsidRDefault="003F0585" w:rsidP="0053707D">
      <w:pPr>
        <w:rPr>
          <w:rFonts w:ascii="Calibri" w:hAnsi="Calibri" w:cs="Calibri"/>
          <w:b/>
          <w:bCs/>
          <w:color w:val="1A2E5A"/>
          <w:spacing w:val="30"/>
          <w:sz w:val="56"/>
          <w:szCs w:val="56"/>
        </w:rPr>
      </w:pPr>
      <w:r>
        <w:rPr>
          <w:rFonts w:ascii="Calibri" w:hAnsi="Calibri" w:cs="Calibri"/>
          <w:b/>
          <w:bCs/>
          <w:color w:val="1A2E5A"/>
          <w:spacing w:val="30"/>
          <w:sz w:val="56"/>
          <w:szCs w:val="56"/>
        </w:rPr>
        <w:t>Metadata Strategy</w:t>
      </w:r>
    </w:p>
    <w:p w14:paraId="2D9A2952" w14:textId="646666BC"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sidR="00B723C7">
        <w:rPr>
          <w:rFonts w:ascii="Calibri" w:hAnsi="Calibri" w:cs="Calibri"/>
          <w:i/>
          <w:iCs/>
          <w:color w:val="555555"/>
          <w:spacing w:val="30"/>
          <w:sz w:val="24"/>
          <w:szCs w:val="24"/>
        </w:rPr>
        <w:t xml:space="preserve"> </w:t>
      </w:r>
      <w:r w:rsidR="00EA3B59">
        <w:rPr>
          <w:rFonts w:ascii="Calibri" w:hAnsi="Calibri" w:cs="Calibri"/>
          <w:i/>
          <w:iCs/>
          <w:color w:val="555555"/>
          <w:spacing w:val="30"/>
          <w:sz w:val="24"/>
          <w:szCs w:val="24"/>
        </w:rPr>
        <w:t>1</w:t>
      </w:r>
      <w:r w:rsidR="003F0585">
        <w:rPr>
          <w:rFonts w:ascii="Calibri" w:hAnsi="Calibri" w:cs="Calibri"/>
          <w:i/>
          <w:iCs/>
          <w:color w:val="555555"/>
          <w:spacing w:val="30"/>
          <w:sz w:val="24"/>
          <w:szCs w:val="24"/>
        </w:rPr>
        <w:t>1</w:t>
      </w:r>
      <w:r w:rsidRPr="00F309E8">
        <w:rPr>
          <w:rFonts w:ascii="Calibri" w:hAnsi="Calibri" w:cs="Calibri"/>
          <w:i/>
          <w:iCs/>
          <w:color w:val="555555"/>
          <w:spacing w:val="30"/>
          <w:sz w:val="24"/>
          <w:szCs w:val="24"/>
        </w:rPr>
        <w:t xml:space="preserve"> Deliverable —</w:t>
      </w:r>
      <w:r w:rsidR="00EA3B59">
        <w:rPr>
          <w:rFonts w:ascii="Calibri" w:hAnsi="Calibri" w:cs="Calibri"/>
          <w:i/>
          <w:iCs/>
          <w:color w:val="555555"/>
          <w:spacing w:val="30"/>
          <w:sz w:val="24"/>
          <w:szCs w:val="24"/>
        </w:rPr>
        <w:t xml:space="preserve"> </w:t>
      </w:r>
      <w:r w:rsidR="003F0585">
        <w:rPr>
          <w:rFonts w:ascii="Calibri" w:hAnsi="Calibri" w:cs="Calibri"/>
          <w:i/>
          <w:iCs/>
          <w:color w:val="555555"/>
          <w:spacing w:val="30"/>
          <w:sz w:val="24"/>
          <w:szCs w:val="24"/>
        </w:rPr>
        <w:t>Metadata Strategy</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15A24BD5" w:rsidR="0053707D" w:rsidRPr="00E80CF1" w:rsidRDefault="003F0585" w:rsidP="00EF5256">
            <w:pPr>
              <w:rPr>
                <w:rFonts w:ascii="Calibri" w:hAnsi="Calibri" w:cs="Calibri"/>
                <w:color w:val="1A1A1A"/>
                <w:spacing w:val="30"/>
                <w:sz w:val="19"/>
                <w:szCs w:val="19"/>
              </w:rPr>
            </w:pPr>
            <w:r>
              <w:rPr>
                <w:rFonts w:ascii="Calibri" w:hAnsi="Calibri" w:cs="Calibri"/>
                <w:color w:val="1A1A1A"/>
                <w:spacing w:val="30"/>
                <w:sz w:val="19"/>
                <w:szCs w:val="19"/>
              </w:rPr>
              <w:t>MET</w:t>
            </w:r>
            <w:r w:rsidR="0053707D" w:rsidRPr="00E80CF1">
              <w:rPr>
                <w:rFonts w:ascii="Calibri" w:hAnsi="Calibri" w:cs="Calibri"/>
                <w:color w:val="1A1A1A"/>
                <w:spacing w:val="30"/>
                <w:sz w:val="19"/>
                <w:szCs w:val="19"/>
              </w:rPr>
              <w:t>-001</w:t>
            </w:r>
          </w:p>
        </w:tc>
      </w:tr>
      <w:tr w:rsidR="0053707D" w14:paraId="3884B558" w14:textId="77777777" w:rsidTr="00EF5256">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4BB0AC62" w:rsidR="0053707D" w:rsidRPr="00E80CF1" w:rsidRDefault="0053707D" w:rsidP="00EF5256">
            <w:pPr>
              <w:rPr>
                <w:rFonts w:ascii="Calibri" w:hAnsi="Calibri" w:cs="Calibri"/>
                <w:b/>
                <w:bCs/>
                <w:color w:val="166534"/>
                <w:spacing w:val="30"/>
                <w:sz w:val="19"/>
                <w:szCs w:val="19"/>
              </w:rPr>
            </w:pPr>
            <w:r w:rsidRPr="00E80CF1">
              <w:rPr>
                <w:rFonts w:ascii="Calibri" w:hAnsi="Calibri" w:cs="Calibri"/>
                <w:b/>
                <w:bCs/>
                <w:color w:val="166534"/>
                <w:spacing w:val="30"/>
                <w:sz w:val="19"/>
                <w:szCs w:val="19"/>
              </w:rPr>
              <w:t>1.0</w:t>
            </w:r>
            <w:r w:rsidR="00F33C49">
              <w:rPr>
                <w:rFonts w:ascii="Calibri" w:hAnsi="Calibri" w:cs="Calibri"/>
                <w:b/>
                <w:bCs/>
                <w:color w:val="166534"/>
                <w:spacing w:val="30"/>
                <w:sz w:val="19"/>
                <w:szCs w:val="19"/>
              </w:rPr>
              <w:t xml:space="preserve"> - Approved</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71568BD8" w:rsidR="0053707D" w:rsidRPr="00E80CF1" w:rsidRDefault="00F33C49" w:rsidP="00EF5256">
            <w:pPr>
              <w:rPr>
                <w:rFonts w:ascii="Calibri" w:hAnsi="Calibri" w:cs="Calibri"/>
                <w:color w:val="1A1A1A"/>
                <w:spacing w:val="30"/>
                <w:sz w:val="19"/>
                <w:szCs w:val="19"/>
              </w:rPr>
            </w:pPr>
            <w:r>
              <w:rPr>
                <w:rFonts w:ascii="Calibri" w:hAnsi="Calibri" w:cs="Calibri"/>
                <w:color w:val="1A1A1A"/>
                <w:spacing w:val="30"/>
                <w:sz w:val="19"/>
                <w:szCs w:val="19"/>
              </w:rPr>
              <w:t>16</w:t>
            </w:r>
            <w:r w:rsidR="00B723C7">
              <w:rPr>
                <w:rFonts w:ascii="Calibri" w:hAnsi="Calibri" w:cs="Calibri"/>
                <w:color w:val="1A1A1A"/>
                <w:spacing w:val="30"/>
                <w:sz w:val="19"/>
                <w:szCs w:val="19"/>
              </w:rPr>
              <w:t xml:space="preserve"> </w:t>
            </w:r>
            <w:r w:rsidR="00970988">
              <w:rPr>
                <w:rFonts w:ascii="Calibri" w:hAnsi="Calibri" w:cs="Calibri"/>
                <w:color w:val="1A1A1A"/>
                <w:spacing w:val="30"/>
                <w:sz w:val="19"/>
                <w:szCs w:val="19"/>
              </w:rPr>
              <w:t>September</w:t>
            </w:r>
            <w:r w:rsidR="0053707D" w:rsidRPr="00E80CF1">
              <w:rPr>
                <w:rFonts w:ascii="Calibri" w:hAnsi="Calibri" w:cs="Calibri"/>
                <w:color w:val="1A1A1A"/>
                <w:spacing w:val="30"/>
                <w:sz w:val="19"/>
                <w:szCs w:val="19"/>
              </w:rPr>
              <w:t xml:space="preserve">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2A7CB77B" w:rsidR="0053707D" w:rsidRPr="00E80CF1" w:rsidRDefault="00F33C49" w:rsidP="00EF5256">
            <w:pPr>
              <w:rPr>
                <w:rFonts w:ascii="Calibri" w:hAnsi="Calibri" w:cs="Calibri"/>
                <w:color w:val="1A1A1A"/>
                <w:spacing w:val="30"/>
                <w:sz w:val="19"/>
                <w:szCs w:val="19"/>
              </w:rPr>
            </w:pPr>
            <w:r w:rsidRPr="00F33C49">
              <w:rPr>
                <w:rFonts w:ascii="Calibri" w:hAnsi="Calibri" w:cs="Calibri"/>
                <w:color w:val="1A1A1A"/>
                <w:spacing w:val="30"/>
                <w:sz w:val="19"/>
                <w:szCs w:val="19"/>
              </w:rPr>
              <w:t>Nomvula Mahlangu – Chief Data Officer</w:t>
            </w:r>
          </w:p>
        </w:tc>
      </w:tr>
      <w:tr w:rsidR="0053707D" w14:paraId="0A242627" w14:textId="77777777" w:rsidTr="00EF5256">
        <w:tc>
          <w:tcPr>
            <w:tcW w:w="2268" w:type="dxa"/>
            <w:shd w:val="clear" w:color="auto" w:fill="EEF1F8"/>
          </w:tcPr>
          <w:p w14:paraId="7895D020" w14:textId="7BF2B72B" w:rsidR="0053707D" w:rsidRPr="00E80CF1" w:rsidRDefault="004B1973" w:rsidP="00EF5256">
            <w:pPr>
              <w:rPr>
                <w:rFonts w:ascii="Calibri" w:hAnsi="Calibri" w:cs="Calibri"/>
                <w:b/>
                <w:bCs/>
                <w:color w:val="1A2E5A"/>
                <w:spacing w:val="30"/>
                <w:sz w:val="18"/>
                <w:szCs w:val="18"/>
              </w:rPr>
            </w:pPr>
            <w:r>
              <w:rPr>
                <w:rFonts w:ascii="Calibri" w:hAnsi="Calibri" w:cs="Calibri"/>
                <w:b/>
                <w:bCs/>
                <w:color w:val="1A2E5A"/>
                <w:spacing w:val="30"/>
                <w:sz w:val="18"/>
                <w:szCs w:val="18"/>
              </w:rPr>
              <w:t>Target Platform</w:t>
            </w:r>
            <w:r w:rsidR="00972B99">
              <w:rPr>
                <w:rFonts w:ascii="Calibri" w:hAnsi="Calibri" w:cs="Calibri"/>
                <w:b/>
                <w:bCs/>
                <w:color w:val="1A2E5A"/>
                <w:spacing w:val="30"/>
                <w:sz w:val="18"/>
                <w:szCs w:val="18"/>
              </w:rPr>
              <w:t>/</w:t>
            </w:r>
            <w:r w:rsidR="003F0585">
              <w:rPr>
                <w:rFonts w:ascii="Calibri" w:hAnsi="Calibri" w:cs="Calibri"/>
                <w:b/>
                <w:bCs/>
                <w:color w:val="1A2E5A"/>
                <w:spacing w:val="30"/>
                <w:sz w:val="18"/>
                <w:szCs w:val="18"/>
              </w:rPr>
              <w:t>Tooling</w:t>
            </w:r>
          </w:p>
        </w:tc>
        <w:tc>
          <w:tcPr>
            <w:tcW w:w="6804" w:type="dxa"/>
            <w:shd w:val="clear" w:color="auto" w:fill="F0FDF4"/>
          </w:tcPr>
          <w:p w14:paraId="265E4906" w14:textId="2ADF1D42" w:rsidR="0053707D" w:rsidRPr="00E80CF1" w:rsidRDefault="003F0585" w:rsidP="00EF5256">
            <w:pPr>
              <w:rPr>
                <w:rFonts w:ascii="Calibri" w:hAnsi="Calibri" w:cs="Calibri"/>
                <w:b/>
                <w:bCs/>
                <w:color w:val="166534"/>
                <w:spacing w:val="30"/>
                <w:sz w:val="19"/>
                <w:szCs w:val="19"/>
              </w:rPr>
            </w:pPr>
            <w:r w:rsidRPr="003F0585">
              <w:rPr>
                <w:rFonts w:ascii="Calibri" w:hAnsi="Calibri" w:cs="Calibri"/>
                <w:b/>
                <w:bCs/>
                <w:color w:val="166534"/>
                <w:spacing w:val="30"/>
                <w:sz w:val="19"/>
                <w:szCs w:val="19"/>
              </w:rPr>
              <w:t>dbt docs / Microsoft Fabric Warehouse</w:t>
            </w:r>
          </w:p>
        </w:tc>
      </w:tr>
      <w:tr w:rsidR="0053707D" w14:paraId="2F1C6929" w14:textId="77777777" w:rsidTr="008B6400">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0FDF4"/>
          </w:tcPr>
          <w:p w14:paraId="31AC03D9" w14:textId="67FA117F" w:rsidR="0053707D" w:rsidRPr="00643CDC" w:rsidRDefault="00F33C49" w:rsidP="008B6400">
            <w:pPr>
              <w:tabs>
                <w:tab w:val="left" w:pos="2110"/>
              </w:tabs>
              <w:rPr>
                <w:rFonts w:ascii="Calibri" w:hAnsi="Calibri" w:cs="Calibri"/>
                <w:b/>
                <w:bCs/>
                <w:color w:val="166534"/>
                <w:spacing w:val="30"/>
                <w:sz w:val="19"/>
                <w:szCs w:val="19"/>
              </w:rPr>
            </w:pPr>
            <w:r>
              <w:rPr>
                <w:rFonts w:ascii="Calibri" w:hAnsi="Calibri" w:cs="Calibri"/>
                <w:b/>
                <w:bCs/>
                <w:color w:val="166534"/>
                <w:spacing w:val="30"/>
                <w:sz w:val="19"/>
                <w:szCs w:val="19"/>
              </w:rPr>
              <w:t>Approved</w:t>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7777777" w:rsidR="00674D58" w:rsidRDefault="00674D58" w:rsidP="003F0585">
      <w:pPr>
        <w:ind w:firstLine="720"/>
        <w:rPr>
          <w:rFonts w:ascii="Calibri" w:hAnsi="Calibri" w:cs="Calibri"/>
          <w:color w:val="555555"/>
          <w:spacing w:val="30"/>
          <w:sz w:val="20"/>
          <w:szCs w:val="20"/>
          <w:lang w:val="en-US"/>
        </w:rPr>
      </w:pPr>
    </w:p>
    <w:p w14:paraId="35478697" w14:textId="4312D061" w:rsidR="00674D58" w:rsidRDefault="00674D58">
      <w:pPr>
        <w:rPr>
          <w:rFonts w:ascii="Calibri" w:hAnsi="Calibri" w:cs="Calibri"/>
          <w:color w:val="555555"/>
          <w:spacing w:val="30"/>
          <w:sz w:val="20"/>
          <w:szCs w:val="20"/>
          <w:lang w:val="en-US"/>
        </w:rPr>
      </w:pPr>
    </w:p>
    <w:p w14:paraId="6A8F6BC7" w14:textId="7FA2966F"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Purpose</w:t>
      </w:r>
    </w:p>
    <w:p w14:paraId="1EBED453" w14:textId="77777777" w:rsidR="007B093E" w:rsidRDefault="007B093E" w:rsidP="00CA5B5D">
      <w:pPr>
        <w:tabs>
          <w:tab w:val="left" w:pos="1791"/>
        </w:tabs>
        <w:jc w:val="both"/>
        <w:rPr>
          <w:rFonts w:ascii="Calibri" w:hAnsi="Calibri" w:cs="Calibri"/>
          <w:color w:val="1A1A1A"/>
        </w:rPr>
      </w:pPr>
      <w:r w:rsidRPr="007B093E">
        <w:rPr>
          <w:rFonts w:ascii="Calibri" w:hAnsi="Calibri" w:cs="Calibri"/>
          <w:color w:val="1A1A1A"/>
        </w:rPr>
        <w:t>This document defines RetailSphere's approach to metadata: how data lineage is maintained, how a data dictionary is captured and kept current, and what documentation standard every column in the platform must meet. It satisfies FR-CCR-001 — every number in the Gold layer must be traceable back to its source transaction through Bronze and Silver.</w:t>
      </w:r>
    </w:p>
    <w:p w14:paraId="2E4E032E" w14:textId="5FCD4D2D" w:rsidR="00674D58" w:rsidRPr="00CA5B5D" w:rsidRDefault="007B093E" w:rsidP="00CA5B5D">
      <w:pPr>
        <w:tabs>
          <w:tab w:val="left" w:pos="1791"/>
        </w:tabs>
        <w:jc w:val="both"/>
        <w:rPr>
          <w:rFonts w:ascii="Calibri" w:hAnsi="Calibri" w:cs="Calibri"/>
          <w:color w:val="1A1A1A"/>
          <w:lang w:val="en-US"/>
        </w:rPr>
      </w:pPr>
      <w:r w:rsidRPr="007B093E">
        <w:rPr>
          <w:rFonts w:ascii="Calibri" w:hAnsi="Calibri" w:cs="Calibri"/>
          <w:color w:val="1A1A1A"/>
        </w:rPr>
        <w:t>Beyond the stated requirement, this document exists because undocumented systems become unmaintainable systems. A platform without a metadata discipline degrades the same way any system does when the people who understood it move on and nothing was written down — RetailSphere is designed from Step 11 onward to never reach that state.</w:t>
      </w:r>
      <w:r w:rsidR="00674D58" w:rsidRPr="00CA5B5D">
        <w:rPr>
          <w:rFonts w:ascii="Calibri" w:hAnsi="Calibri" w:cs="Calibri"/>
          <w:color w:val="1A1A1A"/>
          <w:lang w:val="en-US"/>
        </w:rPr>
        <w:tab/>
      </w:r>
    </w:p>
    <w:p w14:paraId="2CCC87D7" w14:textId="72696CDD"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Scope</w:t>
      </w:r>
    </w:p>
    <w:p w14:paraId="2880A783" w14:textId="7F7B7260" w:rsidR="00C60F89" w:rsidRPr="00C21F48" w:rsidRDefault="007B093E" w:rsidP="00C21F48">
      <w:pPr>
        <w:jc w:val="both"/>
        <w:rPr>
          <w:rFonts w:ascii="Calibri" w:hAnsi="Calibri" w:cs="Calibri"/>
          <w:lang w:val="en-US"/>
        </w:rPr>
      </w:pPr>
      <w:r w:rsidRPr="007B093E">
        <w:rPr>
          <w:rFonts w:ascii="Calibri" w:hAnsi="Calibri" w:cs="Calibri"/>
          <w:color w:val="1A1A1A"/>
        </w:rPr>
        <w:t xml:space="preserve">MET-001 covers lineage, data dictionary maintenance, and column-level documentation standards across all three medallion layers (Bronze, Silver, Gold). It defines </w:t>
      </w:r>
      <w:r w:rsidRPr="007B093E">
        <w:rPr>
          <w:rFonts w:ascii="Calibri" w:hAnsi="Calibri" w:cs="Calibri"/>
          <w:i/>
          <w:iCs/>
          <w:color w:val="1A1A1A"/>
        </w:rPr>
        <w:t>what</w:t>
      </w:r>
      <w:r w:rsidRPr="007B093E">
        <w:rPr>
          <w:rFonts w:ascii="Calibri" w:hAnsi="Calibri" w:cs="Calibri"/>
          <w:color w:val="1A1A1A"/>
        </w:rPr>
        <w:t xml:space="preserve"> must be documented and </w:t>
      </w:r>
      <w:r w:rsidRPr="007B093E">
        <w:rPr>
          <w:rFonts w:ascii="Calibri" w:hAnsi="Calibri" w:cs="Calibri"/>
          <w:i/>
          <w:iCs/>
          <w:color w:val="1A1A1A"/>
        </w:rPr>
        <w:t>to what standard</w:t>
      </w:r>
      <w:r w:rsidRPr="007B093E">
        <w:rPr>
          <w:rFonts w:ascii="Calibri" w:hAnsi="Calibri" w:cs="Calibri"/>
          <w:color w:val="1A1A1A"/>
        </w:rPr>
        <w:t xml:space="preserve"> — it does not itself contain the documentation (that lives in dbt's </w:t>
      </w:r>
      <w:r w:rsidRPr="007B093E">
        <w:rPr>
          <w:rFonts w:ascii="Calibri" w:hAnsi="Calibri" w:cs="Calibri"/>
          <w:b/>
          <w:bCs/>
          <w:color w:val="1A1A1A"/>
        </w:rPr>
        <w:t>schema.yml</w:t>
      </w:r>
      <w:r w:rsidRPr="007B093E">
        <w:rPr>
          <w:rFonts w:ascii="Calibri" w:hAnsi="Calibri" w:cs="Calibri"/>
          <w:color w:val="1A1A1A"/>
        </w:rPr>
        <w:t xml:space="preserve"> files and generated docs site, built during Step 14). This document is the standard those artifacts must meet, not a substitute for them.</w:t>
      </w:r>
    </w:p>
    <w:p w14:paraId="2464D6A8" w14:textId="3B426F7C" w:rsidR="00674D58" w:rsidRPr="003A6A39" w:rsidRDefault="008150CB"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Lineage (FR-CCR-001)</w:t>
      </w:r>
    </w:p>
    <w:p w14:paraId="5CB55968" w14:textId="6A344817" w:rsidR="008F5256" w:rsidRDefault="00700A49" w:rsidP="00700A49">
      <w:pPr>
        <w:tabs>
          <w:tab w:val="left" w:pos="1791"/>
        </w:tabs>
        <w:rPr>
          <w:rFonts w:ascii="Calibri" w:hAnsi="Calibri" w:cs="Calibri"/>
        </w:rPr>
      </w:pPr>
      <w:r w:rsidRPr="00700A49">
        <w:rPr>
          <w:rFonts w:ascii="Calibri" w:hAnsi="Calibri" w:cs="Calibri"/>
        </w:rPr>
        <w:t>FR-CCR-001 requires that every number in the Gold layer be traceable back to its source transaction, within minutes, through Bronze and Silver.</w:t>
      </w:r>
    </w:p>
    <w:p w14:paraId="77AD656B" w14:textId="48BAEB9F" w:rsidR="00700A49" w:rsidRDefault="00700A49" w:rsidP="00700A49">
      <w:pPr>
        <w:tabs>
          <w:tab w:val="left" w:pos="1791"/>
        </w:tabs>
        <w:rPr>
          <w:rFonts w:ascii="Calibri" w:hAnsi="Calibri" w:cs="Calibri"/>
        </w:rPr>
      </w:pPr>
      <w:r w:rsidRPr="00700A49">
        <w:rPr>
          <w:rFonts w:ascii="Calibri" w:hAnsi="Calibri" w:cs="Calibri"/>
          <w:b/>
          <w:bCs/>
        </w:rPr>
        <w:t>Model-level lineage is not sufficient on its own.</w:t>
      </w:r>
      <w:r w:rsidRPr="00700A49">
        <w:rPr>
          <w:rFonts w:ascii="Calibri" w:hAnsi="Calibri" w:cs="Calibri"/>
        </w:rPr>
        <w:t xml:space="preserve"> dbt automatically generates a model-level lineage graph from the SQL relationships between models — no manual effort required, this comes free with </w:t>
      </w:r>
      <w:r w:rsidRPr="00700A49">
        <w:rPr>
          <w:rFonts w:ascii="Calibri" w:hAnsi="Calibri" w:cs="Calibri"/>
          <w:b/>
          <w:bCs/>
        </w:rPr>
        <w:t>dbt docs generate</w:t>
      </w:r>
      <w:r w:rsidRPr="00700A49">
        <w:rPr>
          <w:rFonts w:ascii="Calibri" w:hAnsi="Calibri" w:cs="Calibri"/>
        </w:rPr>
        <w:t xml:space="preserve">. But model-level lineage only shows </w:t>
      </w:r>
      <w:r w:rsidRPr="00700A49">
        <w:rPr>
          <w:rFonts w:ascii="Calibri" w:hAnsi="Calibri" w:cs="Calibri"/>
          <w:i/>
          <w:iCs/>
        </w:rPr>
        <w:t>which models</w:t>
      </w:r>
      <w:r w:rsidRPr="00700A49">
        <w:rPr>
          <w:rFonts w:ascii="Calibri" w:hAnsi="Calibri" w:cs="Calibri"/>
        </w:rPr>
        <w:t xml:space="preserve"> feed which — it does not by itself confirm </w:t>
      </w:r>
      <w:r w:rsidRPr="00700A49">
        <w:rPr>
          <w:rFonts w:ascii="Calibri" w:hAnsi="Calibri" w:cs="Calibri"/>
          <w:i/>
          <w:iCs/>
        </w:rPr>
        <w:t>which column</w:t>
      </w:r>
      <w:r w:rsidRPr="00700A49">
        <w:rPr>
          <w:rFonts w:ascii="Calibri" w:hAnsi="Calibri" w:cs="Calibri"/>
        </w:rPr>
        <w:t xml:space="preserve"> a specific number </w:t>
      </w:r>
      <w:r w:rsidR="004B3AAF" w:rsidRPr="00700A49">
        <w:rPr>
          <w:rFonts w:ascii="Calibri" w:hAnsi="Calibri" w:cs="Calibri"/>
        </w:rPr>
        <w:t>trace</w:t>
      </w:r>
      <w:r w:rsidRPr="00700A49">
        <w:rPr>
          <w:rFonts w:ascii="Calibri" w:hAnsi="Calibri" w:cs="Calibri"/>
        </w:rPr>
        <w:t xml:space="preserve"> to. A hidden intermediate layer between systems is a common real-world failure mode: an apparent replacement or migration of one layer can create false confidence that a dependency chain has been fully resolved, when in fact an undocumented layer underneath continues to carry the real dependency. Column-level lineage is what prevents this — knowing precisely that </w:t>
      </w:r>
      <w:r w:rsidRPr="00700A49">
        <w:rPr>
          <w:rFonts w:ascii="Calibri" w:hAnsi="Calibri" w:cs="Calibri"/>
          <w:b/>
          <w:bCs/>
        </w:rPr>
        <w:t>FactFinance.debit_amount</w:t>
      </w:r>
      <w:r w:rsidRPr="00700A49">
        <w:rPr>
          <w:rFonts w:ascii="Calibri" w:hAnsi="Calibri" w:cs="Calibri"/>
        </w:rPr>
        <w:t xml:space="preserve"> traces to a specific source field, not just "the Finance domain traces to SAP ECC" in general terms, is what actually satisfies "traced within minutes" rather than "traced eventually, after investigation."</w:t>
      </w:r>
    </w:p>
    <w:p w14:paraId="51729782" w14:textId="3F686847" w:rsidR="00700A49" w:rsidRDefault="00700A49" w:rsidP="00700A49">
      <w:pPr>
        <w:tabs>
          <w:tab w:val="left" w:pos="1791"/>
        </w:tabs>
        <w:rPr>
          <w:rFonts w:ascii="Calibri" w:hAnsi="Calibri" w:cs="Calibri"/>
        </w:rPr>
      </w:pPr>
      <w:r w:rsidRPr="00700A49">
        <w:rPr>
          <w:rFonts w:ascii="Calibri" w:hAnsi="Calibri" w:cs="Calibri"/>
          <w:b/>
          <w:bCs/>
        </w:rPr>
        <w:t>Documentation discipline: incremental, not retroactive.</w:t>
      </w:r>
      <w:r w:rsidRPr="00700A49">
        <w:rPr>
          <w:rFonts w:ascii="Calibri" w:hAnsi="Calibri" w:cs="Calibri"/>
        </w:rPr>
        <w:t xml:space="preserve"> Column-level descriptions in </w:t>
      </w:r>
      <w:r w:rsidRPr="00700A49">
        <w:rPr>
          <w:rFonts w:ascii="Calibri" w:hAnsi="Calibri" w:cs="Calibri"/>
          <w:b/>
          <w:bCs/>
        </w:rPr>
        <w:t>schema.yml</w:t>
      </w:r>
      <w:r w:rsidRPr="00700A49">
        <w:rPr>
          <w:rFonts w:ascii="Calibri" w:hAnsi="Calibri" w:cs="Calibri"/>
        </w:rPr>
        <w:t xml:space="preserve"> are not generated automatically — they must be written by whoever builds each model. This documentation is written </w:t>
      </w:r>
      <w:r w:rsidRPr="00700A49">
        <w:rPr>
          <w:rFonts w:ascii="Calibri" w:hAnsi="Calibri" w:cs="Calibri"/>
          <w:b/>
          <w:bCs/>
        </w:rPr>
        <w:t>incrementally, as each model is built</w:t>
      </w:r>
      <w:r w:rsidRPr="00700A49">
        <w:rPr>
          <w:rFonts w:ascii="Calibri" w:hAnsi="Calibri" w:cs="Calibri"/>
        </w:rPr>
        <w:t>, not as a batch exercise after Step 14's build phase completes. Retroactive documentation reliably misses detail that was obvious at build time and easily forgotten weeks later — the same failure mode that leaves any complex system dependent on the memory of the few people who built it.</w:t>
      </w:r>
    </w:p>
    <w:p w14:paraId="56026FC8" w14:textId="081A86BF" w:rsidR="00700A49" w:rsidRPr="00700A49" w:rsidRDefault="00700A49" w:rsidP="00700A49">
      <w:pPr>
        <w:tabs>
          <w:tab w:val="left" w:pos="1791"/>
        </w:tabs>
        <w:rPr>
          <w:rFonts w:ascii="Calibri" w:hAnsi="Calibri" w:cs="Calibri"/>
        </w:rPr>
      </w:pPr>
      <w:r w:rsidRPr="00700A49">
        <w:rPr>
          <w:rFonts w:ascii="Calibri" w:hAnsi="Calibri" w:cs="Calibri"/>
          <w:b/>
          <w:bCs/>
        </w:rPr>
        <w:t>Standard:</w:t>
      </w:r>
      <w:r w:rsidRPr="00700A49">
        <w:rPr>
          <w:rFonts w:ascii="Calibri" w:hAnsi="Calibri" w:cs="Calibri"/>
        </w:rPr>
        <w:t xml:space="preserve"> Every dbt model's </w:t>
      </w:r>
      <w:r w:rsidRPr="004B2C39">
        <w:rPr>
          <w:rFonts w:ascii="Calibri" w:hAnsi="Calibri" w:cs="Calibri"/>
          <w:b/>
          <w:bCs/>
        </w:rPr>
        <w:t>schema.yml</w:t>
      </w:r>
      <w:r w:rsidRPr="00700A49">
        <w:rPr>
          <w:rFonts w:ascii="Calibri" w:hAnsi="Calibri" w:cs="Calibri"/>
        </w:rPr>
        <w:t xml:space="preserve"> must include a description for the model itself and for every column, at the time that model is built — not deferred, not batched, not left as a follow-up task.</w:t>
      </w:r>
    </w:p>
    <w:p w14:paraId="73F97C70" w14:textId="77777777" w:rsidR="00D13BD6" w:rsidRDefault="00D13BD6" w:rsidP="00D13BD6">
      <w:pPr>
        <w:tabs>
          <w:tab w:val="left" w:pos="1791"/>
        </w:tabs>
        <w:ind w:left="720"/>
        <w:rPr>
          <w:rFonts w:ascii="Calibri" w:hAnsi="Calibri" w:cs="Calibri"/>
          <w:i/>
          <w:iCs/>
        </w:rPr>
      </w:pPr>
    </w:p>
    <w:p w14:paraId="504671ED" w14:textId="77777777" w:rsidR="00D13BD6" w:rsidRDefault="00D13BD6" w:rsidP="00D13BD6">
      <w:pPr>
        <w:tabs>
          <w:tab w:val="left" w:pos="1791"/>
        </w:tabs>
        <w:ind w:left="720"/>
        <w:rPr>
          <w:rFonts w:ascii="Calibri" w:hAnsi="Calibri" w:cs="Calibri"/>
          <w:i/>
          <w:iCs/>
        </w:rPr>
      </w:pPr>
    </w:p>
    <w:p w14:paraId="16F94FE5" w14:textId="77777777" w:rsidR="004B2C39" w:rsidRDefault="004B2C39" w:rsidP="00D13BD6">
      <w:pPr>
        <w:tabs>
          <w:tab w:val="left" w:pos="1791"/>
        </w:tabs>
        <w:ind w:left="720"/>
        <w:rPr>
          <w:rFonts w:ascii="Calibri" w:hAnsi="Calibri" w:cs="Calibri"/>
          <w:i/>
          <w:iCs/>
        </w:rPr>
      </w:pPr>
    </w:p>
    <w:p w14:paraId="001B8A57" w14:textId="77777777" w:rsidR="004B2C39" w:rsidRDefault="004B2C39" w:rsidP="00D13BD6">
      <w:pPr>
        <w:tabs>
          <w:tab w:val="left" w:pos="1791"/>
        </w:tabs>
        <w:ind w:left="720"/>
        <w:rPr>
          <w:rFonts w:ascii="Calibri" w:hAnsi="Calibri" w:cs="Calibri"/>
          <w:i/>
          <w:iCs/>
        </w:rPr>
      </w:pPr>
    </w:p>
    <w:p w14:paraId="25AE3DAB" w14:textId="77777777" w:rsidR="004B2C39" w:rsidRDefault="004B2C39" w:rsidP="00D13BD6">
      <w:pPr>
        <w:tabs>
          <w:tab w:val="left" w:pos="1791"/>
        </w:tabs>
        <w:ind w:left="720"/>
        <w:rPr>
          <w:rFonts w:ascii="Calibri" w:hAnsi="Calibri" w:cs="Calibri"/>
          <w:i/>
          <w:iCs/>
        </w:rPr>
      </w:pPr>
    </w:p>
    <w:p w14:paraId="651EC0E8" w14:textId="77777777" w:rsidR="004B2C39" w:rsidRDefault="004B2C39" w:rsidP="00D13BD6">
      <w:pPr>
        <w:tabs>
          <w:tab w:val="left" w:pos="1791"/>
        </w:tabs>
        <w:ind w:left="720"/>
        <w:rPr>
          <w:rFonts w:ascii="Calibri" w:hAnsi="Calibri" w:cs="Calibri"/>
          <w:i/>
          <w:iCs/>
        </w:rPr>
      </w:pPr>
    </w:p>
    <w:p w14:paraId="67FB42CF" w14:textId="77777777" w:rsidR="004B2C39" w:rsidRPr="00D13BD6" w:rsidRDefault="004B2C39" w:rsidP="00D13BD6">
      <w:pPr>
        <w:tabs>
          <w:tab w:val="left" w:pos="1791"/>
        </w:tabs>
        <w:ind w:left="720"/>
        <w:rPr>
          <w:rFonts w:ascii="Calibri" w:hAnsi="Calibri" w:cs="Calibri"/>
          <w:i/>
          <w:iCs/>
        </w:rPr>
      </w:pPr>
    </w:p>
    <w:p w14:paraId="64DF9AF9" w14:textId="4A93212F" w:rsidR="00674D58" w:rsidRPr="003A6A39" w:rsidRDefault="008150CB" w:rsidP="003A6A3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Data Dictionary</w:t>
      </w:r>
    </w:p>
    <w:p w14:paraId="1319BFE6" w14:textId="14FFE78B" w:rsidR="00E054A2" w:rsidRDefault="00FF7532" w:rsidP="00FF7532">
      <w:pPr>
        <w:tabs>
          <w:tab w:val="left" w:pos="1791"/>
        </w:tabs>
        <w:rPr>
          <w:rFonts w:ascii="Calibri" w:hAnsi="Calibri" w:cs="Calibri"/>
          <w:color w:val="1A1A1A"/>
        </w:rPr>
      </w:pPr>
      <w:r>
        <w:rPr>
          <w:rFonts w:ascii="Calibri" w:hAnsi="Calibri" w:cs="Calibri"/>
          <w:color w:val="1A1A1A"/>
        </w:rPr>
        <w:t xml:space="preserve">The data </w:t>
      </w:r>
      <w:r w:rsidRPr="00FF7532">
        <w:rPr>
          <w:rFonts w:ascii="Calibri" w:hAnsi="Calibri" w:cs="Calibri"/>
          <w:color w:val="1A1A1A"/>
        </w:rPr>
        <w:t xml:space="preserve">dictionary is not a separate, manually maintained artifact — it is generated directly from the same </w:t>
      </w:r>
      <w:r w:rsidRPr="00FF7532">
        <w:rPr>
          <w:rFonts w:ascii="Calibri" w:hAnsi="Calibri" w:cs="Calibri"/>
          <w:b/>
          <w:bCs/>
          <w:color w:val="1A1A1A"/>
        </w:rPr>
        <w:t>schema.yml</w:t>
      </w:r>
      <w:r w:rsidRPr="00FF7532">
        <w:rPr>
          <w:rFonts w:ascii="Calibri" w:hAnsi="Calibri" w:cs="Calibri"/>
          <w:color w:val="1A1A1A"/>
        </w:rPr>
        <w:t xml:space="preserve"> descriptions written incrementally during model build (Section 3). This avoids the common failure mode of a maintained wiki or spreadsheet drifting out of sync with what the pipeline actually does.</w:t>
      </w:r>
    </w:p>
    <w:p w14:paraId="22874E49" w14:textId="14B01F64" w:rsidR="00FF7532" w:rsidRDefault="00FF7532" w:rsidP="00FF7532">
      <w:pPr>
        <w:tabs>
          <w:tab w:val="left" w:pos="1791"/>
        </w:tabs>
        <w:rPr>
          <w:rFonts w:ascii="Calibri" w:hAnsi="Calibri" w:cs="Calibri"/>
          <w:color w:val="1A1A1A"/>
        </w:rPr>
      </w:pPr>
      <w:r w:rsidRPr="00FF7532">
        <w:rPr>
          <w:rFonts w:ascii="Calibri" w:hAnsi="Calibri" w:cs="Calibri"/>
          <w:b/>
          <w:bCs/>
          <w:color w:val="1A1A1A"/>
        </w:rPr>
        <w:t>Primary users — engineers:</w:t>
      </w:r>
      <w:r w:rsidRPr="00FF7532">
        <w:rPr>
          <w:rFonts w:ascii="Calibri" w:hAnsi="Calibri" w:cs="Calibri"/>
          <w:color w:val="1A1A1A"/>
        </w:rPr>
        <w:t xml:space="preserve"> dbt's auto-generated docs site (</w:t>
      </w:r>
      <w:r w:rsidRPr="00FF7532">
        <w:rPr>
          <w:rFonts w:ascii="Calibri" w:hAnsi="Calibri" w:cs="Calibri"/>
          <w:b/>
          <w:bCs/>
          <w:color w:val="1A1A1A"/>
        </w:rPr>
        <w:t>dbt docs generate</w:t>
      </w:r>
      <w:r w:rsidRPr="00FF7532">
        <w:rPr>
          <w:rFonts w:ascii="Calibri" w:hAnsi="Calibri" w:cs="Calibri"/>
          <w:color w:val="1A1A1A"/>
        </w:rPr>
        <w:t xml:space="preserve">) is the technical source of truth. It is not directly editable; changes are made in </w:t>
      </w:r>
      <w:r w:rsidRPr="00FF7532">
        <w:rPr>
          <w:rFonts w:ascii="Calibri" w:hAnsi="Calibri" w:cs="Calibri"/>
          <w:b/>
          <w:bCs/>
          <w:color w:val="1A1A1A"/>
        </w:rPr>
        <w:t>schema.yml</w:t>
      </w:r>
      <w:r w:rsidRPr="00FF7532">
        <w:rPr>
          <w:rFonts w:ascii="Calibri" w:hAnsi="Calibri" w:cs="Calibri"/>
          <w:color w:val="1A1A1A"/>
        </w:rPr>
        <w:t xml:space="preserve"> and the site is regenerated. This is the expected tool for anyone building or extending a model.</w:t>
      </w:r>
    </w:p>
    <w:p w14:paraId="1E09F1BC" w14:textId="12D1780E" w:rsidR="00FF7532" w:rsidRDefault="00FF7532" w:rsidP="00FF7532">
      <w:pPr>
        <w:tabs>
          <w:tab w:val="left" w:pos="1791"/>
        </w:tabs>
        <w:rPr>
          <w:rFonts w:ascii="Calibri" w:hAnsi="Calibri" w:cs="Calibri"/>
          <w:color w:val="1A1A1A"/>
        </w:rPr>
      </w:pPr>
      <w:r w:rsidRPr="00FF7532">
        <w:rPr>
          <w:rFonts w:ascii="Calibri" w:hAnsi="Calibri" w:cs="Calibri"/>
          <w:b/>
          <w:bCs/>
          <w:color w:val="1A1A1A"/>
        </w:rPr>
        <w:t>Secondary users — business stakeholders:</w:t>
      </w:r>
      <w:r w:rsidRPr="00FF7532">
        <w:rPr>
          <w:rFonts w:ascii="Calibri" w:hAnsi="Calibri" w:cs="Calibri"/>
          <w:color w:val="1A1A1A"/>
        </w:rPr>
        <w:t xml:space="preserve"> Johan, Priya, Rethabile, and other domain owners are not expected to use dbt's technical docs site directly. Column and measure definitions are instead surfaced through Power BI's own description fields, populated from the same underlying </w:t>
      </w:r>
      <w:r w:rsidRPr="00FF7532">
        <w:rPr>
          <w:rFonts w:ascii="Calibri" w:hAnsi="Calibri" w:cs="Calibri"/>
          <w:b/>
          <w:bCs/>
          <w:color w:val="1A1A1A"/>
        </w:rPr>
        <w:t>schema.yml</w:t>
      </w:r>
      <w:r w:rsidRPr="00FF7532">
        <w:rPr>
          <w:rFonts w:ascii="Calibri" w:hAnsi="Calibri" w:cs="Calibri"/>
          <w:color w:val="1A1A1A"/>
        </w:rPr>
        <w:t xml:space="preserve"> definitions — giving business users plain-language definitions in the tool they already work in daily (per DID-001's Consume layer), rather than introducing a separate data catalog product RetailSphere has not scoped or budgeted for.</w:t>
      </w:r>
    </w:p>
    <w:p w14:paraId="4CFB9845" w14:textId="77777777" w:rsidR="00AE0828" w:rsidRDefault="00AE0828" w:rsidP="00FF7532">
      <w:pPr>
        <w:tabs>
          <w:tab w:val="left" w:pos="1791"/>
        </w:tabs>
        <w:rPr>
          <w:rFonts w:ascii="Calibri" w:hAnsi="Calibri" w:cs="Calibri"/>
          <w:color w:val="1A1A1A"/>
        </w:rPr>
      </w:pPr>
    </w:p>
    <w:tbl>
      <w:tblPr>
        <w:tblStyle w:val="TableGrid"/>
        <w:tblW w:w="0" w:type="auto"/>
        <w:tblBorders>
          <w:top w:val="single" w:sz="12" w:space="0" w:color="1A2E5A"/>
          <w:left w:val="single" w:sz="12" w:space="0" w:color="1A2E5A"/>
          <w:bottom w:val="single" w:sz="12" w:space="0" w:color="1A2E5A"/>
          <w:right w:val="single" w:sz="12" w:space="0" w:color="1A2E5A"/>
          <w:insideH w:val="single" w:sz="12" w:space="0" w:color="1A2E5A"/>
          <w:insideV w:val="single" w:sz="12" w:space="0" w:color="1A2E5A"/>
        </w:tblBorders>
        <w:tblLook w:val="04A0" w:firstRow="1" w:lastRow="0" w:firstColumn="1" w:lastColumn="0" w:noHBand="0" w:noVBand="1"/>
      </w:tblPr>
      <w:tblGrid>
        <w:gridCol w:w="10436"/>
      </w:tblGrid>
      <w:tr w:rsidR="00FF7532" w14:paraId="2925F766" w14:textId="77777777" w:rsidTr="00AE0828">
        <w:tc>
          <w:tcPr>
            <w:tcW w:w="10456" w:type="dxa"/>
            <w:shd w:val="clear" w:color="auto" w:fill="EEF1F8"/>
          </w:tcPr>
          <w:p w14:paraId="1ABEEA0F" w14:textId="54E4BAD5" w:rsidR="00FF7532" w:rsidRPr="00FF7532" w:rsidRDefault="00FF7532" w:rsidP="00FF7532">
            <w:pPr>
              <w:tabs>
                <w:tab w:val="left" w:pos="1791"/>
              </w:tabs>
              <w:rPr>
                <w:rFonts w:ascii="Calibri" w:hAnsi="Calibri" w:cs="Calibri"/>
                <w:i/>
                <w:iCs/>
                <w:color w:val="1A2E5A"/>
              </w:rPr>
            </w:pPr>
            <w:r w:rsidRPr="00FF7532">
              <w:rPr>
                <w:rFonts w:ascii="Calibri" w:hAnsi="Calibri" w:cs="Calibri"/>
                <w:i/>
                <w:iCs/>
                <w:color w:val="1A2E5A"/>
              </w:rPr>
              <w:t>A dedicated enterprise data catalog tool (e.g. Microsoft Purview, Collibra) may become worth evaluating as the platform scales beyond its current six domains — flagged as a future consideration, not a current requirement.</w:t>
            </w:r>
          </w:p>
        </w:tc>
      </w:tr>
    </w:tbl>
    <w:p w14:paraId="20B57D6F" w14:textId="77777777" w:rsidR="00FF7532" w:rsidRPr="00FF7532" w:rsidRDefault="00FF7532" w:rsidP="00FF7532">
      <w:pPr>
        <w:tabs>
          <w:tab w:val="left" w:pos="1791"/>
        </w:tabs>
        <w:rPr>
          <w:rFonts w:ascii="Calibri" w:hAnsi="Calibri" w:cs="Calibri"/>
          <w:color w:val="1A1A1A"/>
        </w:rPr>
      </w:pPr>
    </w:p>
    <w:p w14:paraId="0D2FF854" w14:textId="77777777" w:rsidR="007C27E3" w:rsidRPr="00E054A2" w:rsidRDefault="007C27E3" w:rsidP="00CE0738">
      <w:pPr>
        <w:tabs>
          <w:tab w:val="left" w:pos="1791"/>
        </w:tabs>
        <w:rPr>
          <w:rFonts w:ascii="Calibri" w:hAnsi="Calibri" w:cs="Calibri"/>
          <w:color w:val="1A1A1A"/>
        </w:rPr>
      </w:pPr>
    </w:p>
    <w:p w14:paraId="3526278C" w14:textId="0623861D" w:rsidR="00674D58" w:rsidRPr="00430476" w:rsidRDefault="008150CB"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Column-Level Documentation Standard</w:t>
      </w:r>
    </w:p>
    <w:p w14:paraId="56810B27" w14:textId="01B6D544" w:rsidR="00F7656A" w:rsidRDefault="000C308C" w:rsidP="000C308C">
      <w:pPr>
        <w:tabs>
          <w:tab w:val="left" w:pos="1791"/>
        </w:tabs>
        <w:rPr>
          <w:rFonts w:ascii="Calibri" w:hAnsi="Calibri" w:cs="Calibri"/>
        </w:rPr>
      </w:pPr>
      <w:r>
        <w:rPr>
          <w:rFonts w:ascii="Calibri" w:hAnsi="Calibri" w:cs="Calibri"/>
        </w:rPr>
        <w:t xml:space="preserve">Every </w:t>
      </w:r>
      <w:r w:rsidRPr="000C308C">
        <w:rPr>
          <w:rFonts w:ascii="Calibri" w:hAnsi="Calibri" w:cs="Calibri"/>
        </w:rPr>
        <w:t>column across Bronze, Silver, and Gold must carry the following, written into schema.yml at build time (Section 3's incremental discipline):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972"/>
        <w:gridCol w:w="2693"/>
        <w:gridCol w:w="4791"/>
      </w:tblGrid>
      <w:tr w:rsidR="000C308C" w:rsidRPr="00E96608" w14:paraId="35BF2AED" w14:textId="77777777" w:rsidTr="00E96608">
        <w:tc>
          <w:tcPr>
            <w:tcW w:w="2972" w:type="dxa"/>
            <w:shd w:val="clear" w:color="auto" w:fill="1A2E5A"/>
          </w:tcPr>
          <w:p w14:paraId="3C1F1EBB" w14:textId="4F9CCCE5" w:rsidR="000C308C" w:rsidRPr="00E96608" w:rsidRDefault="000C308C" w:rsidP="000C308C">
            <w:pPr>
              <w:tabs>
                <w:tab w:val="left" w:pos="1791"/>
              </w:tabs>
              <w:rPr>
                <w:rFonts w:ascii="Calibri" w:hAnsi="Calibri" w:cs="Calibri"/>
                <w:b/>
                <w:bCs/>
                <w:sz w:val="20"/>
                <w:szCs w:val="20"/>
              </w:rPr>
            </w:pPr>
            <w:r w:rsidRPr="00E96608">
              <w:rPr>
                <w:rFonts w:ascii="Calibri" w:hAnsi="Calibri" w:cs="Calibri"/>
                <w:b/>
                <w:bCs/>
                <w:sz w:val="20"/>
                <w:szCs w:val="20"/>
              </w:rPr>
              <w:t>Field</w:t>
            </w:r>
          </w:p>
        </w:tc>
        <w:tc>
          <w:tcPr>
            <w:tcW w:w="2693" w:type="dxa"/>
            <w:shd w:val="clear" w:color="auto" w:fill="1A2E5A"/>
          </w:tcPr>
          <w:p w14:paraId="10EABDD5" w14:textId="19BA973C" w:rsidR="000C308C" w:rsidRPr="00E96608" w:rsidRDefault="000C308C" w:rsidP="000C308C">
            <w:pPr>
              <w:tabs>
                <w:tab w:val="left" w:pos="1791"/>
              </w:tabs>
              <w:rPr>
                <w:rFonts w:ascii="Calibri" w:hAnsi="Calibri" w:cs="Calibri"/>
                <w:b/>
                <w:bCs/>
                <w:sz w:val="20"/>
                <w:szCs w:val="20"/>
              </w:rPr>
            </w:pPr>
            <w:r w:rsidRPr="00E96608">
              <w:rPr>
                <w:rFonts w:ascii="Calibri" w:hAnsi="Calibri" w:cs="Calibri"/>
                <w:b/>
                <w:bCs/>
                <w:sz w:val="20"/>
                <w:szCs w:val="20"/>
              </w:rPr>
              <w:t>Source</w:t>
            </w:r>
          </w:p>
        </w:tc>
        <w:tc>
          <w:tcPr>
            <w:tcW w:w="4791" w:type="dxa"/>
            <w:shd w:val="clear" w:color="auto" w:fill="1A2E5A"/>
          </w:tcPr>
          <w:p w14:paraId="18815C50" w14:textId="5F20B490" w:rsidR="000C308C" w:rsidRPr="00E96608" w:rsidRDefault="000C308C" w:rsidP="000C308C">
            <w:pPr>
              <w:tabs>
                <w:tab w:val="left" w:pos="1791"/>
              </w:tabs>
              <w:rPr>
                <w:rFonts w:ascii="Calibri" w:hAnsi="Calibri" w:cs="Calibri"/>
                <w:b/>
                <w:bCs/>
                <w:sz w:val="20"/>
                <w:szCs w:val="20"/>
              </w:rPr>
            </w:pPr>
            <w:r w:rsidRPr="00E96608">
              <w:rPr>
                <w:rFonts w:ascii="Calibri" w:hAnsi="Calibri" w:cs="Calibri"/>
                <w:b/>
                <w:bCs/>
                <w:sz w:val="20"/>
                <w:szCs w:val="20"/>
              </w:rPr>
              <w:t>Notes</w:t>
            </w:r>
          </w:p>
        </w:tc>
      </w:tr>
      <w:tr w:rsidR="000C308C" w14:paraId="24B7BF37" w14:textId="77777777" w:rsidTr="00E96608">
        <w:tc>
          <w:tcPr>
            <w:tcW w:w="2972" w:type="dxa"/>
          </w:tcPr>
          <w:p w14:paraId="01DE92FA" w14:textId="40B3FCD4"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Data type</w:t>
            </w:r>
          </w:p>
        </w:tc>
        <w:tc>
          <w:tcPr>
            <w:tcW w:w="2693" w:type="dxa"/>
          </w:tcPr>
          <w:p w14:paraId="52B9423B" w14:textId="0819DF24"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PDD-001</w:t>
            </w:r>
          </w:p>
        </w:tc>
        <w:tc>
          <w:tcPr>
            <w:tcW w:w="4791" w:type="dxa"/>
          </w:tcPr>
          <w:p w14:paraId="282EC13B" w14:textId="5E28B1B8"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e.g. MONEY, VARCHAR (20), BIGINT</w:t>
            </w:r>
          </w:p>
        </w:tc>
      </w:tr>
      <w:tr w:rsidR="000C308C" w14:paraId="55D8C6AD" w14:textId="77777777" w:rsidTr="00E96608">
        <w:tc>
          <w:tcPr>
            <w:tcW w:w="2972" w:type="dxa"/>
            <w:shd w:val="clear" w:color="auto" w:fill="EEF1F8"/>
          </w:tcPr>
          <w:p w14:paraId="382F5F19" w14:textId="1DE85962"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Business Description</w:t>
            </w:r>
          </w:p>
        </w:tc>
        <w:tc>
          <w:tcPr>
            <w:tcW w:w="2693" w:type="dxa"/>
            <w:shd w:val="clear" w:color="auto" w:fill="EEF1F8"/>
          </w:tcPr>
          <w:p w14:paraId="0C600BD1" w14:textId="2F2B82AF"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DM-001</w:t>
            </w:r>
          </w:p>
        </w:tc>
        <w:tc>
          <w:tcPr>
            <w:tcW w:w="4791" w:type="dxa"/>
            <w:shd w:val="clear" w:color="auto" w:fill="EEF1F8"/>
          </w:tcPr>
          <w:p w14:paraId="5BB1FA36" w14:textId="247C1866"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Plain-language meaning, not just the column name restated</w:t>
            </w:r>
          </w:p>
        </w:tc>
      </w:tr>
      <w:tr w:rsidR="000C308C" w14:paraId="2B142116" w14:textId="77777777" w:rsidTr="00E96608">
        <w:tc>
          <w:tcPr>
            <w:tcW w:w="2972" w:type="dxa"/>
          </w:tcPr>
          <w:p w14:paraId="784ACB9D" w14:textId="1B3E98F2"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Source system and field</w:t>
            </w:r>
          </w:p>
        </w:tc>
        <w:tc>
          <w:tcPr>
            <w:tcW w:w="2693" w:type="dxa"/>
          </w:tcPr>
          <w:p w14:paraId="68722E09" w14:textId="188E8CB9"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STM-001</w:t>
            </w:r>
          </w:p>
        </w:tc>
        <w:tc>
          <w:tcPr>
            <w:tcW w:w="4791" w:type="dxa"/>
          </w:tcPr>
          <w:p w14:paraId="7F5CED9A" w14:textId="1BA7EA0D"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Traces to the actual origin system/table/field</w:t>
            </w:r>
          </w:p>
        </w:tc>
      </w:tr>
      <w:tr w:rsidR="000C308C" w14:paraId="0D28A2B9" w14:textId="77777777" w:rsidTr="00E96608">
        <w:tc>
          <w:tcPr>
            <w:tcW w:w="2972" w:type="dxa"/>
            <w:shd w:val="clear" w:color="auto" w:fill="EEF1F8"/>
          </w:tcPr>
          <w:p w14:paraId="3E461173" w14:textId="5096F583"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Transformation logic</w:t>
            </w:r>
          </w:p>
        </w:tc>
        <w:tc>
          <w:tcPr>
            <w:tcW w:w="2693" w:type="dxa"/>
            <w:shd w:val="clear" w:color="auto" w:fill="EEF1F8"/>
          </w:tcPr>
          <w:p w14:paraId="2118350E" w14:textId="31B5BF2E"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STM-001</w:t>
            </w:r>
          </w:p>
        </w:tc>
        <w:tc>
          <w:tcPr>
            <w:tcW w:w="4791" w:type="dxa"/>
            <w:shd w:val="clear" w:color="auto" w:fill="EEF1F8"/>
          </w:tcPr>
          <w:p w14:paraId="38B8307B" w14:textId="6CE6D67B"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Any calculation, mapping, or derivation applied</w:t>
            </w:r>
          </w:p>
        </w:tc>
      </w:tr>
      <w:tr w:rsidR="000C308C" w14:paraId="1BC1CD76" w14:textId="77777777" w:rsidTr="00E96608">
        <w:tc>
          <w:tcPr>
            <w:tcW w:w="2972" w:type="dxa"/>
          </w:tcPr>
          <w:p w14:paraId="6AF743FC" w14:textId="6429DE3B"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Confidence rating</w:t>
            </w:r>
          </w:p>
        </w:tc>
        <w:tc>
          <w:tcPr>
            <w:tcW w:w="2693" w:type="dxa"/>
          </w:tcPr>
          <w:p w14:paraId="2AF7FDE7" w14:textId="6C6A9288"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STM-001</w:t>
            </w:r>
          </w:p>
        </w:tc>
        <w:tc>
          <w:tcPr>
            <w:tcW w:w="4791" w:type="dxa"/>
          </w:tcPr>
          <w:p w14:paraId="06D45B5E" w14:textId="73EC19A3"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Carried forward from design — see below</w:t>
            </w:r>
          </w:p>
        </w:tc>
      </w:tr>
      <w:tr w:rsidR="000C308C" w14:paraId="02B67B4A" w14:textId="77777777" w:rsidTr="00E96608">
        <w:tc>
          <w:tcPr>
            <w:tcW w:w="2972" w:type="dxa"/>
            <w:shd w:val="clear" w:color="auto" w:fill="EEF1F8"/>
          </w:tcPr>
          <w:p w14:paraId="4105AE1B" w14:textId="6434BFD6"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Sample value</w:t>
            </w:r>
          </w:p>
        </w:tc>
        <w:tc>
          <w:tcPr>
            <w:tcW w:w="2693" w:type="dxa"/>
            <w:shd w:val="clear" w:color="auto" w:fill="EEF1F8"/>
          </w:tcPr>
          <w:p w14:paraId="11F5156F" w14:textId="4911DBA0"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New – this standard</w:t>
            </w:r>
          </w:p>
        </w:tc>
        <w:tc>
          <w:tcPr>
            <w:tcW w:w="4791" w:type="dxa"/>
            <w:shd w:val="clear" w:color="auto" w:fill="EEF1F8"/>
          </w:tcPr>
          <w:p w14:paraId="0243EBB7" w14:textId="2B1FC0AD"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Synthetic only, never real production data, regardless of project</w:t>
            </w:r>
          </w:p>
        </w:tc>
      </w:tr>
      <w:tr w:rsidR="000C308C" w14:paraId="6221229F" w14:textId="77777777" w:rsidTr="00E96608">
        <w:tc>
          <w:tcPr>
            <w:tcW w:w="2972" w:type="dxa"/>
          </w:tcPr>
          <w:p w14:paraId="24826860" w14:textId="16F38CC0"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POPIA sensitivity classification</w:t>
            </w:r>
          </w:p>
        </w:tc>
        <w:tc>
          <w:tcPr>
            <w:tcW w:w="2693" w:type="dxa"/>
          </w:tcPr>
          <w:p w14:paraId="39EAEB50" w14:textId="56D074AB"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New – this standard</w:t>
            </w:r>
          </w:p>
        </w:tc>
        <w:tc>
          <w:tcPr>
            <w:tcW w:w="4791" w:type="dxa"/>
          </w:tcPr>
          <w:p w14:paraId="04523DFF" w14:textId="2E81FBBB" w:rsidR="000C308C" w:rsidRPr="00E96608" w:rsidRDefault="000C308C" w:rsidP="000C308C">
            <w:pPr>
              <w:tabs>
                <w:tab w:val="left" w:pos="1791"/>
              </w:tabs>
              <w:rPr>
                <w:rFonts w:ascii="Calibri" w:hAnsi="Calibri" w:cs="Calibri"/>
                <w:sz w:val="20"/>
                <w:szCs w:val="20"/>
              </w:rPr>
            </w:pPr>
            <w:r w:rsidRPr="00E96608">
              <w:rPr>
                <w:rFonts w:ascii="Calibri" w:hAnsi="Calibri" w:cs="Calibri"/>
                <w:sz w:val="20"/>
                <w:szCs w:val="20"/>
              </w:rPr>
              <w:t>See tiered scheme below</w:t>
            </w:r>
          </w:p>
        </w:tc>
      </w:tr>
    </w:tbl>
    <w:p w14:paraId="2869CA40" w14:textId="77777777" w:rsidR="000C308C" w:rsidRDefault="000C308C" w:rsidP="000C308C">
      <w:pPr>
        <w:tabs>
          <w:tab w:val="left" w:pos="1791"/>
        </w:tabs>
        <w:rPr>
          <w:rFonts w:ascii="Calibri" w:hAnsi="Calibri" w:cs="Calibri"/>
        </w:rPr>
      </w:pPr>
    </w:p>
    <w:p w14:paraId="1DBCDF81" w14:textId="55989B1C" w:rsidR="00F7656A" w:rsidRDefault="000C308C" w:rsidP="00A935B6">
      <w:pPr>
        <w:tabs>
          <w:tab w:val="left" w:pos="1791"/>
        </w:tabs>
        <w:jc w:val="both"/>
        <w:rPr>
          <w:rFonts w:ascii="Calibri" w:hAnsi="Calibri" w:cs="Calibri"/>
        </w:rPr>
      </w:pPr>
      <w:r w:rsidRPr="000C308C">
        <w:rPr>
          <w:rFonts w:ascii="Calibri" w:hAnsi="Calibri" w:cs="Calibri"/>
        </w:rPr>
        <w:t>This consolidates what currently requires opening three separate documents (DM-001, STM-001, PDD-001) into a single, queryable reference per column.</w:t>
      </w:r>
    </w:p>
    <w:p w14:paraId="45DD5EDF" w14:textId="1EA45FB4" w:rsidR="000C308C" w:rsidRDefault="000C308C" w:rsidP="00A935B6">
      <w:pPr>
        <w:tabs>
          <w:tab w:val="left" w:pos="1791"/>
        </w:tabs>
        <w:jc w:val="both"/>
        <w:rPr>
          <w:rFonts w:ascii="Calibri" w:hAnsi="Calibri" w:cs="Calibri"/>
        </w:rPr>
      </w:pPr>
      <w:r w:rsidRPr="000C308C">
        <w:rPr>
          <w:rFonts w:ascii="Calibri" w:hAnsi="Calibri" w:cs="Calibri"/>
          <w:b/>
          <w:bCs/>
        </w:rPr>
        <w:t>Confidence rating, redefined for production use:</w:t>
      </w:r>
      <w:r w:rsidRPr="000C308C">
        <w:rPr>
          <w:rFonts w:ascii="Calibri" w:hAnsi="Calibri" w:cs="Calibri"/>
        </w:rPr>
        <w:t xml:space="preserve"> STM-001's </w:t>
      </w:r>
      <w:r w:rsidRPr="000C308C">
        <w:rPr>
          <w:rFonts w:ascii="Calibri" w:hAnsi="Calibri" w:cs="Calibri"/>
          <w:b/>
          <w:bCs/>
        </w:rPr>
        <w:t>CONFIRMED/ASSUMED</w:t>
      </w:r>
      <w:r w:rsidRPr="000C308C">
        <w:rPr>
          <w:rFonts w:ascii="Calibri" w:hAnsi="Calibri" w:cs="Calibri"/>
        </w:rPr>
        <w:t xml:space="preserve"> distinction is carried forward, but its meaning shifts once a pipeline is live. It no longer indicates whether the mapping </w:t>
      </w:r>
      <w:r w:rsidRPr="000C308C">
        <w:rPr>
          <w:rFonts w:ascii="Calibri" w:hAnsi="Calibri" w:cs="Calibri"/>
          <w:i/>
          <w:iCs/>
        </w:rPr>
        <w:t>works</w:t>
      </w:r>
      <w:r w:rsidRPr="000C308C">
        <w:rPr>
          <w:rFonts w:ascii="Calibri" w:hAnsi="Calibri" w:cs="Calibri"/>
        </w:rPr>
        <w:t xml:space="preserve"> — a running, tested pipeline has already proven that. It indicates </w:t>
      </w:r>
      <w:r w:rsidRPr="000C308C">
        <w:rPr>
          <w:rFonts w:ascii="Calibri" w:hAnsi="Calibri" w:cs="Calibri"/>
          <w:b/>
          <w:bCs/>
        </w:rPr>
        <w:t>how well the mapping was validated by a subject matter expert</w:t>
      </w:r>
      <w:r w:rsidRPr="000C308C">
        <w:rPr>
          <w:rFonts w:ascii="Calibri" w:hAnsi="Calibri" w:cs="Calibri"/>
        </w:rPr>
        <w:t xml:space="preserve"> at design time. A </w:t>
      </w:r>
      <w:r w:rsidRPr="000C308C">
        <w:rPr>
          <w:rFonts w:ascii="Calibri" w:hAnsi="Calibri" w:cs="Calibri"/>
          <w:b/>
          <w:bCs/>
        </w:rPr>
        <w:t>CONFIRMED</w:t>
      </w:r>
      <w:r w:rsidRPr="000C308C">
        <w:rPr>
          <w:rFonts w:ascii="Calibri" w:hAnsi="Calibri" w:cs="Calibri"/>
        </w:rPr>
        <w:t xml:space="preserve"> field was SME-verified; an </w:t>
      </w:r>
      <w:r w:rsidRPr="000C308C">
        <w:rPr>
          <w:rFonts w:ascii="Calibri" w:hAnsi="Calibri" w:cs="Calibri"/>
          <w:b/>
          <w:bCs/>
        </w:rPr>
        <w:t>ASSUMED</w:t>
      </w:r>
      <w:r w:rsidRPr="000C308C">
        <w:rPr>
          <w:rFonts w:ascii="Calibri" w:hAnsi="Calibri" w:cs="Calibri"/>
        </w:rPr>
        <w:t xml:space="preserve"> field that happens to work today is still an unconfirmed guess that could silently break if the source system changes in a way nobody explicitly agreed to. This distinction matters most for prioritizing which fields to re-validate first if a source system changes.</w:t>
      </w:r>
    </w:p>
    <w:p w14:paraId="4B6731AC" w14:textId="77777777" w:rsidR="000C308C" w:rsidRDefault="000C308C" w:rsidP="00A935B6">
      <w:pPr>
        <w:tabs>
          <w:tab w:val="left" w:pos="1791"/>
        </w:tabs>
        <w:jc w:val="both"/>
        <w:rPr>
          <w:rFonts w:ascii="Calibri" w:hAnsi="Calibri" w:cs="Calibri"/>
        </w:rPr>
      </w:pPr>
    </w:p>
    <w:p w14:paraId="0593E92F" w14:textId="77777777" w:rsidR="005B3DCB" w:rsidRDefault="005B3DCB" w:rsidP="00A935B6">
      <w:pPr>
        <w:tabs>
          <w:tab w:val="left" w:pos="1791"/>
        </w:tabs>
        <w:jc w:val="both"/>
        <w:rPr>
          <w:rFonts w:ascii="Calibri" w:hAnsi="Calibri" w:cs="Calibri"/>
        </w:rPr>
      </w:pPr>
    </w:p>
    <w:p w14:paraId="4AEDF24A" w14:textId="77777777" w:rsidR="005B3DCB" w:rsidRPr="005B3DCB" w:rsidRDefault="005B3DCB" w:rsidP="00A935B6">
      <w:pPr>
        <w:tabs>
          <w:tab w:val="left" w:pos="1791"/>
        </w:tabs>
        <w:jc w:val="both"/>
        <w:rPr>
          <w:rFonts w:ascii="Calibri" w:hAnsi="Calibri" w:cs="Calibri"/>
          <w:b/>
          <w:bCs/>
        </w:rPr>
      </w:pPr>
    </w:p>
    <w:p w14:paraId="27AEE855" w14:textId="5184D2A1" w:rsidR="000C308C" w:rsidRDefault="000C308C" w:rsidP="00A935B6">
      <w:pPr>
        <w:tabs>
          <w:tab w:val="left" w:pos="1791"/>
        </w:tabs>
        <w:jc w:val="both"/>
        <w:rPr>
          <w:rFonts w:ascii="Calibri" w:hAnsi="Calibri" w:cs="Calibri"/>
          <w:b/>
          <w:bCs/>
        </w:rPr>
      </w:pPr>
      <w:r w:rsidRPr="005B3DCB">
        <w:rPr>
          <w:rFonts w:ascii="Calibri" w:hAnsi="Calibri" w:cs="Calibri"/>
          <w:b/>
          <w:bCs/>
        </w:rPr>
        <w:t>POPIA sensitivity classification (tiered):</w:t>
      </w:r>
    </w:p>
    <w:p w14:paraId="33836CFE" w14:textId="5541BC1D" w:rsidR="00F44756" w:rsidRPr="00F44756" w:rsidRDefault="00F44756" w:rsidP="00A935B6">
      <w:pPr>
        <w:tabs>
          <w:tab w:val="left" w:pos="1791"/>
        </w:tabs>
        <w:jc w:val="both"/>
        <w:rPr>
          <w:rFonts w:ascii="Calibri" w:hAnsi="Calibri" w:cs="Calibri"/>
        </w:rPr>
      </w:pPr>
      <w:r w:rsidRPr="00F44756">
        <w:rPr>
          <w:rFonts w:ascii="Calibri" w:hAnsi="Calibri" w:cs="Calibri"/>
        </w:rPr>
        <w:t xml:space="preserve">Known limitation: this classification scheme operates at the single-column level, matching </w:t>
      </w:r>
      <w:r w:rsidRPr="00F44756">
        <w:rPr>
          <w:rFonts w:ascii="Calibri" w:hAnsi="Calibri" w:cs="Calibri"/>
          <w:b/>
          <w:bCs/>
        </w:rPr>
        <w:t>schema.yml's</w:t>
      </w:r>
      <w:r w:rsidRPr="00F44756">
        <w:rPr>
          <w:rFonts w:ascii="Calibri" w:hAnsi="Calibri" w:cs="Calibri"/>
        </w:rPr>
        <w:t xml:space="preserve"> structure. It cannot currently express risk that only emerges from a </w:t>
      </w:r>
      <w:r w:rsidRPr="00F44756">
        <w:rPr>
          <w:rFonts w:ascii="Calibri" w:hAnsi="Calibri" w:cs="Calibri"/>
          <w:b/>
          <w:bCs/>
        </w:rPr>
        <w:t>combination</w:t>
      </w:r>
      <w:r w:rsidRPr="00F44756">
        <w:rPr>
          <w:rFonts w:ascii="Calibri" w:hAnsi="Calibri" w:cs="Calibri"/>
        </w:rPr>
        <w:t xml:space="preserve"> of columns viewed together — e.g. customer segment combined with contact history, which may constitute a higher re-identification or profiling risk than either column carries alone. This is a genuine gap, not yet solved by this standard, and is flagged here rather than papered over with an example the mechanism cannot actually support. Addressing this may require view-level or query-level sensitivity tagging, which is out of scope for MET-001 v1.0.</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838"/>
        <w:gridCol w:w="4961"/>
        <w:gridCol w:w="3657"/>
      </w:tblGrid>
      <w:tr w:rsidR="000C308C" w:rsidRPr="007D22E6" w14:paraId="2D5B5449" w14:textId="77777777" w:rsidTr="007D22E6">
        <w:tc>
          <w:tcPr>
            <w:tcW w:w="1838" w:type="dxa"/>
            <w:shd w:val="clear" w:color="auto" w:fill="1A2E5A"/>
          </w:tcPr>
          <w:p w14:paraId="7EF6DD59" w14:textId="7C038136" w:rsidR="000C308C" w:rsidRPr="007D22E6" w:rsidRDefault="000C308C" w:rsidP="00A935B6">
            <w:pPr>
              <w:tabs>
                <w:tab w:val="left" w:pos="1791"/>
              </w:tabs>
              <w:jc w:val="both"/>
              <w:rPr>
                <w:rFonts w:ascii="Calibri" w:hAnsi="Calibri" w:cs="Calibri"/>
                <w:b/>
                <w:bCs/>
                <w:sz w:val="20"/>
                <w:szCs w:val="20"/>
              </w:rPr>
            </w:pPr>
            <w:r w:rsidRPr="007D22E6">
              <w:rPr>
                <w:rFonts w:ascii="Calibri" w:hAnsi="Calibri" w:cs="Calibri"/>
                <w:b/>
                <w:bCs/>
                <w:sz w:val="20"/>
                <w:szCs w:val="20"/>
              </w:rPr>
              <w:t>Tier</w:t>
            </w:r>
          </w:p>
        </w:tc>
        <w:tc>
          <w:tcPr>
            <w:tcW w:w="4961" w:type="dxa"/>
            <w:shd w:val="clear" w:color="auto" w:fill="1A2E5A"/>
          </w:tcPr>
          <w:p w14:paraId="5F96A7C6" w14:textId="33CE40CA" w:rsidR="000C308C" w:rsidRPr="007D22E6" w:rsidRDefault="000C308C" w:rsidP="00A935B6">
            <w:pPr>
              <w:tabs>
                <w:tab w:val="left" w:pos="1791"/>
              </w:tabs>
              <w:jc w:val="both"/>
              <w:rPr>
                <w:rFonts w:ascii="Calibri" w:hAnsi="Calibri" w:cs="Calibri"/>
                <w:b/>
                <w:bCs/>
                <w:sz w:val="20"/>
                <w:szCs w:val="20"/>
              </w:rPr>
            </w:pPr>
            <w:r w:rsidRPr="007D22E6">
              <w:rPr>
                <w:rFonts w:ascii="Calibri" w:hAnsi="Calibri" w:cs="Calibri"/>
                <w:b/>
                <w:bCs/>
                <w:sz w:val="20"/>
                <w:szCs w:val="20"/>
              </w:rPr>
              <w:t>Meaning</w:t>
            </w:r>
          </w:p>
        </w:tc>
        <w:tc>
          <w:tcPr>
            <w:tcW w:w="3657" w:type="dxa"/>
            <w:shd w:val="clear" w:color="auto" w:fill="1A2E5A"/>
          </w:tcPr>
          <w:p w14:paraId="31AF4E4B" w14:textId="173B0B2D" w:rsidR="000C308C" w:rsidRPr="007D22E6" w:rsidRDefault="000C308C" w:rsidP="00A935B6">
            <w:pPr>
              <w:tabs>
                <w:tab w:val="left" w:pos="1791"/>
              </w:tabs>
              <w:jc w:val="both"/>
              <w:rPr>
                <w:rFonts w:ascii="Calibri" w:hAnsi="Calibri" w:cs="Calibri"/>
                <w:b/>
                <w:bCs/>
                <w:sz w:val="20"/>
                <w:szCs w:val="20"/>
              </w:rPr>
            </w:pPr>
            <w:r w:rsidRPr="007D22E6">
              <w:rPr>
                <w:rFonts w:ascii="Calibri" w:hAnsi="Calibri" w:cs="Calibri"/>
                <w:b/>
                <w:bCs/>
                <w:sz w:val="20"/>
                <w:szCs w:val="20"/>
              </w:rPr>
              <w:t>Example</w:t>
            </w:r>
          </w:p>
        </w:tc>
      </w:tr>
      <w:tr w:rsidR="000C308C" w14:paraId="1CA5C086" w14:textId="77777777" w:rsidTr="007D22E6">
        <w:tc>
          <w:tcPr>
            <w:tcW w:w="1838" w:type="dxa"/>
          </w:tcPr>
          <w:p w14:paraId="23BD4179" w14:textId="3511BD32"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None</w:t>
            </w:r>
          </w:p>
        </w:tc>
        <w:tc>
          <w:tcPr>
            <w:tcW w:w="4961" w:type="dxa"/>
          </w:tcPr>
          <w:p w14:paraId="2E858757" w14:textId="4D275F06" w:rsidR="000C308C" w:rsidRPr="007D22E6" w:rsidRDefault="000C308C" w:rsidP="000C308C">
            <w:pPr>
              <w:tabs>
                <w:tab w:val="left" w:pos="1791"/>
              </w:tabs>
              <w:rPr>
                <w:rFonts w:ascii="Calibri" w:hAnsi="Calibri" w:cs="Calibri"/>
                <w:sz w:val="20"/>
                <w:szCs w:val="20"/>
              </w:rPr>
            </w:pPr>
            <w:r w:rsidRPr="007D22E6">
              <w:rPr>
                <w:rFonts w:ascii="Calibri" w:hAnsi="Calibri" w:cs="Calibri"/>
                <w:sz w:val="20"/>
                <w:szCs w:val="20"/>
              </w:rPr>
              <w:t>No personal or sensitive business data</w:t>
            </w:r>
          </w:p>
        </w:tc>
        <w:tc>
          <w:tcPr>
            <w:tcW w:w="3657" w:type="dxa"/>
          </w:tcPr>
          <w:p w14:paraId="53A5D9EA" w14:textId="3760F92E" w:rsidR="000C308C" w:rsidRPr="007D22E6" w:rsidRDefault="00F00752" w:rsidP="000C308C">
            <w:pPr>
              <w:tabs>
                <w:tab w:val="left" w:pos="1791"/>
              </w:tabs>
              <w:rPr>
                <w:rFonts w:ascii="Calibri" w:hAnsi="Calibri" w:cs="Calibri"/>
                <w:sz w:val="20"/>
                <w:szCs w:val="20"/>
              </w:rPr>
            </w:pPr>
            <w:r w:rsidRPr="007D22E6">
              <w:rPr>
                <w:rFonts w:ascii="Calibri" w:hAnsi="Calibri" w:cs="Calibri"/>
                <w:sz w:val="20"/>
                <w:szCs w:val="20"/>
              </w:rPr>
              <w:t>date_key, store_key</w:t>
            </w:r>
          </w:p>
        </w:tc>
      </w:tr>
      <w:tr w:rsidR="000C308C" w14:paraId="2F1DD041" w14:textId="77777777" w:rsidTr="007D22E6">
        <w:tc>
          <w:tcPr>
            <w:tcW w:w="1838" w:type="dxa"/>
            <w:shd w:val="clear" w:color="auto" w:fill="EEF1F8"/>
          </w:tcPr>
          <w:p w14:paraId="1DD79858" w14:textId="2B4CA882"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Internal</w:t>
            </w:r>
          </w:p>
        </w:tc>
        <w:tc>
          <w:tcPr>
            <w:tcW w:w="4961" w:type="dxa"/>
            <w:shd w:val="clear" w:color="auto" w:fill="EEF1F8"/>
          </w:tcPr>
          <w:p w14:paraId="72FC1C44" w14:textId="0DA9D66A" w:rsidR="000C308C" w:rsidRPr="007D22E6" w:rsidRDefault="000C308C" w:rsidP="000C308C">
            <w:pPr>
              <w:tabs>
                <w:tab w:val="left" w:pos="1791"/>
              </w:tabs>
              <w:rPr>
                <w:rFonts w:ascii="Calibri" w:hAnsi="Calibri" w:cs="Calibri"/>
                <w:sz w:val="20"/>
                <w:szCs w:val="20"/>
              </w:rPr>
            </w:pPr>
            <w:r w:rsidRPr="007D22E6">
              <w:rPr>
                <w:rFonts w:ascii="Calibri" w:hAnsi="Calibri" w:cs="Calibri"/>
                <w:sz w:val="20"/>
                <w:szCs w:val="20"/>
              </w:rPr>
              <w:t>Business-sensitive but not personal data; visible to staff, not for external sharing</w:t>
            </w:r>
          </w:p>
        </w:tc>
        <w:tc>
          <w:tcPr>
            <w:tcW w:w="3657" w:type="dxa"/>
            <w:shd w:val="clear" w:color="auto" w:fill="EEF1F8"/>
          </w:tcPr>
          <w:p w14:paraId="4CD554AA" w14:textId="7C0D5E7D" w:rsidR="000C308C" w:rsidRPr="007D22E6" w:rsidRDefault="00F00752" w:rsidP="000C308C">
            <w:pPr>
              <w:tabs>
                <w:tab w:val="left" w:pos="1791"/>
              </w:tabs>
              <w:rPr>
                <w:rFonts w:ascii="Calibri" w:hAnsi="Calibri" w:cs="Calibri"/>
                <w:sz w:val="20"/>
                <w:szCs w:val="20"/>
              </w:rPr>
            </w:pPr>
            <w:r w:rsidRPr="007D22E6">
              <w:rPr>
                <w:rFonts w:ascii="Calibri" w:hAnsi="Calibri" w:cs="Calibri"/>
                <w:sz w:val="20"/>
                <w:szCs w:val="20"/>
              </w:rPr>
              <w:t>contracted_rate, unit_cost</w:t>
            </w:r>
          </w:p>
        </w:tc>
      </w:tr>
      <w:tr w:rsidR="000C308C" w14:paraId="277D6F99" w14:textId="77777777" w:rsidTr="007D22E6">
        <w:tc>
          <w:tcPr>
            <w:tcW w:w="1838" w:type="dxa"/>
          </w:tcPr>
          <w:p w14:paraId="25CB26EE" w14:textId="41337F60"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Sensitive – PII</w:t>
            </w:r>
          </w:p>
        </w:tc>
        <w:tc>
          <w:tcPr>
            <w:tcW w:w="4961" w:type="dxa"/>
          </w:tcPr>
          <w:p w14:paraId="7DA13FB7" w14:textId="5376BA90" w:rsidR="000C308C" w:rsidRPr="007D22E6" w:rsidRDefault="000C308C" w:rsidP="000C308C">
            <w:pPr>
              <w:tabs>
                <w:tab w:val="left" w:pos="1791"/>
              </w:tabs>
              <w:rPr>
                <w:rFonts w:ascii="Calibri" w:hAnsi="Calibri" w:cs="Calibri"/>
                <w:sz w:val="20"/>
                <w:szCs w:val="20"/>
              </w:rPr>
            </w:pPr>
            <w:r w:rsidRPr="007D22E6">
              <w:rPr>
                <w:rFonts w:ascii="Calibri" w:hAnsi="Calibri" w:cs="Calibri"/>
                <w:sz w:val="20"/>
                <w:szCs w:val="20"/>
              </w:rPr>
              <w:t>Personal information; access should be role-restricted</w:t>
            </w:r>
          </w:p>
        </w:tc>
        <w:tc>
          <w:tcPr>
            <w:tcW w:w="3657" w:type="dxa"/>
          </w:tcPr>
          <w:p w14:paraId="2E1645B8" w14:textId="47375495" w:rsidR="000C308C" w:rsidRPr="007D22E6" w:rsidRDefault="00F00752" w:rsidP="000C308C">
            <w:pPr>
              <w:tabs>
                <w:tab w:val="left" w:pos="1791"/>
              </w:tabs>
              <w:rPr>
                <w:rFonts w:ascii="Calibri" w:hAnsi="Calibri" w:cs="Calibri"/>
                <w:sz w:val="20"/>
                <w:szCs w:val="20"/>
              </w:rPr>
            </w:pPr>
            <w:r w:rsidRPr="007D22E6">
              <w:rPr>
                <w:rFonts w:ascii="Calibri" w:hAnsi="Calibri" w:cs="Calibri"/>
                <w:sz w:val="20"/>
                <w:szCs w:val="20"/>
              </w:rPr>
              <w:t>email, phone_number, physical_address</w:t>
            </w:r>
          </w:p>
        </w:tc>
      </w:tr>
      <w:tr w:rsidR="000C308C" w14:paraId="729B2A32" w14:textId="77777777" w:rsidTr="007D22E6">
        <w:tc>
          <w:tcPr>
            <w:tcW w:w="1838" w:type="dxa"/>
            <w:shd w:val="clear" w:color="auto" w:fill="EEF1F8"/>
          </w:tcPr>
          <w:p w14:paraId="122F0C90" w14:textId="5B713331" w:rsidR="000C308C" w:rsidRPr="007D22E6" w:rsidRDefault="000C308C" w:rsidP="000C308C">
            <w:pPr>
              <w:tabs>
                <w:tab w:val="left" w:pos="1791"/>
              </w:tabs>
              <w:rPr>
                <w:rFonts w:ascii="Calibri" w:hAnsi="Calibri" w:cs="Calibri"/>
                <w:b/>
                <w:bCs/>
                <w:sz w:val="20"/>
                <w:szCs w:val="20"/>
              </w:rPr>
            </w:pPr>
            <w:r w:rsidRPr="007D22E6">
              <w:rPr>
                <w:rFonts w:ascii="Calibri" w:hAnsi="Calibri" w:cs="Calibri"/>
                <w:b/>
                <w:bCs/>
                <w:sz w:val="20"/>
                <w:szCs w:val="20"/>
              </w:rPr>
              <w:t>Highly Sensitive</w:t>
            </w:r>
          </w:p>
        </w:tc>
        <w:tc>
          <w:tcPr>
            <w:tcW w:w="4961" w:type="dxa"/>
            <w:shd w:val="clear" w:color="auto" w:fill="EEF1F8"/>
          </w:tcPr>
          <w:p w14:paraId="3201AAD5" w14:textId="0AF65469" w:rsidR="000C308C" w:rsidRPr="007D22E6" w:rsidRDefault="00F00752" w:rsidP="000C308C">
            <w:pPr>
              <w:tabs>
                <w:tab w:val="left" w:pos="1791"/>
              </w:tabs>
              <w:rPr>
                <w:rFonts w:ascii="Calibri" w:hAnsi="Calibri" w:cs="Calibri"/>
                <w:sz w:val="20"/>
                <w:szCs w:val="20"/>
              </w:rPr>
            </w:pPr>
            <w:r w:rsidRPr="007D22E6">
              <w:rPr>
                <w:rFonts w:ascii="Calibri" w:hAnsi="Calibri" w:cs="Calibri"/>
                <w:sz w:val="20"/>
                <w:szCs w:val="20"/>
              </w:rPr>
              <w:t>PII combined with financial or behavioural profiling; requires the strictest access control</w:t>
            </w:r>
          </w:p>
        </w:tc>
        <w:tc>
          <w:tcPr>
            <w:tcW w:w="3657" w:type="dxa"/>
            <w:shd w:val="clear" w:color="auto" w:fill="EEF1F8"/>
          </w:tcPr>
          <w:p w14:paraId="050381E7" w14:textId="1C6F0DD0" w:rsidR="000C308C" w:rsidRPr="007D22E6" w:rsidRDefault="00F00752" w:rsidP="000C308C">
            <w:pPr>
              <w:tabs>
                <w:tab w:val="left" w:pos="1791"/>
              </w:tabs>
              <w:rPr>
                <w:rFonts w:ascii="Calibri" w:hAnsi="Calibri" w:cs="Calibri"/>
                <w:sz w:val="20"/>
                <w:szCs w:val="20"/>
              </w:rPr>
            </w:pPr>
            <w:r w:rsidRPr="007D22E6">
              <w:rPr>
                <w:rFonts w:ascii="Calibri" w:hAnsi="Calibri" w:cs="Calibri"/>
                <w:sz w:val="20"/>
                <w:szCs w:val="20"/>
              </w:rPr>
              <w:t>Customer segment + contact history combined views</w:t>
            </w:r>
          </w:p>
        </w:tc>
      </w:tr>
    </w:tbl>
    <w:p w14:paraId="36837352" w14:textId="77777777" w:rsidR="000C308C" w:rsidRDefault="000C308C" w:rsidP="00A935B6">
      <w:pPr>
        <w:tabs>
          <w:tab w:val="left" w:pos="1791"/>
        </w:tabs>
        <w:jc w:val="both"/>
        <w:rPr>
          <w:rFonts w:ascii="Calibri" w:hAnsi="Calibri" w:cs="Calibri"/>
        </w:rPr>
      </w:pPr>
    </w:p>
    <w:p w14:paraId="729E7327" w14:textId="2678D268" w:rsidR="00F00752" w:rsidRDefault="00F00752" w:rsidP="00A935B6">
      <w:pPr>
        <w:tabs>
          <w:tab w:val="left" w:pos="1791"/>
        </w:tabs>
        <w:jc w:val="both"/>
        <w:rPr>
          <w:rFonts w:ascii="Calibri" w:hAnsi="Calibri" w:cs="Calibri"/>
        </w:rPr>
      </w:pPr>
      <w:r w:rsidRPr="00F00752">
        <w:rPr>
          <w:rFonts w:ascii="Calibri" w:hAnsi="Calibri" w:cs="Calibri"/>
        </w:rPr>
        <w:t>A binary flag cannot distinguish "visible to all staff" from "requires restricted access or must never be exported externally" — the tiered scheme exists specifically to support that distinction, which matters given ADR-002 and ADR-007's POPIA obligations are legal requirements, not preferences.</w:t>
      </w:r>
    </w:p>
    <w:p w14:paraId="2F0A5740" w14:textId="77777777" w:rsidR="00F7656A" w:rsidRDefault="00F7656A" w:rsidP="00A935B6">
      <w:pPr>
        <w:tabs>
          <w:tab w:val="left" w:pos="1791"/>
        </w:tabs>
        <w:jc w:val="both"/>
        <w:rPr>
          <w:rFonts w:ascii="Calibri" w:hAnsi="Calibri" w:cs="Calibri"/>
        </w:rPr>
      </w:pPr>
    </w:p>
    <w:p w14:paraId="3F79757F" w14:textId="77777777" w:rsidR="00F7656A" w:rsidRDefault="00F7656A" w:rsidP="00A935B6">
      <w:pPr>
        <w:tabs>
          <w:tab w:val="left" w:pos="1791"/>
        </w:tabs>
        <w:jc w:val="both"/>
        <w:rPr>
          <w:rFonts w:ascii="Calibri" w:hAnsi="Calibri" w:cs="Calibri"/>
        </w:rPr>
      </w:pPr>
    </w:p>
    <w:p w14:paraId="786A41B6" w14:textId="068DB1D0" w:rsidR="00A935B6" w:rsidRPr="00430476" w:rsidRDefault="008150CB" w:rsidP="00A935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Governance and Ownership</w:t>
      </w:r>
    </w:p>
    <w:p w14:paraId="111DB71F" w14:textId="5EA8ABCC" w:rsidR="00F41E85" w:rsidRDefault="00FE31F7" w:rsidP="00FE31F7">
      <w:pPr>
        <w:tabs>
          <w:tab w:val="left" w:pos="1791"/>
        </w:tabs>
        <w:rPr>
          <w:rFonts w:ascii="Calibri" w:hAnsi="Calibri" w:cs="Calibri"/>
        </w:rPr>
      </w:pPr>
      <w:r w:rsidRPr="00FE31F7">
        <w:rPr>
          <w:rFonts w:ascii="Calibri" w:hAnsi="Calibri" w:cs="Calibri"/>
          <w:b/>
          <w:bCs/>
        </w:rPr>
        <w:t>Enforcement — automated, not memory-dependent.</w:t>
      </w:r>
      <w:r w:rsidRPr="00FE31F7">
        <w:rPr>
          <w:rFonts w:ascii="Calibri" w:hAnsi="Calibri" w:cs="Calibri"/>
        </w:rPr>
        <w:t xml:space="preserve"> Rather than relying on individual engineers remembering to document their work, or a lead manually checking every change, documentation completeness is enforced as an </w:t>
      </w:r>
      <w:r w:rsidRPr="00FE31F7">
        <w:rPr>
          <w:rFonts w:ascii="Calibri" w:hAnsi="Calibri" w:cs="Calibri"/>
          <w:b/>
          <w:bCs/>
        </w:rPr>
        <w:t>automated build gate</w:t>
      </w:r>
      <w:r w:rsidRPr="00FE31F7">
        <w:rPr>
          <w:rFonts w:ascii="Calibri" w:hAnsi="Calibri" w:cs="Calibri"/>
        </w:rPr>
        <w:t>: a dbt build fails if any new or changed model or column lacks a description. This applies the same principle already established for data quality (Section 4's schema.yml-driven dbt tests) to documentation itself — the pipeline, not a person's memory, is what actually prevents drift at the point of change.</w:t>
      </w:r>
      <w:r w:rsidR="00F44756">
        <w:rPr>
          <w:rFonts w:ascii="Calibri" w:hAnsi="Calibri" w:cs="Calibri"/>
        </w:rPr>
        <w:t xml:space="preserve"> </w:t>
      </w:r>
      <w:r w:rsidR="00F44756" w:rsidRPr="00F44756">
        <w:rPr>
          <w:rFonts w:ascii="Calibri" w:hAnsi="Calibri" w:cs="Calibri"/>
        </w:rPr>
        <w:t>This gate is tested and confirmed live during Step 1</w:t>
      </w:r>
      <w:r w:rsidR="00F44756">
        <w:rPr>
          <w:rFonts w:ascii="Calibri" w:hAnsi="Calibri" w:cs="Calibri"/>
        </w:rPr>
        <w:t>2</w:t>
      </w:r>
      <w:r w:rsidR="00F44756" w:rsidRPr="00F44756">
        <w:rPr>
          <w:rFonts w:ascii="Calibri" w:hAnsi="Calibri" w:cs="Calibri"/>
        </w:rPr>
        <w:t>, before the first model is built in Step 14 — not introduced partway through the build. This ensures no column is ever built without documentation being enforced from the very first commit, avoiding a backlog of undocumented "legacy" columns that predate the gate's existence.</w:t>
      </w:r>
    </w:p>
    <w:p w14:paraId="1A708247" w14:textId="2A603871" w:rsidR="00FE31F7" w:rsidRPr="00266271" w:rsidRDefault="00FE31F7" w:rsidP="00FE31F7">
      <w:pPr>
        <w:tabs>
          <w:tab w:val="left" w:pos="1791"/>
        </w:tabs>
        <w:rPr>
          <w:rFonts w:ascii="Calibri" w:hAnsi="Calibri" w:cs="Calibri"/>
          <w:b/>
          <w:bCs/>
        </w:rPr>
      </w:pPr>
      <w:r w:rsidRPr="00266271">
        <w:rPr>
          <w:rFonts w:ascii="Calibri" w:hAnsi="Calibri" w:cs="Calibri"/>
          <w:b/>
          <w:bCs/>
        </w:rPr>
        <w:t>Ownership roles:</w:t>
      </w:r>
    </w:p>
    <w:p w14:paraId="72DA72F2" w14:textId="4F527E29" w:rsidR="00FE31F7" w:rsidRDefault="00FE31F7" w:rsidP="00FE31F7">
      <w:pPr>
        <w:pStyle w:val="ListParagraph"/>
        <w:numPr>
          <w:ilvl w:val="0"/>
          <w:numId w:val="21"/>
        </w:numPr>
        <w:tabs>
          <w:tab w:val="left" w:pos="1791"/>
        </w:tabs>
        <w:rPr>
          <w:rFonts w:ascii="Calibri" w:hAnsi="Calibri" w:cs="Calibri"/>
        </w:rPr>
      </w:pPr>
      <w:r w:rsidRPr="00FE31F7">
        <w:rPr>
          <w:rFonts w:ascii="Calibri" w:hAnsi="Calibri" w:cs="Calibri"/>
          <w:b/>
          <w:bCs/>
        </w:rPr>
        <w:t>Lead Data Engineer</w:t>
      </w:r>
      <w:r w:rsidRPr="00FE31F7">
        <w:rPr>
          <w:rFonts w:ascii="Calibri" w:hAnsi="Calibri" w:cs="Calibri"/>
        </w:rPr>
        <w:t xml:space="preserve"> owns the documentation standard itself, handles genuine exceptions the automated gate can't judge (e.g. a column whose meaning is legitimately still evolving), and liaises directly with domain owners on business-definition accuracy. RetailSphere has no separate product manager role — this liaison responsibility sits with the lead engineer directly.</w:t>
      </w:r>
    </w:p>
    <w:p w14:paraId="749FA700" w14:textId="15F4112E" w:rsidR="00FE31F7" w:rsidRDefault="00FE31F7" w:rsidP="00FE31F7">
      <w:pPr>
        <w:pStyle w:val="ListParagraph"/>
        <w:numPr>
          <w:ilvl w:val="0"/>
          <w:numId w:val="21"/>
        </w:numPr>
        <w:tabs>
          <w:tab w:val="left" w:pos="1791"/>
        </w:tabs>
        <w:rPr>
          <w:rFonts w:ascii="Calibri" w:hAnsi="Calibri" w:cs="Calibri"/>
        </w:rPr>
      </w:pPr>
      <w:r w:rsidRPr="00FE31F7">
        <w:rPr>
          <w:rFonts w:ascii="Calibri" w:hAnsi="Calibri" w:cs="Calibri"/>
          <w:b/>
          <w:bCs/>
        </w:rPr>
        <w:t>Domain owners</w:t>
      </w:r>
      <w:r w:rsidRPr="00FE31F7">
        <w:rPr>
          <w:rFonts w:ascii="Calibri" w:hAnsi="Calibri" w:cs="Calibri"/>
        </w:rPr>
        <w:t xml:space="preserve"> (Sipho, Zanele, Rethabile, Priya, Johan) are accountable for the </w:t>
      </w:r>
      <w:r w:rsidRPr="00FE31F7">
        <w:rPr>
          <w:rFonts w:ascii="Calibri" w:hAnsi="Calibri" w:cs="Calibri"/>
          <w:i/>
          <w:iCs/>
        </w:rPr>
        <w:t>business accuracy</w:t>
      </w:r>
      <w:r w:rsidRPr="00FE31F7">
        <w:rPr>
          <w:rFonts w:ascii="Calibri" w:hAnsi="Calibri" w:cs="Calibri"/>
        </w:rPr>
        <w:t xml:space="preserve"> of definitions in their domain — confirming that what's documented actually reflects how the business understands the data, not just that a description field is technically filled in.</w:t>
      </w:r>
    </w:p>
    <w:p w14:paraId="74A6E939" w14:textId="58459F57" w:rsidR="00FE31F7" w:rsidRDefault="00FE31F7" w:rsidP="00FE31F7">
      <w:pPr>
        <w:pStyle w:val="ListParagraph"/>
        <w:numPr>
          <w:ilvl w:val="0"/>
          <w:numId w:val="21"/>
        </w:numPr>
        <w:tabs>
          <w:tab w:val="left" w:pos="1791"/>
        </w:tabs>
        <w:rPr>
          <w:rFonts w:ascii="Calibri" w:hAnsi="Calibri" w:cs="Calibri"/>
        </w:rPr>
      </w:pPr>
      <w:r w:rsidRPr="00FE31F7">
        <w:rPr>
          <w:rFonts w:ascii="Calibri" w:hAnsi="Calibri" w:cs="Calibri"/>
        </w:rPr>
        <w:t xml:space="preserve">Accountability is </w:t>
      </w:r>
      <w:r w:rsidRPr="00FE31F7">
        <w:rPr>
          <w:rFonts w:ascii="Calibri" w:hAnsi="Calibri" w:cs="Calibri"/>
          <w:b/>
          <w:bCs/>
        </w:rPr>
        <w:t>shared, not exclusive to either side</w:t>
      </w:r>
      <w:r w:rsidRPr="00FE31F7">
        <w:rPr>
          <w:rFonts w:ascii="Calibri" w:hAnsi="Calibri" w:cs="Calibri"/>
        </w:rPr>
        <w:t xml:space="preserve"> — an "or" structure between engineering and domain ownership was deliberately rejected, since it creates space for each party to assume the other is responsible.</w:t>
      </w:r>
    </w:p>
    <w:p w14:paraId="21DA138C" w14:textId="1EF0FCC8" w:rsidR="00FE31F7" w:rsidRDefault="00FE31F7" w:rsidP="00FE31F7">
      <w:pPr>
        <w:tabs>
          <w:tab w:val="left" w:pos="1791"/>
        </w:tabs>
        <w:rPr>
          <w:rFonts w:ascii="Calibri" w:hAnsi="Calibri" w:cs="Calibri"/>
        </w:rPr>
      </w:pPr>
      <w:r w:rsidRPr="00FE31F7">
        <w:rPr>
          <w:rFonts w:ascii="Calibri" w:hAnsi="Calibri" w:cs="Calibri"/>
          <w:b/>
          <w:bCs/>
        </w:rPr>
        <w:t>Review cadence:</w:t>
      </w:r>
      <w:r w:rsidRPr="00FE31F7">
        <w:rPr>
          <w:rFonts w:ascii="Calibri" w:hAnsi="Calibri" w:cs="Calibri"/>
        </w:rPr>
        <w:t xml:space="preserve"> A quarterly documentation audit catches drift the automated gate cannot — cases where a description exists but has become stale or inaccurate relative to what the business or the pipeline actually does now. This audit is a scheduled check, not a substitute for the build-time gate; it exists specifically to catch decay in things that technically pass the automated check but have quietly gone wrong.</w:t>
      </w:r>
    </w:p>
    <w:p w14:paraId="25358F12" w14:textId="2F13F3A1" w:rsidR="00FE31F7" w:rsidRDefault="00FE31F7" w:rsidP="00FE31F7">
      <w:pPr>
        <w:tabs>
          <w:tab w:val="left" w:pos="1791"/>
        </w:tabs>
        <w:rPr>
          <w:rFonts w:ascii="Calibri" w:hAnsi="Calibri" w:cs="Calibri"/>
        </w:rPr>
      </w:pPr>
      <w:r w:rsidRPr="00FE31F7">
        <w:rPr>
          <w:rFonts w:ascii="Calibri" w:hAnsi="Calibri" w:cs="Calibri"/>
          <w:b/>
          <w:bCs/>
        </w:rPr>
        <w:lastRenderedPageBreak/>
        <w:t>Accountability if FR-CCR-001's promise breaks:</w:t>
      </w:r>
      <w:r w:rsidRPr="00FE31F7">
        <w:rPr>
          <w:rFonts w:ascii="Calibri" w:hAnsi="Calibri" w:cs="Calibri"/>
        </w:rPr>
        <w:t xml:space="preserve"> If a Gold layer number cannot be traced within minutes due to stale or missing documentation, this is treated as a </w:t>
      </w:r>
      <w:r w:rsidRPr="00FE31F7">
        <w:rPr>
          <w:rFonts w:ascii="Calibri" w:hAnsi="Calibri" w:cs="Calibri"/>
          <w:b/>
          <w:bCs/>
        </w:rPr>
        <w:t>shared platform governance failure</w:t>
      </w:r>
      <w:r w:rsidRPr="00FE31F7">
        <w:rPr>
          <w:rFonts w:ascii="Calibri" w:hAnsi="Calibri" w:cs="Calibri"/>
        </w:rPr>
        <w:t>, not attributed solely to engineering or solely to a domain owner. Consistent with the CDO review pattern established throughout this project (PDD-001, DID-001), this is exactly the class of finding a CDO review would surface directly — and the automated gate plus quarterly audit exist specifically to prevent it from reaching that point.</w:t>
      </w:r>
    </w:p>
    <w:p w14:paraId="6F393F27" w14:textId="77777777" w:rsidR="00FE31F7" w:rsidRPr="00FE31F7" w:rsidRDefault="00FE31F7" w:rsidP="00FE31F7">
      <w:pPr>
        <w:tabs>
          <w:tab w:val="left" w:pos="1791"/>
        </w:tabs>
        <w:rPr>
          <w:rFonts w:ascii="Calibri" w:hAnsi="Calibri" w:cs="Calibri"/>
        </w:rPr>
      </w:pPr>
    </w:p>
    <w:p w14:paraId="2E0E8ABA" w14:textId="77777777" w:rsidR="005278B1" w:rsidRDefault="005278B1" w:rsidP="006174BD">
      <w:pPr>
        <w:tabs>
          <w:tab w:val="left" w:pos="1791"/>
        </w:tabs>
        <w:rPr>
          <w:rFonts w:ascii="Calibri" w:hAnsi="Calibri" w:cs="Calibri"/>
        </w:rPr>
      </w:pPr>
    </w:p>
    <w:p w14:paraId="53190893" w14:textId="77777777" w:rsidR="00FE31F7" w:rsidRDefault="00FE31F7" w:rsidP="006174BD">
      <w:pPr>
        <w:tabs>
          <w:tab w:val="left" w:pos="1791"/>
        </w:tabs>
        <w:rPr>
          <w:rFonts w:ascii="Calibri" w:hAnsi="Calibri" w:cs="Calibri"/>
          <w:lang w:val="en-US"/>
        </w:rPr>
      </w:pPr>
    </w:p>
    <w:p w14:paraId="4687D16F" w14:textId="77777777" w:rsidR="007D22E6" w:rsidRPr="0045277B" w:rsidRDefault="007D22E6" w:rsidP="006174BD">
      <w:pPr>
        <w:tabs>
          <w:tab w:val="left" w:pos="1791"/>
        </w:tabs>
        <w:rPr>
          <w:rFonts w:ascii="Calibri" w:hAnsi="Calibri" w:cs="Calibri"/>
          <w:lang w:val="en-US"/>
        </w:rPr>
      </w:pPr>
    </w:p>
    <w:p w14:paraId="77A287BA" w14:textId="4F4DAEAF" w:rsidR="00773829" w:rsidRPr="00442AB6" w:rsidRDefault="008C5969"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Next Steps</w:t>
      </w:r>
    </w:p>
    <w:p w14:paraId="7DE4DAB8" w14:textId="66E701D1" w:rsidR="00C63BEC" w:rsidRDefault="005278B1" w:rsidP="00266271">
      <w:pPr>
        <w:rPr>
          <w:rFonts w:ascii="Calibri" w:hAnsi="Calibri" w:cs="Calibri"/>
        </w:rPr>
      </w:pPr>
      <w:r w:rsidRPr="005278B1">
        <w:rPr>
          <w:rFonts w:ascii="Calibri" w:hAnsi="Calibri" w:cs="Calibri"/>
        </w:rPr>
        <w:t xml:space="preserve">The </w:t>
      </w:r>
      <w:r w:rsidR="00266271" w:rsidRPr="00266271">
        <w:rPr>
          <w:rFonts w:ascii="Calibri" w:hAnsi="Calibri" w:cs="Calibri"/>
        </w:rPr>
        <w:t>completion of MET-001 marks the end of Step 11 — Metadata Strategy. The following items carry forward:</w:t>
      </w:r>
    </w:p>
    <w:p w14:paraId="347053D8" w14:textId="41936959" w:rsidR="00266271" w:rsidRPr="00266271" w:rsidRDefault="00266271" w:rsidP="00266271">
      <w:pPr>
        <w:rPr>
          <w:rFonts w:ascii="Calibri" w:hAnsi="Calibri" w:cs="Calibri"/>
          <w:b/>
          <w:bCs/>
        </w:rPr>
      </w:pPr>
      <w:r w:rsidRPr="00266271">
        <w:rPr>
          <w:rFonts w:ascii="Calibri" w:hAnsi="Calibri" w:cs="Calibri"/>
          <w:b/>
          <w:bCs/>
        </w:rPr>
        <w:t>Immediate:</w:t>
      </w:r>
    </w:p>
    <w:p w14:paraId="7FDC6070" w14:textId="16CDB738" w:rsidR="00266271" w:rsidRDefault="00266271" w:rsidP="00266271">
      <w:pPr>
        <w:pStyle w:val="ListParagraph"/>
        <w:numPr>
          <w:ilvl w:val="0"/>
          <w:numId w:val="22"/>
        </w:numPr>
        <w:rPr>
          <w:rFonts w:ascii="Calibri" w:hAnsi="Calibri" w:cs="Calibri"/>
        </w:rPr>
      </w:pPr>
      <w:r w:rsidRPr="00266271">
        <w:rPr>
          <w:rFonts w:ascii="Calibri" w:hAnsi="Calibri" w:cs="Calibri"/>
        </w:rPr>
        <w:t>Publish MET-001, update Notion step tracker and README Step 11 status.</w:t>
      </w:r>
    </w:p>
    <w:p w14:paraId="054A3DED" w14:textId="0637D0FF" w:rsidR="00266271" w:rsidRDefault="00266271" w:rsidP="00266271">
      <w:pPr>
        <w:pStyle w:val="ListParagraph"/>
        <w:numPr>
          <w:ilvl w:val="0"/>
          <w:numId w:val="22"/>
        </w:numPr>
        <w:rPr>
          <w:rFonts w:ascii="Calibri" w:hAnsi="Calibri" w:cs="Calibri"/>
        </w:rPr>
      </w:pPr>
      <w:r w:rsidRPr="00266271">
        <w:rPr>
          <w:rFonts w:ascii="Calibri" w:hAnsi="Calibri" w:cs="Calibri"/>
        </w:rPr>
        <w:t>Run a CDO review pass (same format as PDD-001 and DID-001) before MET-001 is marked Approved.</w:t>
      </w:r>
    </w:p>
    <w:p w14:paraId="4498A56D" w14:textId="2EAB6B5F" w:rsidR="003D3B2C" w:rsidRDefault="00266271" w:rsidP="003D3B2C">
      <w:pPr>
        <w:rPr>
          <w:rFonts w:ascii="Calibri" w:hAnsi="Calibri" w:cs="Calibri"/>
        </w:rPr>
      </w:pPr>
      <w:r w:rsidRPr="00266271">
        <w:rPr>
          <w:rFonts w:ascii="Calibri" w:hAnsi="Calibri" w:cs="Calibri"/>
          <w:b/>
          <w:bCs/>
        </w:rPr>
        <w:t>Step 12 — Testing Strategy:</w:t>
      </w:r>
      <w:r w:rsidRPr="00266271">
        <w:rPr>
          <w:rFonts w:ascii="Calibri" w:hAnsi="Calibri" w:cs="Calibri"/>
        </w:rPr>
        <w:t xml:space="preserve"> Define the platform's testing approach — building directly on Section 3's dbt test gates (FR-CCR-007) and Section 6's automated documentation gate, extending them into a full test plan covering unit, integration, and reconciliation testing across all six domains.</w:t>
      </w:r>
    </w:p>
    <w:p w14:paraId="2C945EB1" w14:textId="7C7F9AA1" w:rsidR="00266271" w:rsidRPr="00266271" w:rsidRDefault="00266271" w:rsidP="003D3B2C">
      <w:pPr>
        <w:rPr>
          <w:rFonts w:ascii="Calibri" w:hAnsi="Calibri" w:cs="Calibri"/>
          <w:b/>
          <w:bCs/>
        </w:rPr>
      </w:pPr>
      <w:r w:rsidRPr="00266271">
        <w:rPr>
          <w:rFonts w:ascii="Calibri" w:hAnsi="Calibri" w:cs="Calibri"/>
          <w:b/>
          <w:bCs/>
        </w:rPr>
        <w:t>Outstanding items requiring resolution before build (Steps 13+):</w:t>
      </w:r>
    </w:p>
    <w:p w14:paraId="26F919F8" w14:textId="2233B1DC" w:rsidR="00266271" w:rsidRPr="00266271" w:rsidRDefault="00266271" w:rsidP="00266271">
      <w:pPr>
        <w:pStyle w:val="ListParagraph"/>
        <w:numPr>
          <w:ilvl w:val="0"/>
          <w:numId w:val="23"/>
        </w:numPr>
        <w:rPr>
          <w:rFonts w:ascii="Calibri" w:hAnsi="Calibri" w:cs="Calibri"/>
          <w:lang w:val="en-US"/>
        </w:rPr>
      </w:pPr>
      <w:r w:rsidRPr="00266271">
        <w:rPr>
          <w:rFonts w:ascii="Calibri" w:hAnsi="Calibri" w:cs="Calibri"/>
          <w:b/>
          <w:bCs/>
        </w:rPr>
        <w:t>Automated documentation-completeness gate</w:t>
      </w:r>
      <w:r w:rsidRPr="00266271">
        <w:rPr>
          <w:rFonts w:ascii="Calibri" w:hAnsi="Calibri" w:cs="Calibri"/>
        </w:rPr>
        <w:t xml:space="preserve"> (Section 6) — the dbt CI configuration that actually enforces this must be built and proven during Step 14, not just designed here.</w:t>
      </w:r>
    </w:p>
    <w:p w14:paraId="306FBDBE" w14:textId="161FEBC2" w:rsidR="00266271" w:rsidRPr="00266271" w:rsidRDefault="00266271" w:rsidP="00266271">
      <w:pPr>
        <w:pStyle w:val="ListParagraph"/>
        <w:numPr>
          <w:ilvl w:val="0"/>
          <w:numId w:val="23"/>
        </w:numPr>
        <w:rPr>
          <w:rFonts w:ascii="Calibri" w:hAnsi="Calibri" w:cs="Calibri"/>
          <w:lang w:val="en-US"/>
        </w:rPr>
      </w:pPr>
      <w:r w:rsidRPr="00266271">
        <w:rPr>
          <w:rFonts w:ascii="Calibri" w:hAnsi="Calibri" w:cs="Calibri"/>
          <w:b/>
          <w:bCs/>
        </w:rPr>
        <w:t>Quarterly documentation audit</w:t>
      </w:r>
      <w:r w:rsidRPr="00266271">
        <w:rPr>
          <w:rFonts w:ascii="Calibri" w:hAnsi="Calibri" w:cs="Calibri"/>
        </w:rPr>
        <w:t xml:space="preserve"> (Section 6) — schedule and format to be formally established once Step 14 build begins and there is real documentation to audit.</w:t>
      </w:r>
    </w:p>
    <w:p w14:paraId="4501777C" w14:textId="6FAE22B7" w:rsidR="00266271" w:rsidRPr="00266271" w:rsidRDefault="00266271" w:rsidP="00266271">
      <w:pPr>
        <w:pStyle w:val="ListParagraph"/>
        <w:numPr>
          <w:ilvl w:val="0"/>
          <w:numId w:val="23"/>
        </w:numPr>
        <w:rPr>
          <w:rFonts w:ascii="Calibri" w:hAnsi="Calibri" w:cs="Calibri"/>
          <w:lang w:val="en-US"/>
        </w:rPr>
      </w:pPr>
      <w:r w:rsidRPr="00266271">
        <w:rPr>
          <w:rFonts w:ascii="Calibri" w:hAnsi="Calibri" w:cs="Calibri"/>
          <w:b/>
          <w:bCs/>
        </w:rPr>
        <w:t>POPIA sensitivity classification</w:t>
      </w:r>
      <w:r w:rsidRPr="00266271">
        <w:rPr>
          <w:rFonts w:ascii="Calibri" w:hAnsi="Calibri" w:cs="Calibri"/>
        </w:rPr>
        <w:t xml:space="preserve"> (Section 5) — must be applied per column during Step 14 build; tied to ADR-002 and ADR-007's outstanding sign-offs, since the classification scheme's real-world stakes depend on those approvals completing.</w:t>
      </w:r>
    </w:p>
    <w:p w14:paraId="73D148E9" w14:textId="49BDC9E2" w:rsidR="00266271" w:rsidRPr="00266271" w:rsidRDefault="00266271" w:rsidP="00266271">
      <w:pPr>
        <w:pStyle w:val="ListParagraph"/>
        <w:numPr>
          <w:ilvl w:val="0"/>
          <w:numId w:val="23"/>
        </w:numPr>
        <w:rPr>
          <w:rFonts w:ascii="Calibri" w:hAnsi="Calibri" w:cs="Calibri"/>
          <w:lang w:val="en-US"/>
        </w:rPr>
      </w:pPr>
      <w:r w:rsidRPr="00266271">
        <w:rPr>
          <w:rFonts w:ascii="Calibri" w:hAnsi="Calibri" w:cs="Calibri"/>
          <w:b/>
          <w:bCs/>
        </w:rPr>
        <w:t>Enterprise data catalog evaluation</w:t>
      </w:r>
      <w:r w:rsidRPr="00266271">
        <w:rPr>
          <w:rFonts w:ascii="Calibri" w:hAnsi="Calibri" w:cs="Calibri"/>
        </w:rPr>
        <w:t xml:space="preserve"> (Section 4) — deferred; revisit only if the platform scales meaningfully beyond its current six domains.</w:t>
      </w:r>
    </w:p>
    <w:p w14:paraId="17AA78E2" w14:textId="49868CBD" w:rsidR="00266271" w:rsidRPr="00266271" w:rsidRDefault="00266271" w:rsidP="00266271">
      <w:pPr>
        <w:pStyle w:val="ListParagraph"/>
        <w:numPr>
          <w:ilvl w:val="0"/>
          <w:numId w:val="23"/>
        </w:numPr>
        <w:rPr>
          <w:rFonts w:ascii="Calibri" w:hAnsi="Calibri" w:cs="Calibri"/>
          <w:lang w:val="en-US"/>
        </w:rPr>
      </w:pPr>
      <w:r w:rsidRPr="00266271">
        <w:rPr>
          <w:rFonts w:ascii="Calibri" w:hAnsi="Calibri" w:cs="Calibri"/>
          <w:b/>
          <w:bCs/>
        </w:rPr>
        <w:t>Carried forward from PDD-001 and DID-001:</w:t>
      </w:r>
      <w:r w:rsidRPr="00266271">
        <w:rPr>
          <w:rFonts w:ascii="Calibri" w:hAnsi="Calibri" w:cs="Calibri"/>
        </w:rPr>
        <w:t xml:space="preserve"> ADR-002/003/006/007 sign-offs remain in progress; FactContactHistory attempt-sequencing validation against real Marketing Cloud behaviour is still unresolved.</w:t>
      </w:r>
    </w:p>
    <w:p w14:paraId="19FBF4F7" w14:textId="77777777" w:rsidR="00266271" w:rsidRPr="00266271" w:rsidRDefault="00266271" w:rsidP="00266271">
      <w:pPr>
        <w:rPr>
          <w:rFonts w:ascii="Calibri" w:hAnsi="Calibri" w:cs="Calibri"/>
          <w:lang w:val="en-US"/>
        </w:rPr>
      </w:pPr>
    </w:p>
    <w:p w14:paraId="52791623" w14:textId="77777777" w:rsidR="003D3B2C" w:rsidRDefault="003D3B2C" w:rsidP="003D3B2C">
      <w:pPr>
        <w:rPr>
          <w:rFonts w:ascii="Calibri" w:hAnsi="Calibri" w:cs="Calibri"/>
          <w:lang w:val="en-US"/>
        </w:rPr>
      </w:pPr>
    </w:p>
    <w:p w14:paraId="6A495F7D" w14:textId="77777777" w:rsidR="00871317" w:rsidRDefault="00871317" w:rsidP="003D3B2C">
      <w:pPr>
        <w:rPr>
          <w:rFonts w:ascii="Calibri" w:hAnsi="Calibri" w:cs="Calibri"/>
          <w:lang w:val="en-US"/>
        </w:rPr>
      </w:pPr>
    </w:p>
    <w:p w14:paraId="28F59830" w14:textId="77777777" w:rsidR="00871317" w:rsidRDefault="00871317" w:rsidP="003D3B2C">
      <w:pPr>
        <w:rPr>
          <w:rFonts w:ascii="Calibri" w:hAnsi="Calibri" w:cs="Calibri"/>
          <w:lang w:val="en-US"/>
        </w:rPr>
      </w:pPr>
    </w:p>
    <w:p w14:paraId="482B64B9" w14:textId="77777777" w:rsidR="00871317" w:rsidRDefault="00871317" w:rsidP="003D3B2C">
      <w:pPr>
        <w:rPr>
          <w:rFonts w:ascii="Calibri" w:hAnsi="Calibri" w:cs="Calibri"/>
          <w:lang w:val="en-US"/>
        </w:rPr>
      </w:pPr>
    </w:p>
    <w:p w14:paraId="4BE59BA7" w14:textId="77777777" w:rsidR="00871317" w:rsidRPr="003D3B2C" w:rsidRDefault="00871317" w:rsidP="003D3B2C">
      <w:pPr>
        <w:rPr>
          <w:rFonts w:ascii="Calibri" w:hAnsi="Calibri" w:cs="Calibri"/>
          <w:lang w:val="en-US"/>
        </w:rPr>
      </w:pPr>
    </w:p>
    <w:p w14:paraId="01BF5876" w14:textId="77777777" w:rsidR="008B6400" w:rsidRDefault="008B6400" w:rsidP="008B6400">
      <w:pPr>
        <w:tabs>
          <w:tab w:val="left" w:pos="1791"/>
        </w:tabs>
        <w:rPr>
          <w:rFonts w:ascii="Calibri" w:hAnsi="Calibri" w:cs="Calibri"/>
          <w:lang w:val="en-US"/>
        </w:rPr>
      </w:pPr>
    </w:p>
    <w:p w14:paraId="548F2585" w14:textId="77777777" w:rsidR="00FE31F7" w:rsidRDefault="00FE31F7" w:rsidP="008B6400">
      <w:pPr>
        <w:tabs>
          <w:tab w:val="left" w:pos="1791"/>
        </w:tabs>
        <w:rPr>
          <w:rFonts w:ascii="Calibri" w:hAnsi="Calibri" w:cs="Calibri"/>
          <w:lang w:val="en-US"/>
        </w:rPr>
      </w:pPr>
    </w:p>
    <w:p w14:paraId="7BD4B481" w14:textId="77777777" w:rsidR="00266271" w:rsidRDefault="00266271" w:rsidP="008B6400">
      <w:pPr>
        <w:tabs>
          <w:tab w:val="left" w:pos="1791"/>
        </w:tabs>
        <w:rPr>
          <w:rFonts w:ascii="Calibri" w:hAnsi="Calibri" w:cs="Calibri"/>
          <w:lang w:val="en-US"/>
        </w:rPr>
      </w:pPr>
    </w:p>
    <w:p w14:paraId="51D5CCF9" w14:textId="77777777" w:rsidR="00266271" w:rsidRDefault="00266271" w:rsidP="008B6400">
      <w:pPr>
        <w:tabs>
          <w:tab w:val="left" w:pos="1791"/>
        </w:tabs>
        <w:rPr>
          <w:rFonts w:ascii="Calibri" w:hAnsi="Calibri" w:cs="Calibri"/>
          <w:lang w:val="en-US"/>
        </w:rPr>
      </w:pPr>
    </w:p>
    <w:p w14:paraId="3C56F427" w14:textId="77777777" w:rsidR="00266271" w:rsidRDefault="00266271" w:rsidP="008B6400">
      <w:pPr>
        <w:tabs>
          <w:tab w:val="left" w:pos="1791"/>
        </w:tabs>
        <w:rPr>
          <w:rFonts w:ascii="Calibri" w:hAnsi="Calibri" w:cs="Calibri"/>
          <w:lang w:val="en-US"/>
        </w:rPr>
      </w:pPr>
    </w:p>
    <w:p w14:paraId="5257A2CF" w14:textId="77777777" w:rsidR="00266271" w:rsidRDefault="00266271" w:rsidP="008B6400">
      <w:pPr>
        <w:tabs>
          <w:tab w:val="left" w:pos="1791"/>
        </w:tabs>
        <w:rPr>
          <w:rFonts w:ascii="Calibri" w:hAnsi="Calibri" w:cs="Calibri"/>
          <w:lang w:val="en-US"/>
        </w:rPr>
      </w:pPr>
    </w:p>
    <w:p w14:paraId="33E54D4A" w14:textId="77777777" w:rsidR="00266271" w:rsidRDefault="00266271" w:rsidP="008B6400">
      <w:pPr>
        <w:tabs>
          <w:tab w:val="left" w:pos="1791"/>
        </w:tabs>
        <w:rPr>
          <w:rFonts w:ascii="Calibri" w:hAnsi="Calibri" w:cs="Calibri"/>
          <w:lang w:val="en-US"/>
        </w:rPr>
      </w:pPr>
    </w:p>
    <w:p w14:paraId="7B26BDD8" w14:textId="77777777" w:rsidR="00266271" w:rsidRDefault="00266271" w:rsidP="008B6400">
      <w:pPr>
        <w:tabs>
          <w:tab w:val="left" w:pos="1791"/>
        </w:tabs>
        <w:rPr>
          <w:rFonts w:ascii="Calibri" w:hAnsi="Calibri" w:cs="Calibri"/>
          <w:lang w:val="en-US"/>
        </w:rPr>
      </w:pPr>
    </w:p>
    <w:p w14:paraId="02333E23" w14:textId="77777777" w:rsidR="00266271" w:rsidRDefault="00266271" w:rsidP="008B6400">
      <w:pPr>
        <w:tabs>
          <w:tab w:val="left" w:pos="1791"/>
        </w:tabs>
        <w:rPr>
          <w:rFonts w:ascii="Calibri" w:hAnsi="Calibri" w:cs="Calibri"/>
          <w:lang w:val="en-US"/>
        </w:rPr>
      </w:pPr>
    </w:p>
    <w:p w14:paraId="68BB01AD" w14:textId="77777777" w:rsidR="00266271" w:rsidRDefault="00266271" w:rsidP="008B6400">
      <w:pPr>
        <w:tabs>
          <w:tab w:val="left" w:pos="1791"/>
        </w:tabs>
        <w:rPr>
          <w:rFonts w:ascii="Calibri" w:hAnsi="Calibri" w:cs="Calibri"/>
          <w:lang w:val="en-US"/>
        </w:rPr>
      </w:pPr>
    </w:p>
    <w:p w14:paraId="456D338B" w14:textId="77777777" w:rsidR="003D3B2C" w:rsidRPr="008B6400" w:rsidRDefault="003D3B2C" w:rsidP="008B6400">
      <w:pPr>
        <w:tabs>
          <w:tab w:val="left" w:pos="1791"/>
        </w:tabs>
        <w:rPr>
          <w:rFonts w:ascii="Calibri" w:hAnsi="Calibri" w:cs="Calibri"/>
          <w:lang w:val="en-US"/>
        </w:rPr>
      </w:pPr>
    </w:p>
    <w:p w14:paraId="1AA0183A" w14:textId="11EF59B9"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2341330A"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r w:rsidR="005E4764">
              <w:rPr>
                <w:rFonts w:ascii="Calibri" w:hAnsi="Calibri" w:cs="Calibri"/>
                <w:color w:val="166534"/>
                <w:sz w:val="20"/>
                <w:szCs w:val="20"/>
              </w:rPr>
              <w:t xml:space="preserve"> - Draft</w:t>
            </w:r>
          </w:p>
        </w:tc>
        <w:tc>
          <w:tcPr>
            <w:tcW w:w="1701" w:type="dxa"/>
            <w:shd w:val="clear" w:color="auto" w:fill="F0FDF4"/>
          </w:tcPr>
          <w:p w14:paraId="280D14CD" w14:textId="7D1FB6A8" w:rsidR="00CE4E2C" w:rsidRPr="00303CF7" w:rsidRDefault="00266271" w:rsidP="00EF5256">
            <w:pPr>
              <w:rPr>
                <w:rFonts w:ascii="Calibri" w:hAnsi="Calibri" w:cs="Calibri"/>
                <w:color w:val="166534"/>
                <w:sz w:val="20"/>
                <w:szCs w:val="20"/>
              </w:rPr>
            </w:pPr>
            <w:r>
              <w:rPr>
                <w:rFonts w:ascii="Calibri" w:hAnsi="Calibri" w:cs="Calibri"/>
                <w:color w:val="166534"/>
                <w:sz w:val="20"/>
                <w:szCs w:val="20"/>
              </w:rPr>
              <w:t>16</w:t>
            </w:r>
            <w:r w:rsidR="00C63BEC" w:rsidRPr="00C63BEC">
              <w:rPr>
                <w:rFonts w:ascii="Calibri" w:hAnsi="Calibri" w:cs="Calibri"/>
                <w:color w:val="166534"/>
                <w:sz w:val="20"/>
                <w:szCs w:val="20"/>
              </w:rPr>
              <w:t xml:space="preserve"> September 2026</w:t>
            </w:r>
          </w:p>
        </w:tc>
        <w:tc>
          <w:tcPr>
            <w:tcW w:w="2268" w:type="dxa"/>
            <w:shd w:val="clear" w:color="auto" w:fill="F0FDF4"/>
          </w:tcPr>
          <w:p w14:paraId="18E3CC93" w14:textId="3F24E3D1"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w:t>
            </w:r>
            <w:r w:rsidR="008B6400">
              <w:rPr>
                <w:rFonts w:ascii="Calibri" w:hAnsi="Calibri" w:cs="Calibri"/>
                <w:color w:val="166534"/>
                <w:sz w:val="20"/>
                <w:szCs w:val="20"/>
              </w:rPr>
              <w:t>hozamile</w:t>
            </w:r>
            <w:r w:rsidRPr="00303CF7">
              <w:rPr>
                <w:rFonts w:ascii="Calibri" w:hAnsi="Calibri" w:cs="Calibri"/>
                <w:color w:val="166534"/>
                <w:sz w:val="20"/>
                <w:szCs w:val="20"/>
              </w:rPr>
              <w:t xml:space="preserve"> Mbalo</w:t>
            </w:r>
          </w:p>
        </w:tc>
        <w:tc>
          <w:tcPr>
            <w:tcW w:w="3969" w:type="dxa"/>
            <w:shd w:val="clear" w:color="auto" w:fill="F0FDF4"/>
          </w:tcPr>
          <w:p w14:paraId="762BDD8B" w14:textId="5210C584" w:rsidR="00CE4E2C" w:rsidRPr="00303CF7" w:rsidRDefault="00266271" w:rsidP="00EF5256">
            <w:pPr>
              <w:rPr>
                <w:rFonts w:ascii="Calibri" w:hAnsi="Calibri" w:cs="Calibri"/>
                <w:color w:val="166534"/>
                <w:sz w:val="20"/>
                <w:szCs w:val="20"/>
              </w:rPr>
            </w:pPr>
            <w:r w:rsidRPr="00266271">
              <w:rPr>
                <w:rFonts w:ascii="Calibri" w:hAnsi="Calibri" w:cs="Calibri"/>
                <w:color w:val="166534"/>
                <w:sz w:val="20"/>
                <w:szCs w:val="20"/>
              </w:rPr>
              <w:t>Initial MET-001 draft. Defines lineage strategy (FR-CCR-001) built on dbt's native lineage graph with incremental documentation discipline; data dictionary approach using dbt docs for engineers and Power BI field descriptions for business stakeholders, avoiding a separate uncontracted data catalog tool; column-level documentation standard consolidating fields from DM-001, STM-001, and PDD-001 into one location, with a tiered POPIA sensitivity classification and a synthetic-data-only rule for sample values; governance model using an automated dbt build gate for documentation completeness (not manual enforcement), shared accountability between the Lead Data Engineer and domain owners, and a quarterly audit cadence to catch drift the automated gate cannot.</w:t>
            </w:r>
          </w:p>
        </w:tc>
      </w:tr>
      <w:tr w:rsidR="00BB20FB" w:rsidRPr="00303CF7" w14:paraId="31F6E818" w14:textId="77777777" w:rsidTr="00EF5256">
        <w:tc>
          <w:tcPr>
            <w:tcW w:w="1134" w:type="dxa"/>
            <w:shd w:val="clear" w:color="auto" w:fill="F0FDF4"/>
          </w:tcPr>
          <w:p w14:paraId="11947667" w14:textId="45093272" w:rsidR="00BB20FB" w:rsidRPr="00303CF7" w:rsidRDefault="00BB20FB" w:rsidP="00EF5256">
            <w:pPr>
              <w:rPr>
                <w:rFonts w:ascii="Calibri" w:hAnsi="Calibri" w:cs="Calibri"/>
                <w:color w:val="166534"/>
                <w:sz w:val="20"/>
                <w:szCs w:val="20"/>
              </w:rPr>
            </w:pPr>
            <w:r w:rsidRPr="00BB20FB">
              <w:rPr>
                <w:rFonts w:ascii="Calibri" w:hAnsi="Calibri" w:cs="Calibri"/>
                <w:color w:val="166534"/>
                <w:sz w:val="20"/>
                <w:szCs w:val="20"/>
              </w:rPr>
              <w:t>1.0 – Approved</w:t>
            </w:r>
          </w:p>
        </w:tc>
        <w:tc>
          <w:tcPr>
            <w:tcW w:w="1701" w:type="dxa"/>
            <w:shd w:val="clear" w:color="auto" w:fill="F0FDF4"/>
          </w:tcPr>
          <w:p w14:paraId="078F06D1" w14:textId="56DA0125" w:rsidR="00BB20FB" w:rsidRDefault="00BB20FB" w:rsidP="00EF5256">
            <w:pPr>
              <w:rPr>
                <w:rFonts w:ascii="Calibri" w:hAnsi="Calibri" w:cs="Calibri"/>
                <w:color w:val="166534"/>
                <w:sz w:val="20"/>
                <w:szCs w:val="20"/>
              </w:rPr>
            </w:pPr>
            <w:r>
              <w:rPr>
                <w:rFonts w:ascii="Calibri" w:hAnsi="Calibri" w:cs="Calibri"/>
                <w:color w:val="166534"/>
                <w:sz w:val="20"/>
                <w:szCs w:val="20"/>
              </w:rPr>
              <w:t>16 September 2026</w:t>
            </w:r>
          </w:p>
        </w:tc>
        <w:tc>
          <w:tcPr>
            <w:tcW w:w="2268" w:type="dxa"/>
            <w:shd w:val="clear" w:color="auto" w:fill="F0FDF4"/>
          </w:tcPr>
          <w:p w14:paraId="150538A6" w14:textId="54317C53" w:rsidR="00BB20FB" w:rsidRPr="00303CF7" w:rsidRDefault="00BB20FB" w:rsidP="00EF5256">
            <w:pPr>
              <w:rPr>
                <w:rFonts w:ascii="Calibri" w:hAnsi="Calibri" w:cs="Calibri"/>
                <w:color w:val="166534"/>
                <w:sz w:val="20"/>
                <w:szCs w:val="20"/>
              </w:rPr>
            </w:pPr>
            <w:r w:rsidRPr="00BB20FB">
              <w:rPr>
                <w:rFonts w:ascii="Calibri" w:hAnsi="Calibri" w:cs="Calibri"/>
                <w:color w:val="166534"/>
                <w:sz w:val="20"/>
                <w:szCs w:val="20"/>
              </w:rPr>
              <w:t>Reviewed by Nomvula Mahlangu, Chief Data Officer</w:t>
            </w:r>
          </w:p>
        </w:tc>
        <w:tc>
          <w:tcPr>
            <w:tcW w:w="3969" w:type="dxa"/>
            <w:shd w:val="clear" w:color="auto" w:fill="F0FDF4"/>
          </w:tcPr>
          <w:p w14:paraId="045AFF0A" w14:textId="4E20B798" w:rsidR="00BB20FB" w:rsidRPr="00266271" w:rsidRDefault="00BB20FB" w:rsidP="00EF5256">
            <w:pPr>
              <w:rPr>
                <w:rFonts w:ascii="Calibri" w:hAnsi="Calibri" w:cs="Calibri"/>
                <w:color w:val="166534"/>
                <w:sz w:val="20"/>
                <w:szCs w:val="20"/>
              </w:rPr>
            </w:pPr>
            <w:r w:rsidRPr="00BB20FB">
              <w:rPr>
                <w:rFonts w:ascii="Calibri" w:hAnsi="Calibri" w:cs="Calibri"/>
                <w:color w:val="166534"/>
                <w:sz w:val="20"/>
                <w:szCs w:val="20"/>
              </w:rPr>
              <w:t>Approved following review. Section 6 clarified: automated documentation gate confirmed tested and live from Step 1</w:t>
            </w:r>
            <w:r>
              <w:rPr>
                <w:rFonts w:ascii="Calibri" w:hAnsi="Calibri" w:cs="Calibri"/>
                <w:color w:val="166534"/>
                <w:sz w:val="20"/>
                <w:szCs w:val="20"/>
              </w:rPr>
              <w:t>2</w:t>
            </w:r>
            <w:r w:rsidRPr="00BB20FB">
              <w:rPr>
                <w:rFonts w:ascii="Calibri" w:hAnsi="Calibri" w:cs="Calibri"/>
                <w:color w:val="166534"/>
                <w:sz w:val="20"/>
                <w:szCs w:val="20"/>
              </w:rPr>
              <w:t>, before Step 14's first model is built — no backlog risk. Section 5: flagged a known limitation — the column-level POPIA sensitivity scheme cannot express risk arising from combinations of columns (e.g. segment + contact history); noted honestly as unsolved rather than removed or overstated.</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490A" w14:textId="77777777" w:rsidR="00443C83" w:rsidRDefault="00443C83" w:rsidP="00E74F73">
      <w:pPr>
        <w:spacing w:after="0" w:line="240" w:lineRule="auto"/>
      </w:pPr>
      <w:r>
        <w:separator/>
      </w:r>
    </w:p>
  </w:endnote>
  <w:endnote w:type="continuationSeparator" w:id="0">
    <w:p w14:paraId="14FFFD63" w14:textId="77777777" w:rsidR="00443C83" w:rsidRDefault="00443C83"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1A26FC5F" w:rsidR="0053707D" w:rsidRDefault="003F0585" w:rsidP="006C1B5E">
    <w:pPr>
      <w:pStyle w:val="Footer"/>
      <w:pBdr>
        <w:top w:val="single" w:sz="4" w:space="1" w:color="D0D8EC"/>
      </w:pBdr>
    </w:pPr>
    <w:r>
      <w:rPr>
        <w:rFonts w:ascii="Calibri" w:hAnsi="Calibri" w:cs="Calibri"/>
        <w:color w:val="555555"/>
        <w:sz w:val="16"/>
        <w:szCs w:val="16"/>
      </w:rPr>
      <w:t>MET</w:t>
    </w:r>
    <w:r w:rsidR="0053707D" w:rsidRPr="001D0227">
      <w:rPr>
        <w:rFonts w:ascii="Calibri" w:hAnsi="Calibri" w:cs="Calibri"/>
        <w:color w:val="555555"/>
        <w:sz w:val="16"/>
        <w:szCs w:val="16"/>
      </w:rPr>
      <w:t xml:space="preserve">-001 | </w:t>
    </w:r>
    <w:r>
      <w:rPr>
        <w:rFonts w:ascii="Calibri" w:hAnsi="Calibri" w:cs="Calibri"/>
        <w:color w:val="555555"/>
        <w:sz w:val="16"/>
        <w:szCs w:val="16"/>
      </w:rPr>
      <w:t>Metadata Strategy</w:t>
    </w:r>
    <w:r w:rsidR="0053707D" w:rsidRPr="001D0227">
      <w:rPr>
        <w:rFonts w:ascii="Calibri" w:hAnsi="Calibri" w:cs="Calibri"/>
        <w:color w:val="555555"/>
        <w:sz w:val="16"/>
        <w:szCs w:val="16"/>
      </w:rPr>
      <w:t xml:space="preserve"> | Step </w:t>
    </w:r>
    <w:r w:rsidR="00EA3B59">
      <w:rPr>
        <w:rFonts w:ascii="Calibri" w:hAnsi="Calibri" w:cs="Calibri"/>
        <w:color w:val="555555"/>
        <w:sz w:val="16"/>
        <w:szCs w:val="16"/>
      </w:rPr>
      <w:t>1</w:t>
    </w:r>
    <w:r>
      <w:rPr>
        <w:rFonts w:ascii="Calibri" w:hAnsi="Calibri" w:cs="Calibri"/>
        <w:color w:val="555555"/>
        <w:sz w:val="16"/>
        <w:szCs w:val="16"/>
      </w:rPr>
      <w:t>1</w:t>
    </w:r>
    <w:r w:rsidR="0053707D" w:rsidRPr="001D0227">
      <w:rPr>
        <w:rFonts w:ascii="Calibri" w:hAnsi="Calibri" w:cs="Calibri"/>
        <w:color w:val="555555"/>
        <w:sz w:val="16"/>
        <w:szCs w:val="16"/>
      </w:rPr>
      <w:t xml:space="preserve"> </w:t>
    </w:r>
    <w:r w:rsidR="0053707D" w:rsidRPr="006C1B5E">
      <w:rPr>
        <w:rFonts w:ascii="Calibri" w:hAnsi="Calibri" w:cs="Calibri"/>
        <w:color w:val="555555"/>
        <w:sz w:val="16"/>
        <w:szCs w:val="16"/>
      </w:rPr>
      <w:t>Deliverable</w:t>
    </w:r>
    <w:r w:rsidR="0053707D" w:rsidRPr="006C1B5E">
      <w:rPr>
        <w:rFonts w:ascii="Calibri" w:hAnsi="Calibri" w:cs="Calibri"/>
        <w:color w:val="555555"/>
        <w:sz w:val="16"/>
        <w:szCs w:val="16"/>
      </w:rPr>
      <w:ptab w:relativeTo="margin" w:alignment="center" w:leader="none"/>
    </w:r>
    <w:r w:rsidR="0053707D" w:rsidRPr="006C1B5E">
      <w:rPr>
        <w:rFonts w:ascii="Calibri" w:hAnsi="Calibri" w:cs="Calibri"/>
        <w:color w:val="555555"/>
        <w:sz w:val="16"/>
        <w:szCs w:val="16"/>
      </w:rPr>
      <w:ptab w:relativeTo="margin" w:alignment="right" w:leader="none"/>
    </w:r>
    <w:r w:rsidR="0053707D" w:rsidRPr="006C1B5E">
      <w:rPr>
        <w:rFonts w:ascii="Calibri" w:hAnsi="Calibri" w:cs="Calibri"/>
        <w:color w:val="555555"/>
        <w:sz w:val="16"/>
        <w:szCs w:val="16"/>
      </w:rPr>
      <w:t>Page</w:t>
    </w:r>
    <w:r w:rsidR="0053707D" w:rsidRPr="0053707D">
      <w:t xml:space="preserve">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PAGE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1</w:t>
    </w:r>
    <w:r w:rsidR="0053707D" w:rsidRPr="006C1B5E">
      <w:rPr>
        <w:rFonts w:ascii="Calibri" w:hAnsi="Calibri" w:cs="Calibri"/>
        <w:b/>
        <w:bCs/>
        <w:color w:val="555555"/>
        <w:sz w:val="16"/>
        <w:szCs w:val="16"/>
      </w:rPr>
      <w:fldChar w:fldCharType="end"/>
    </w:r>
    <w:r w:rsidR="0053707D" w:rsidRPr="006C1B5E">
      <w:rPr>
        <w:rFonts w:ascii="Calibri" w:hAnsi="Calibri" w:cs="Calibri"/>
        <w:color w:val="555555"/>
        <w:sz w:val="16"/>
        <w:szCs w:val="16"/>
      </w:rPr>
      <w:t xml:space="preserve"> of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NUMPAGES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2</w:t>
    </w:r>
    <w:r w:rsidR="0053707D"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98A29" w14:textId="77777777" w:rsidR="00443C83" w:rsidRDefault="00443C83" w:rsidP="00E74F73">
      <w:pPr>
        <w:spacing w:after="0" w:line="240" w:lineRule="auto"/>
      </w:pPr>
      <w:r>
        <w:separator/>
      </w:r>
    </w:p>
  </w:footnote>
  <w:footnote w:type="continuationSeparator" w:id="0">
    <w:p w14:paraId="6FB66C31" w14:textId="77777777" w:rsidR="00443C83" w:rsidRDefault="00443C83"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18B85BDB"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 xml:space="preserve">CONFIDENTIAL | </w:t>
    </w:r>
    <w:r w:rsidR="003F0585">
      <w:rPr>
        <w:rFonts w:ascii="Calibri" w:hAnsi="Calibri" w:cs="Calibri"/>
        <w:color w:val="555555"/>
        <w:sz w:val="16"/>
        <w:szCs w:val="16"/>
      </w:rPr>
      <w:t>MET</w:t>
    </w:r>
    <w:r w:rsidRPr="00E74F73">
      <w:rPr>
        <w:rFonts w:ascii="Calibri" w:hAnsi="Calibri" w:cs="Calibri"/>
        <w:color w:val="555555"/>
        <w:sz w:val="16"/>
        <w:szCs w:val="16"/>
      </w:rPr>
      <w:t>-001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642D"/>
    <w:multiLevelType w:val="hybridMultilevel"/>
    <w:tmpl w:val="CA5A71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593B54"/>
    <w:multiLevelType w:val="hybridMultilevel"/>
    <w:tmpl w:val="7496F8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A119A7"/>
    <w:multiLevelType w:val="hybridMultilevel"/>
    <w:tmpl w:val="18ACF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5EB1947"/>
    <w:multiLevelType w:val="hybridMultilevel"/>
    <w:tmpl w:val="F3F496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6A862CA"/>
    <w:multiLevelType w:val="hybridMultilevel"/>
    <w:tmpl w:val="3AAC57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F680C4C"/>
    <w:multiLevelType w:val="hybridMultilevel"/>
    <w:tmpl w:val="E08E45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097799F"/>
    <w:multiLevelType w:val="hybridMultilevel"/>
    <w:tmpl w:val="445839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4B734D7"/>
    <w:multiLevelType w:val="hybridMultilevel"/>
    <w:tmpl w:val="AC48F8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C44730A"/>
    <w:multiLevelType w:val="hybridMultilevel"/>
    <w:tmpl w:val="61BAA680"/>
    <w:lvl w:ilvl="0" w:tplc="896A29F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211692E"/>
    <w:multiLevelType w:val="hybridMultilevel"/>
    <w:tmpl w:val="B1BE6C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07D4EDB"/>
    <w:multiLevelType w:val="hybridMultilevel"/>
    <w:tmpl w:val="DC88E9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2463112"/>
    <w:multiLevelType w:val="multilevel"/>
    <w:tmpl w:val="087E3B44"/>
    <w:lvl w:ilvl="0">
      <w:start w:val="1"/>
      <w:numFmt w:val="decimal"/>
      <w:lvlText w:val="%1."/>
      <w:lvlJc w:val="left"/>
      <w:pPr>
        <w:ind w:left="360" w:hanging="360"/>
      </w:pPr>
      <w:rPr>
        <w:rFonts w:hint="default"/>
      </w:rPr>
    </w:lvl>
    <w:lvl w:ilvl="1">
      <w:start w:val="1"/>
      <w:numFmt w:val="decimal"/>
      <w:isLgl/>
      <w:lvlText w:val="%1.%2"/>
      <w:lvlJc w:val="left"/>
      <w:pPr>
        <w:ind w:left="195" w:hanging="555"/>
      </w:pPr>
      <w:rPr>
        <w:rFonts w:eastAsiaTheme="majorEastAsia" w:hint="default"/>
        <w:b/>
        <w:color w:val="1A2E5A"/>
        <w:sz w:val="24"/>
        <w:szCs w:val="24"/>
      </w:rPr>
    </w:lvl>
    <w:lvl w:ilvl="2">
      <w:start w:val="1"/>
      <w:numFmt w:val="decimal"/>
      <w:isLgl/>
      <w:lvlText w:val="%1.%2.%3"/>
      <w:lvlJc w:val="left"/>
      <w:pPr>
        <w:ind w:left="360" w:hanging="720"/>
      </w:pPr>
      <w:rPr>
        <w:rFonts w:eastAsiaTheme="majorEastAsia" w:hint="default"/>
        <w:b/>
        <w:color w:val="1A2E5A"/>
        <w:sz w:val="24"/>
      </w:rPr>
    </w:lvl>
    <w:lvl w:ilvl="3">
      <w:start w:val="1"/>
      <w:numFmt w:val="decimal"/>
      <w:isLgl/>
      <w:lvlText w:val="%1.%2.%3.%4"/>
      <w:lvlJc w:val="left"/>
      <w:pPr>
        <w:ind w:left="720" w:hanging="720"/>
      </w:pPr>
      <w:rPr>
        <w:rFonts w:eastAsiaTheme="majorEastAsia" w:hint="default"/>
        <w:b/>
        <w:color w:val="1A2E5A"/>
        <w:sz w:val="24"/>
      </w:rPr>
    </w:lvl>
    <w:lvl w:ilvl="4">
      <w:start w:val="1"/>
      <w:numFmt w:val="decimal"/>
      <w:isLgl/>
      <w:lvlText w:val="%1.%2.%3.%4.%5"/>
      <w:lvlJc w:val="left"/>
      <w:pPr>
        <w:ind w:left="1080" w:hanging="1080"/>
      </w:pPr>
      <w:rPr>
        <w:rFonts w:eastAsiaTheme="majorEastAsia" w:hint="default"/>
        <w:b/>
        <w:color w:val="1A2E5A"/>
        <w:sz w:val="24"/>
      </w:rPr>
    </w:lvl>
    <w:lvl w:ilvl="5">
      <w:start w:val="1"/>
      <w:numFmt w:val="decimal"/>
      <w:isLgl/>
      <w:lvlText w:val="%1.%2.%3.%4.%5.%6"/>
      <w:lvlJc w:val="left"/>
      <w:pPr>
        <w:ind w:left="1080" w:hanging="1080"/>
      </w:pPr>
      <w:rPr>
        <w:rFonts w:eastAsiaTheme="majorEastAsia" w:hint="default"/>
        <w:b/>
        <w:color w:val="1A2E5A"/>
        <w:sz w:val="24"/>
      </w:rPr>
    </w:lvl>
    <w:lvl w:ilvl="6">
      <w:start w:val="1"/>
      <w:numFmt w:val="decimal"/>
      <w:isLgl/>
      <w:lvlText w:val="%1.%2.%3.%4.%5.%6.%7"/>
      <w:lvlJc w:val="left"/>
      <w:pPr>
        <w:ind w:left="1440" w:hanging="1440"/>
      </w:pPr>
      <w:rPr>
        <w:rFonts w:eastAsiaTheme="majorEastAsia" w:hint="default"/>
        <w:b/>
        <w:color w:val="1A2E5A"/>
        <w:sz w:val="24"/>
      </w:rPr>
    </w:lvl>
    <w:lvl w:ilvl="7">
      <w:start w:val="1"/>
      <w:numFmt w:val="decimal"/>
      <w:isLgl/>
      <w:lvlText w:val="%1.%2.%3.%4.%5.%6.%7.%8"/>
      <w:lvlJc w:val="left"/>
      <w:pPr>
        <w:ind w:left="1440" w:hanging="1440"/>
      </w:pPr>
      <w:rPr>
        <w:rFonts w:eastAsiaTheme="majorEastAsia" w:hint="default"/>
        <w:b/>
        <w:color w:val="1A2E5A"/>
        <w:sz w:val="24"/>
      </w:rPr>
    </w:lvl>
    <w:lvl w:ilvl="8">
      <w:start w:val="1"/>
      <w:numFmt w:val="decimal"/>
      <w:isLgl/>
      <w:lvlText w:val="%1.%2.%3.%4.%5.%6.%7.%8.%9"/>
      <w:lvlJc w:val="left"/>
      <w:pPr>
        <w:ind w:left="1800" w:hanging="1800"/>
      </w:pPr>
      <w:rPr>
        <w:rFonts w:eastAsiaTheme="majorEastAsia" w:hint="default"/>
        <w:b/>
        <w:color w:val="1A2E5A"/>
        <w:sz w:val="24"/>
      </w:rPr>
    </w:lvl>
  </w:abstractNum>
  <w:abstractNum w:abstractNumId="12" w15:restartNumberingAfterBreak="0">
    <w:nsid w:val="44F94C46"/>
    <w:multiLevelType w:val="multilevel"/>
    <w:tmpl w:val="087E3B44"/>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eastAsiaTheme="majorEastAsia" w:hint="default"/>
        <w:sz w:val="24"/>
      </w:rPr>
    </w:lvl>
    <w:lvl w:ilvl="2">
      <w:start w:val="1"/>
      <w:numFmt w:val="decimal"/>
      <w:isLgl/>
      <w:lvlText w:val="%1.%2.%3"/>
      <w:lvlJc w:val="left"/>
      <w:pPr>
        <w:ind w:left="1080" w:hanging="720"/>
      </w:pPr>
      <w:rPr>
        <w:rFonts w:eastAsiaTheme="majorEastAsia" w:hint="default"/>
        <w:sz w:val="24"/>
      </w:rPr>
    </w:lvl>
    <w:lvl w:ilvl="3">
      <w:start w:val="1"/>
      <w:numFmt w:val="decimal"/>
      <w:isLgl/>
      <w:lvlText w:val="%1.%2.%3.%4"/>
      <w:lvlJc w:val="left"/>
      <w:pPr>
        <w:ind w:left="1080" w:hanging="720"/>
      </w:pPr>
      <w:rPr>
        <w:rFonts w:eastAsiaTheme="majorEastAsia" w:hint="default"/>
        <w:sz w:val="24"/>
      </w:rPr>
    </w:lvl>
    <w:lvl w:ilvl="4">
      <w:start w:val="1"/>
      <w:numFmt w:val="decimal"/>
      <w:isLgl/>
      <w:lvlText w:val="%1.%2.%3.%4.%5"/>
      <w:lvlJc w:val="left"/>
      <w:pPr>
        <w:ind w:left="1440" w:hanging="1080"/>
      </w:pPr>
      <w:rPr>
        <w:rFonts w:eastAsiaTheme="majorEastAsia" w:hint="default"/>
        <w:sz w:val="24"/>
      </w:rPr>
    </w:lvl>
    <w:lvl w:ilvl="5">
      <w:start w:val="1"/>
      <w:numFmt w:val="decimal"/>
      <w:isLgl/>
      <w:lvlText w:val="%1.%2.%3.%4.%5.%6"/>
      <w:lvlJc w:val="left"/>
      <w:pPr>
        <w:ind w:left="1440" w:hanging="1080"/>
      </w:pPr>
      <w:rPr>
        <w:rFonts w:eastAsiaTheme="majorEastAsia" w:hint="default"/>
        <w:sz w:val="24"/>
      </w:rPr>
    </w:lvl>
    <w:lvl w:ilvl="6">
      <w:start w:val="1"/>
      <w:numFmt w:val="decimal"/>
      <w:isLgl/>
      <w:lvlText w:val="%1.%2.%3.%4.%5.%6.%7"/>
      <w:lvlJc w:val="left"/>
      <w:pPr>
        <w:ind w:left="1800" w:hanging="1440"/>
      </w:pPr>
      <w:rPr>
        <w:rFonts w:eastAsiaTheme="majorEastAsia" w:hint="default"/>
        <w:sz w:val="24"/>
      </w:rPr>
    </w:lvl>
    <w:lvl w:ilvl="7">
      <w:start w:val="1"/>
      <w:numFmt w:val="decimal"/>
      <w:isLgl/>
      <w:lvlText w:val="%1.%2.%3.%4.%5.%6.%7.%8"/>
      <w:lvlJc w:val="left"/>
      <w:pPr>
        <w:ind w:left="1800" w:hanging="1440"/>
      </w:pPr>
      <w:rPr>
        <w:rFonts w:eastAsiaTheme="majorEastAsia" w:hint="default"/>
        <w:sz w:val="24"/>
      </w:rPr>
    </w:lvl>
    <w:lvl w:ilvl="8">
      <w:start w:val="1"/>
      <w:numFmt w:val="decimal"/>
      <w:isLgl/>
      <w:lvlText w:val="%1.%2.%3.%4.%5.%6.%7.%8.%9"/>
      <w:lvlJc w:val="left"/>
      <w:pPr>
        <w:ind w:left="2160" w:hanging="1800"/>
      </w:pPr>
      <w:rPr>
        <w:rFonts w:eastAsiaTheme="majorEastAsia" w:hint="default"/>
        <w:sz w:val="24"/>
      </w:rPr>
    </w:lvl>
  </w:abstractNum>
  <w:abstractNum w:abstractNumId="13" w15:restartNumberingAfterBreak="0">
    <w:nsid w:val="4AB3716D"/>
    <w:multiLevelType w:val="multilevel"/>
    <w:tmpl w:val="406CFA8C"/>
    <w:lvl w:ilvl="0">
      <w:start w:val="2024"/>
      <w:numFmt w:val="decimal"/>
      <w:lvlText w:val="%1"/>
      <w:lvlJc w:val="left"/>
      <w:pPr>
        <w:ind w:left="840" w:hanging="840"/>
      </w:pPr>
      <w:rPr>
        <w:rFonts w:hint="default"/>
      </w:rPr>
    </w:lvl>
    <w:lvl w:ilvl="1">
      <w:start w:val="1"/>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D21C4A"/>
    <w:multiLevelType w:val="multilevel"/>
    <w:tmpl w:val="3DEE47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34705EB"/>
    <w:multiLevelType w:val="hybridMultilevel"/>
    <w:tmpl w:val="7D4C65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AFC4623"/>
    <w:multiLevelType w:val="hybridMultilevel"/>
    <w:tmpl w:val="CC08D5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312792D"/>
    <w:multiLevelType w:val="hybridMultilevel"/>
    <w:tmpl w:val="2F4CDA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5E53D3A"/>
    <w:multiLevelType w:val="hybridMultilevel"/>
    <w:tmpl w:val="FD8C6AE8"/>
    <w:lvl w:ilvl="0" w:tplc="B884419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AD52F73"/>
    <w:multiLevelType w:val="hybridMultilevel"/>
    <w:tmpl w:val="0A886C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78D2E13"/>
    <w:multiLevelType w:val="hybridMultilevel"/>
    <w:tmpl w:val="86C0F5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CE77FDA"/>
    <w:multiLevelType w:val="hybridMultilevel"/>
    <w:tmpl w:val="43E61A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DAD2AEB"/>
    <w:multiLevelType w:val="hybridMultilevel"/>
    <w:tmpl w:val="7F0463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33341489">
    <w:abstractNumId w:val="14"/>
  </w:num>
  <w:num w:numId="2" w16cid:durableId="61801767">
    <w:abstractNumId w:val="18"/>
  </w:num>
  <w:num w:numId="3" w16cid:durableId="261035166">
    <w:abstractNumId w:val="11"/>
  </w:num>
  <w:num w:numId="4" w16cid:durableId="726105237">
    <w:abstractNumId w:val="13"/>
  </w:num>
  <w:num w:numId="5" w16cid:durableId="851844755">
    <w:abstractNumId w:val="5"/>
  </w:num>
  <w:num w:numId="6" w16cid:durableId="1358582591">
    <w:abstractNumId w:val="19"/>
  </w:num>
  <w:num w:numId="7" w16cid:durableId="240414948">
    <w:abstractNumId w:val="12"/>
  </w:num>
  <w:num w:numId="8" w16cid:durableId="1518346777">
    <w:abstractNumId w:val="8"/>
  </w:num>
  <w:num w:numId="9" w16cid:durableId="2108653453">
    <w:abstractNumId w:val="4"/>
  </w:num>
  <w:num w:numId="10" w16cid:durableId="985280428">
    <w:abstractNumId w:val="6"/>
  </w:num>
  <w:num w:numId="11" w16cid:durableId="1318807528">
    <w:abstractNumId w:val="21"/>
  </w:num>
  <w:num w:numId="12" w16cid:durableId="2055885035">
    <w:abstractNumId w:val="2"/>
  </w:num>
  <w:num w:numId="13" w16cid:durableId="184832966">
    <w:abstractNumId w:val="1"/>
  </w:num>
  <w:num w:numId="14" w16cid:durableId="1984112682">
    <w:abstractNumId w:val="0"/>
  </w:num>
  <w:num w:numId="15" w16cid:durableId="1522275779">
    <w:abstractNumId w:val="3"/>
  </w:num>
  <w:num w:numId="16" w16cid:durableId="129059050">
    <w:abstractNumId w:val="22"/>
  </w:num>
  <w:num w:numId="17" w16cid:durableId="1435176202">
    <w:abstractNumId w:val="16"/>
  </w:num>
  <w:num w:numId="18" w16cid:durableId="550043869">
    <w:abstractNumId w:val="15"/>
  </w:num>
  <w:num w:numId="19" w16cid:durableId="1355619352">
    <w:abstractNumId w:val="20"/>
  </w:num>
  <w:num w:numId="20" w16cid:durableId="1043793170">
    <w:abstractNumId w:val="10"/>
  </w:num>
  <w:num w:numId="21" w16cid:durableId="1897547003">
    <w:abstractNumId w:val="7"/>
  </w:num>
  <w:num w:numId="22" w16cid:durableId="623271847">
    <w:abstractNumId w:val="17"/>
  </w:num>
  <w:num w:numId="23" w16cid:durableId="1823766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05EBE"/>
    <w:rsid w:val="00006887"/>
    <w:rsid w:val="00013BD8"/>
    <w:rsid w:val="0002384B"/>
    <w:rsid w:val="000401B1"/>
    <w:rsid w:val="00052CF4"/>
    <w:rsid w:val="000A75B3"/>
    <w:rsid w:val="000B11C5"/>
    <w:rsid w:val="000C308C"/>
    <w:rsid w:val="000D28FA"/>
    <w:rsid w:val="000E3CBC"/>
    <w:rsid w:val="000E5B1D"/>
    <w:rsid w:val="000F026C"/>
    <w:rsid w:val="001049E5"/>
    <w:rsid w:val="00136303"/>
    <w:rsid w:val="001619E8"/>
    <w:rsid w:val="00174D1F"/>
    <w:rsid w:val="001761AE"/>
    <w:rsid w:val="001830D7"/>
    <w:rsid w:val="00186089"/>
    <w:rsid w:val="001A1675"/>
    <w:rsid w:val="001E7C49"/>
    <w:rsid w:val="002044A7"/>
    <w:rsid w:val="00205035"/>
    <w:rsid w:val="00260698"/>
    <w:rsid w:val="00262308"/>
    <w:rsid w:val="00266271"/>
    <w:rsid w:val="00277A63"/>
    <w:rsid w:val="00280422"/>
    <w:rsid w:val="00280F6B"/>
    <w:rsid w:val="002C3861"/>
    <w:rsid w:val="002D14DA"/>
    <w:rsid w:val="002D69E4"/>
    <w:rsid w:val="00315E9E"/>
    <w:rsid w:val="003218A7"/>
    <w:rsid w:val="00325057"/>
    <w:rsid w:val="00326BFD"/>
    <w:rsid w:val="0039112D"/>
    <w:rsid w:val="003A591B"/>
    <w:rsid w:val="003A6A39"/>
    <w:rsid w:val="003A7AFD"/>
    <w:rsid w:val="003A7CBB"/>
    <w:rsid w:val="003C0BD2"/>
    <w:rsid w:val="003D29DA"/>
    <w:rsid w:val="003D3B2C"/>
    <w:rsid w:val="003F0585"/>
    <w:rsid w:val="00406DB4"/>
    <w:rsid w:val="0040786F"/>
    <w:rsid w:val="004225CD"/>
    <w:rsid w:val="00430476"/>
    <w:rsid w:val="004413C2"/>
    <w:rsid w:val="00442AB6"/>
    <w:rsid w:val="00443C83"/>
    <w:rsid w:val="0045277B"/>
    <w:rsid w:val="00452C55"/>
    <w:rsid w:val="00464EE4"/>
    <w:rsid w:val="00471FCC"/>
    <w:rsid w:val="0048367F"/>
    <w:rsid w:val="004A40EE"/>
    <w:rsid w:val="004B1973"/>
    <w:rsid w:val="004B2C39"/>
    <w:rsid w:val="004B3AAF"/>
    <w:rsid w:val="004B694C"/>
    <w:rsid w:val="004D1010"/>
    <w:rsid w:val="004D5F4E"/>
    <w:rsid w:val="004E6A7C"/>
    <w:rsid w:val="004E7627"/>
    <w:rsid w:val="0050018C"/>
    <w:rsid w:val="0051797A"/>
    <w:rsid w:val="0052215A"/>
    <w:rsid w:val="00524490"/>
    <w:rsid w:val="005278B1"/>
    <w:rsid w:val="0053707D"/>
    <w:rsid w:val="00540085"/>
    <w:rsid w:val="005503B7"/>
    <w:rsid w:val="00560D6A"/>
    <w:rsid w:val="005812EB"/>
    <w:rsid w:val="00584694"/>
    <w:rsid w:val="005B3DCB"/>
    <w:rsid w:val="005B760D"/>
    <w:rsid w:val="005C7E17"/>
    <w:rsid w:val="005D7EE4"/>
    <w:rsid w:val="005E0E47"/>
    <w:rsid w:val="005E4764"/>
    <w:rsid w:val="005E4D72"/>
    <w:rsid w:val="006130C1"/>
    <w:rsid w:val="006174BD"/>
    <w:rsid w:val="0062447A"/>
    <w:rsid w:val="00643CDC"/>
    <w:rsid w:val="00652921"/>
    <w:rsid w:val="00671E92"/>
    <w:rsid w:val="00673D0E"/>
    <w:rsid w:val="00674D58"/>
    <w:rsid w:val="006836F2"/>
    <w:rsid w:val="006B16CF"/>
    <w:rsid w:val="006B3604"/>
    <w:rsid w:val="006C1B5E"/>
    <w:rsid w:val="006E640A"/>
    <w:rsid w:val="00700A49"/>
    <w:rsid w:val="00706126"/>
    <w:rsid w:val="007268C5"/>
    <w:rsid w:val="007325CD"/>
    <w:rsid w:val="00760AC3"/>
    <w:rsid w:val="00766ED3"/>
    <w:rsid w:val="007674E1"/>
    <w:rsid w:val="00773829"/>
    <w:rsid w:val="007919C3"/>
    <w:rsid w:val="007B093E"/>
    <w:rsid w:val="007C27E3"/>
    <w:rsid w:val="007C6396"/>
    <w:rsid w:val="007D22E6"/>
    <w:rsid w:val="007D4465"/>
    <w:rsid w:val="007D451C"/>
    <w:rsid w:val="007F46CC"/>
    <w:rsid w:val="00801172"/>
    <w:rsid w:val="00813C7D"/>
    <w:rsid w:val="008150CB"/>
    <w:rsid w:val="00815960"/>
    <w:rsid w:val="008263F7"/>
    <w:rsid w:val="0083664A"/>
    <w:rsid w:val="0083701F"/>
    <w:rsid w:val="00871317"/>
    <w:rsid w:val="00885A6D"/>
    <w:rsid w:val="008977EF"/>
    <w:rsid w:val="008B36AA"/>
    <w:rsid w:val="008B6400"/>
    <w:rsid w:val="008B723D"/>
    <w:rsid w:val="008C2274"/>
    <w:rsid w:val="008C5969"/>
    <w:rsid w:val="008F5256"/>
    <w:rsid w:val="0091388D"/>
    <w:rsid w:val="009326C9"/>
    <w:rsid w:val="00936D93"/>
    <w:rsid w:val="00941DE9"/>
    <w:rsid w:val="00963EB0"/>
    <w:rsid w:val="009656D3"/>
    <w:rsid w:val="00970988"/>
    <w:rsid w:val="00972B99"/>
    <w:rsid w:val="00974F67"/>
    <w:rsid w:val="009A04CC"/>
    <w:rsid w:val="009D241B"/>
    <w:rsid w:val="009D6EEA"/>
    <w:rsid w:val="009F77D0"/>
    <w:rsid w:val="00A0495F"/>
    <w:rsid w:val="00A3235C"/>
    <w:rsid w:val="00A402C3"/>
    <w:rsid w:val="00A45FF1"/>
    <w:rsid w:val="00A62F7A"/>
    <w:rsid w:val="00A935B6"/>
    <w:rsid w:val="00AA6063"/>
    <w:rsid w:val="00AC19CE"/>
    <w:rsid w:val="00AE0828"/>
    <w:rsid w:val="00AE66C6"/>
    <w:rsid w:val="00AF0F02"/>
    <w:rsid w:val="00AF43F2"/>
    <w:rsid w:val="00AF4735"/>
    <w:rsid w:val="00AF526D"/>
    <w:rsid w:val="00B257E5"/>
    <w:rsid w:val="00B32BC9"/>
    <w:rsid w:val="00B53ED3"/>
    <w:rsid w:val="00B64179"/>
    <w:rsid w:val="00B723C7"/>
    <w:rsid w:val="00B769E0"/>
    <w:rsid w:val="00B86893"/>
    <w:rsid w:val="00BA5C7B"/>
    <w:rsid w:val="00BB20FB"/>
    <w:rsid w:val="00BD1FC7"/>
    <w:rsid w:val="00BE62F7"/>
    <w:rsid w:val="00BF42AD"/>
    <w:rsid w:val="00C05373"/>
    <w:rsid w:val="00C21F48"/>
    <w:rsid w:val="00C26486"/>
    <w:rsid w:val="00C5098C"/>
    <w:rsid w:val="00C60F89"/>
    <w:rsid w:val="00C61D08"/>
    <w:rsid w:val="00C636E9"/>
    <w:rsid w:val="00C63BEC"/>
    <w:rsid w:val="00C650A6"/>
    <w:rsid w:val="00C65940"/>
    <w:rsid w:val="00C70F70"/>
    <w:rsid w:val="00C91067"/>
    <w:rsid w:val="00C96694"/>
    <w:rsid w:val="00CA5B5D"/>
    <w:rsid w:val="00CD345A"/>
    <w:rsid w:val="00CE0738"/>
    <w:rsid w:val="00CE4E2C"/>
    <w:rsid w:val="00CE6040"/>
    <w:rsid w:val="00CE746F"/>
    <w:rsid w:val="00D04C4E"/>
    <w:rsid w:val="00D13BD6"/>
    <w:rsid w:val="00D25489"/>
    <w:rsid w:val="00D539B5"/>
    <w:rsid w:val="00D61826"/>
    <w:rsid w:val="00D731A8"/>
    <w:rsid w:val="00D76C7F"/>
    <w:rsid w:val="00D840AA"/>
    <w:rsid w:val="00D85205"/>
    <w:rsid w:val="00DA51E7"/>
    <w:rsid w:val="00DA5767"/>
    <w:rsid w:val="00DC2565"/>
    <w:rsid w:val="00DD35A0"/>
    <w:rsid w:val="00DE4B56"/>
    <w:rsid w:val="00DF355A"/>
    <w:rsid w:val="00E03148"/>
    <w:rsid w:val="00E054A2"/>
    <w:rsid w:val="00E07FCF"/>
    <w:rsid w:val="00E11412"/>
    <w:rsid w:val="00E119EE"/>
    <w:rsid w:val="00E133BE"/>
    <w:rsid w:val="00E24DCE"/>
    <w:rsid w:val="00E32D76"/>
    <w:rsid w:val="00E55F9A"/>
    <w:rsid w:val="00E6311B"/>
    <w:rsid w:val="00E7125C"/>
    <w:rsid w:val="00E74F73"/>
    <w:rsid w:val="00E84136"/>
    <w:rsid w:val="00E90FB1"/>
    <w:rsid w:val="00E96608"/>
    <w:rsid w:val="00E97B63"/>
    <w:rsid w:val="00EA3B59"/>
    <w:rsid w:val="00ED704C"/>
    <w:rsid w:val="00EF45C5"/>
    <w:rsid w:val="00EF4656"/>
    <w:rsid w:val="00F00752"/>
    <w:rsid w:val="00F22E30"/>
    <w:rsid w:val="00F2578E"/>
    <w:rsid w:val="00F33C49"/>
    <w:rsid w:val="00F41E85"/>
    <w:rsid w:val="00F43C7F"/>
    <w:rsid w:val="00F44756"/>
    <w:rsid w:val="00F7656A"/>
    <w:rsid w:val="00F96720"/>
    <w:rsid w:val="00F97692"/>
    <w:rsid w:val="00FB6869"/>
    <w:rsid w:val="00FB7DA2"/>
    <w:rsid w:val="00FE31F7"/>
    <w:rsid w:val="00FE79D1"/>
    <w:rsid w:val="00FF75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6</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17</cp:revision>
  <cp:lastPrinted>2026-06-25T11:51:00Z</cp:lastPrinted>
  <dcterms:created xsi:type="dcterms:W3CDTF">2026-09-07T13:31:00Z</dcterms:created>
  <dcterms:modified xsi:type="dcterms:W3CDTF">2026-09-16T16:57:00Z</dcterms:modified>
</cp:coreProperties>
</file>