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Calibri" w:cs="Calibri" w:eastAsia="Calibri" w:hAnsi="Calibri"/>
          <w:b/>
          <w:bCs/>
          <w:color w:val="C8A96E"/>
          <w:spacing w:val="80"/>
          <w:sz w:val="20"/>
          <w:szCs w:val="20"/>
        </w:rPr>
        <w:t xml:space="preserve">RETAILSPHERE (PTY) LTD</w:t>
      </w:r>
    </w:p>
    <w:p>
      <w:pPr>
        <w:spacing w:after="120" w:before="0"/>
      </w:pPr>
      <w:r>
        <w:rPr>
          <w:rFonts w:ascii="Calibri" w:cs="Calibri" w:eastAsia="Calibri" w:hAnsi="Calibri"/>
          <w:color w:val="555555"/>
          <w:sz w:val="20"/>
          <w:szCs w:val="20"/>
        </w:rPr>
        <w:t xml:space="preserve">Data Platform Programme</w:t>
      </w:r>
    </w:p>
    <w:p>
      <w:pPr>
        <w:spacing w:after="120" w:before="0"/>
      </w:pPr>
      <w:r>
        <w:rPr>
          <w:rFonts w:ascii="Calibri" w:cs="Calibri" w:eastAsia="Calibri" w:hAnsi="Calibri"/>
          <w:b/>
          <w:bCs/>
          <w:color w:val="1A2E5A"/>
          <w:sz w:val="44"/>
          <w:szCs w:val="44"/>
        </w:rPr>
        <w:t xml:space="preserve">Functional Requirements Document</w:t>
      </w:r>
    </w:p>
    <w:p>
      <w:pPr>
        <w:pBdr>
          <w:bottom w:val="single" w:color="C8A96E" w:sz="6" w:space="8"/>
        </w:pBdr>
        <w:spacing w:after="400" w:before="0"/>
      </w:pPr>
      <w:r>
        <w:rPr>
          <w:rFonts w:ascii="Calibri" w:cs="Calibri" w:eastAsia="Calibri" w:hAnsi="Calibri"/>
          <w:i/>
          <w:iCs/>
          <w:color w:val="555555"/>
          <w:sz w:val="24"/>
          <w:szCs w:val="24"/>
        </w:rPr>
        <w:t xml:space="preserve">Step 3 Deliverable — What the Platform Must Do</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Document ID</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FRD-001</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Version</w:t>
            </w:r>
          </w:p>
        </w:tc>
        <w:tc>
          <w:tcPr>
            <w:tcW w:type="dxa" w:w="320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bCs/>
                <w:color w:val="166534"/>
                <w:sz w:val="18"/>
                <w:szCs w:val="18"/>
              </w:rPr>
              <w:t xml:space="preserve">1.0 — Final</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Date</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9 May 2026</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Author</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Thozamile Mbalo — Data Solutions Architect</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Reviewed by</w:t>
            </w:r>
          </w:p>
        </w:tc>
        <w:tc>
          <w:tcPr>
            <w:tcW w:type="dxa" w:w="320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8"/>
                <w:szCs w:val="18"/>
              </w:rPr>
              <w:t xml:space="preserve">Nomvula Mahlangu — Chief Data Officer</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Total Requirements</w:t>
            </w:r>
          </w:p>
        </w:tc>
        <w:tc>
          <w:tcPr>
            <w:tcW w:type="dxa" w:w="320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bCs/>
                <w:color w:val="166534"/>
                <w:sz w:val="18"/>
                <w:szCs w:val="18"/>
              </w:rPr>
              <w:t xml:space="preserve">36 requirements across 6 marts and 8 cross-cutting</w:t>
            </w:r>
          </w:p>
        </w:tc>
      </w:tr>
      <w:tr>
        <w:tc>
          <w:tcPr>
            <w:tcW w:type="dxa" w:w="18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Status</w:t>
            </w:r>
          </w:p>
        </w:tc>
        <w:tc>
          <w:tcPr>
            <w:tcW w:type="dxa" w:w="320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color w:val="7A5C00"/>
                <w:sz w:val="18"/>
                <w:szCs w:val="18"/>
              </w:rPr>
              <w:t xml:space="preserve">Draft — Pending CDO Sign-off</w:t>
            </w:r>
          </w:p>
        </w:tc>
      </w:tr>
    </w:tbl>
    <w:p>
      <w:pPr>
        <w:spacing w:after="0" w:before="4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 Purpose</w:t>
      </w:r>
    </w:p>
    <w:p>
      <w:pPr>
        <w:spacing w:after="80" w:before="80"/>
        <w:jc w:val="both"/>
      </w:pPr>
      <w:r>
        <w:rPr>
          <w:rFonts w:ascii="Calibri" w:cs="Calibri" w:eastAsia="Calibri" w:hAnsi="Calibri"/>
          <w:b w:val="false"/>
          <w:bCs w:val="false"/>
          <w:i w:val="false"/>
          <w:iCs w:val="false"/>
          <w:color w:val="1A1A1A"/>
          <w:sz w:val="20"/>
          <w:szCs w:val="20"/>
        </w:rPr>
        <w:t xml:space="preserve">This document defines the functional requirements for the RetailSphere Data Platform. It answers one question — what must the platform do? Requirements are derived directly from Step 2 Business Process Analysis stakeholder interviews and are organised into six data mart areas plus cross-cutting platform requirements.</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Every requirement in this document traces back to a specific stakeholder need documented in BPA-001. The traceability matrix in Section 11 makes this connection explicit.</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2. Scope</w:t>
      </w:r>
    </w:p>
    <w:p>
      <w:pPr>
        <w:spacing w:after="80" w:before="80"/>
        <w:jc w:val="both"/>
      </w:pPr>
      <w:r>
        <w:rPr>
          <w:rFonts w:ascii="Calibri" w:cs="Calibri" w:eastAsia="Calibri" w:hAnsi="Calibri"/>
          <w:b w:val="false"/>
          <w:bCs w:val="false"/>
          <w:i w:val="false"/>
          <w:iCs w:val="false"/>
          <w:color w:val="1A1A1A"/>
          <w:sz w:val="20"/>
          <w:szCs w:val="20"/>
        </w:rPr>
        <w:t xml:space="preserve">This document covers functional requirements only — what the platform must do. Non-functional requirements — how fast, how secure, how available — are documented separately in NFR-001 (Step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160"/>
        <w:gridCol w:w="3400"/>
      </w:tblGrid>
      <w:tr>
        <w:trPr>
          <w:tblHeader/>
        </w:trPr>
        <w:tc>
          <w:tcPr>
            <w:tcW w:type="dxa" w:w="1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Mart</w:t>
            </w:r>
          </w:p>
        </w:tc>
        <w:tc>
          <w:tcPr>
            <w:tcW w:type="dxa" w:w="2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Domain</w:t>
            </w:r>
          </w:p>
        </w:tc>
        <w:tc>
          <w:tcPr>
            <w:tcW w:type="dxa" w:w="21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Process Owner</w:t>
            </w:r>
          </w:p>
        </w:tc>
        <w:tc>
          <w:tcPr>
            <w:tcW w:type="dxa" w:w="3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Requirements</w:t>
            </w:r>
          </w:p>
        </w:tc>
      </w:tr>
      <w:tr>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Mart 1</w:t>
            </w:r>
          </w:p>
        </w:tc>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Procurement Analytics</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Sipho Dlamini</w:t>
            </w:r>
          </w:p>
        </w:tc>
        <w:tc>
          <w:tcPr>
            <w:tcW w:type="dxa" w:w="3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FR-PRO-001 to FR-PRO-005</w:t>
            </w:r>
          </w:p>
        </w:tc>
      </w:tr>
      <w:tr>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Mart 2</w:t>
            </w:r>
          </w:p>
        </w:tc>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Inventory Management</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Zanele Mokoena</w:t>
            </w:r>
          </w:p>
        </w:tc>
        <w:tc>
          <w:tcPr>
            <w:tcW w:type="dxa" w:w="3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FR-INV-001 to FR-INV-005</w:t>
            </w:r>
          </w:p>
        </w:tc>
      </w:tr>
      <w:tr>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Mart 3</w:t>
            </w:r>
          </w:p>
        </w:tc>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Sales Analytics</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FR-SAL-001 to FR-SAL-003</w:t>
            </w:r>
          </w:p>
        </w:tc>
      </w:tr>
      <w:tr>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Mart 4</w:t>
            </w:r>
          </w:p>
        </w:tc>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Customer Analytics</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Priya Naidoo</w:t>
            </w:r>
          </w:p>
        </w:tc>
        <w:tc>
          <w:tcPr>
            <w:tcW w:type="dxa" w:w="3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FR-CUS-001 to FR-CUS-006</w:t>
            </w:r>
          </w:p>
        </w:tc>
      </w:tr>
      <w:tr>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Mart 5</w:t>
            </w:r>
          </w:p>
        </w:tc>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Finance and GL</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Johan van der Merwe</w:t>
            </w:r>
          </w:p>
        </w:tc>
        <w:tc>
          <w:tcPr>
            <w:tcW w:type="dxa" w:w="3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FR-FIN-001 to FR-FIN-005</w:t>
            </w:r>
          </w:p>
        </w:tc>
      </w:tr>
      <w:tr>
        <w:tc>
          <w:tcPr>
            <w:tcW w:type="dxa" w:w="1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Mart 6</w:t>
            </w:r>
          </w:p>
        </w:tc>
        <w:tc>
          <w:tcPr>
            <w:tcW w:type="dxa" w:w="2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Marketing Attribution</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4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FR-MKT-001 to FR-MKT-004</w:t>
            </w:r>
          </w:p>
        </w:tc>
      </w:tr>
      <w:tr>
        <w:tc>
          <w:tcPr>
            <w:tcW w:type="dxa" w:w="1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Cross-cutting</w:t>
            </w:r>
          </w:p>
        </w:tc>
        <w:tc>
          <w:tcPr>
            <w:tcW w:type="dxa" w:w="2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All Domains</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T. Mbalo / N. Mahlangu</w:t>
            </w:r>
          </w:p>
        </w:tc>
        <w:tc>
          <w:tcPr>
            <w:tcW w:type="dxa" w:w="34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FR-CCR-001 to FR-CCR-008</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3. Requirement Format and Conventions</w:t>
      </w:r>
    </w:p>
    <w:p>
      <w:pPr>
        <w:spacing w:after="80" w:before="80"/>
        <w:jc w:val="left"/>
      </w:pPr>
      <w:r>
        <w:rPr>
          <w:rFonts w:ascii="Calibri" w:cs="Calibri" w:eastAsia="Calibri" w:hAnsi="Calibri"/>
          <w:b/>
          <w:bCs/>
          <w:i w:val="false"/>
          <w:iCs w:val="false"/>
          <w:color w:val="1A1A1A"/>
          <w:sz w:val="20"/>
          <w:szCs w:val="20"/>
        </w:rPr>
        <w:t xml:space="preserve">Each requirement is documented using a standard six-field format:</w:t>
      </w:r>
    </w:p>
    <w:p>
      <w:pPr>
        <w:spacing w:after="0" w:before="80"/>
      </w:pPr>
      <w:r>
        <w:t xml:space="preserve"/>
      </w:r>
    </w:p>
    <w:p>
      <w:pPr>
        <w:spacing w:after="60" w:before="60"/>
        <w:ind w:left="400"/>
      </w:pPr>
      <w:r>
        <w:rPr>
          <w:rFonts w:ascii="Calibri" w:cs="Calibri" w:eastAsia="Calibri" w:hAnsi="Calibri"/>
          <w:color w:val="1A1A1A"/>
          <w:sz w:val="20"/>
          <w:szCs w:val="20"/>
        </w:rPr>
        <w:t xml:space="preserve">• Requirement ID — unique identifier in format FR-[MART]-[NUMBER]</w:t>
      </w:r>
    </w:p>
    <w:p>
      <w:pPr>
        <w:spacing w:after="60" w:before="60"/>
        <w:ind w:left="400"/>
      </w:pPr>
      <w:r>
        <w:rPr>
          <w:rFonts w:ascii="Calibri" w:cs="Calibri" w:eastAsia="Calibri" w:hAnsi="Calibri"/>
          <w:color w:val="1A1A1A"/>
          <w:sz w:val="20"/>
          <w:szCs w:val="20"/>
        </w:rPr>
        <w:t xml:space="preserve">• What — the business capability the platform must deliver</w:t>
      </w:r>
    </w:p>
    <w:p>
      <w:pPr>
        <w:spacing w:after="60" w:before="60"/>
        <w:ind w:left="400"/>
      </w:pPr>
      <w:r>
        <w:rPr>
          <w:rFonts w:ascii="Calibri" w:cs="Calibri" w:eastAsia="Calibri" w:hAnsi="Calibri"/>
          <w:color w:val="1A1A1A"/>
          <w:sz w:val="20"/>
          <w:szCs w:val="20"/>
        </w:rPr>
        <w:t xml:space="preserve">• How Measured — the calculation or logic applied</w:t>
      </w:r>
    </w:p>
    <w:p>
      <w:pPr>
        <w:spacing w:after="60" w:before="60"/>
        <w:ind w:left="400"/>
      </w:pPr>
      <w:r>
        <w:rPr>
          <w:rFonts w:ascii="Calibri" w:cs="Calibri" w:eastAsia="Calibri" w:hAnsi="Calibri"/>
          <w:color w:val="1A1A1A"/>
          <w:sz w:val="20"/>
          <w:szCs w:val="20"/>
        </w:rPr>
        <w:t xml:space="preserve">• Frequency — how often the data is updated or calculated</w:t>
      </w:r>
    </w:p>
    <w:p>
      <w:pPr>
        <w:spacing w:after="60" w:before="60"/>
        <w:ind w:left="400"/>
      </w:pPr>
      <w:r>
        <w:rPr>
          <w:rFonts w:ascii="Calibri" w:cs="Calibri" w:eastAsia="Calibri" w:hAnsi="Calibri"/>
          <w:color w:val="1A1A1A"/>
          <w:sz w:val="20"/>
          <w:szCs w:val="20"/>
        </w:rPr>
        <w:t xml:space="preserve">• Source Systems — where the data originates</w:t>
      </w:r>
    </w:p>
    <w:p>
      <w:pPr>
        <w:spacing w:after="60" w:before="60"/>
        <w:ind w:left="400"/>
      </w:pPr>
      <w:r>
        <w:rPr>
          <w:rFonts w:ascii="Calibri" w:cs="Calibri" w:eastAsia="Calibri" w:hAnsi="Calibri"/>
          <w:color w:val="1A1A1A"/>
          <w:sz w:val="20"/>
          <w:szCs w:val="20"/>
        </w:rPr>
        <w:t xml:space="preserve">• Acceptance Criteria — how we confirm the requirement is met</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Where applicable, requirements also include Dependencies — ADRs or other requirements that must be resolved first — and Notes for important constraints or findings.</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4. Mart 1 — Procurement Analytics</w:t>
      </w:r>
    </w:p>
    <w:p>
      <w:pPr>
        <w:spacing w:after="80" w:before="80"/>
        <w:jc w:val="left"/>
      </w:pPr>
      <w:r>
        <w:rPr>
          <w:rFonts w:ascii="Calibri" w:cs="Calibri" w:eastAsia="Calibri" w:hAnsi="Calibri"/>
          <w:b w:val="false"/>
          <w:bCs w:val="false"/>
          <w:i/>
          <w:iCs/>
          <w:color w:val="555555"/>
          <w:sz w:val="20"/>
          <w:szCs w:val="20"/>
        </w:rPr>
        <w:t xml:space="preserve">Process Owner: Sipho Dlamini, Head of Procurement. Source: BPA-001 Section 3.1.</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Sipho requires five metrics available every Monday morning without manual calculation. Currently his team spends three days every month producing the procurement savings number alone. All five requirements depend on SAP ECC as the primary source. FR-PRO-001 and FR-PRO-003 additionally depend on ADR-003 supplier contract PDF extraction.</w:t>
      </w:r>
    </w:p>
    <w:p>
      <w:pPr>
        <w:spacing w:after="0" w:before="160"/>
      </w:pPr>
      <w:r>
        <w:t xml:space="preserve"/>
      </w:r>
    </w:p>
    <w:p>
      <w:pPr>
        <w:spacing w:after="80" w:before="200"/>
      </w:pPr>
      <w:r>
        <w:rPr>
          <w:rFonts w:ascii="Calibri" w:cs="Calibri" w:eastAsia="Calibri" w:hAnsi="Calibri"/>
          <w:b/>
          <w:bCs/>
          <w:color w:val="1A2E5A"/>
          <w:sz w:val="22"/>
          <w:szCs w:val="22"/>
        </w:rPr>
        <w:t xml:space="preserve">FR-PRO-001 — Supplier On-Time Delivery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FR-PRO-001</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Calculate on-time delivery rate per supplier across all 340 active suppliers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Actual GRN delivery date compared to contracted lead time from supplier contract master. Expressed as percentage of orders delivered on or before agreed date. Average days late shown for orders that missed the deadline.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GRN records (actual delivery) + Supplier contract master extracted via ADR-003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Report shows on-time delivery rate for each of 340 active suppliers. Sipho can sort by worst performing supplier. Platform result matches manual calculation within 0.1% on first validation run.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ADR-003 — Supplier Contract PDF Extraction must be resolved before contracted lead time data is available</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FR-PRO-002 — Invoice Accuracy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FR-PRO-002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Calculate invoice rejection rate per supplier including rejection reason per invoice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Failed three-way match count and rejection reason per invoice. Expressed as percentage of total invoices submitted per supplier.</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invoice matching records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Platform shows all 847 current exception queue invoices with rejection reason and supplier. Count matches current Excel exceptions queue exactly on first validation run.</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FR-PRO-003 — Price Variance Against Contracted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FR-PRO-003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Calculate variance between contracted price and actual amount paid per supplier</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Actual SAP payment amount compared to contracted rate extracted from supplier contract PDFs. Variance expressed in rands and as a percentage.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Weekly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actual payment records + Supplier contracts extracted via ADR-003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Sipho confirms platform variance matches his manual calculation using SAP payments and contract PDFs as source. Variance visible per supplier and per product category.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ADR-003 — Supplier Contract PDF Extraction must be resolved before contracted rates are available. This requirement cannot be built until ADR-003 is signed.</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FR-PRO-004 — Days Payable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FR-PRO-004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Calculate days payable outstanding per supplier expressed in business days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Invoice due date versus current date. Calculated in business days excluding weekends. Grouped by supplier and by payment terms category — 30, 60, and 90 day terms.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invoice dates + SAP payment run records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Platform shows DPO per supplier in business days. Result matches SAP creditors report on first validation day.</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FR-PRO-005 — Procurement Savings as Percentage of Total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FR-PRO-005</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Calculate procurement savings as a percentage of total spend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List price minus actual paid divided by total spend. Expressed as a percentage.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Monthly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purchase order values + Market benchmark data</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Currently takes Sipho's team three days of manual Excel calculation. Platform delivers same number in seconds. Sipho confirms result matches manual calculation on first validation run.</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5. Mart 2 — Inventory Management</w:t>
      </w:r>
    </w:p>
    <w:p>
      <w:pPr>
        <w:spacing w:after="80" w:before="80"/>
        <w:jc w:val="left"/>
      </w:pPr>
      <w:r>
        <w:rPr>
          <w:rFonts w:ascii="Calibri" w:cs="Calibri" w:eastAsia="Calibri" w:hAnsi="Calibri"/>
          <w:b w:val="false"/>
          <w:bCs w:val="false"/>
          <w:i/>
          <w:iCs/>
          <w:color w:val="555555"/>
          <w:sz w:val="20"/>
          <w:szCs w:val="20"/>
        </w:rPr>
        <w:t xml:space="preserve">Process Owner: Zanele Mokoena, National Inventory Manager. Source: BPA-001 Section 3.2.</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Zanele's requirements split across two fact tables. FR-INV-001 to FR-INV-003 are served by the Inventory Periodic Snapshot. FR-INV-004 and FR-INV-005 are served by the Replenishment Accumulating Snapshot. BPA-FINDING-001 applies — inventory metrics will be directionally correct but quantitatively approximate until three structural operational gaps are resolved.</w:t>
      </w:r>
    </w:p>
    <w:p>
      <w:pPr>
        <w:spacing w:after="0" w:before="160"/>
      </w:pPr>
      <w:r>
        <w:t xml:space="preserve"/>
      </w:r>
    </w:p>
    <w:p>
      <w:pPr>
        <w:spacing w:after="80" w:before="200"/>
      </w:pPr>
      <w:r>
        <w:rPr>
          <w:rFonts w:ascii="Calibri" w:cs="Calibri" w:eastAsia="Calibri" w:hAnsi="Calibri"/>
          <w:b/>
          <w:bCs/>
          <w:color w:val="1A2E5A"/>
          <w:sz w:val="22"/>
          <w:szCs w:val="22"/>
        </w:rPr>
        <w:t xml:space="preserve">FR-INV-001 — Stock Position per SKU per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FR-INV-001</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Current stock quantity per SKU per store across all 87 stores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Quantity on Hand from Inventory Periodic Snapshot. Semi-additive measure — can be averaged across dates but not summed.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 — real-time not achievable given structural data gaps in shrinkage, returns, and inter-store transfers. BPA-FINDING-001 applies.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stock management records + Oracle MICROS POS real-time decrements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Zanele can compare platform stock position per SKU per store against SAP and POS figures. Discrepancies flagged for investigation. Numbers are directionally correct — formally acknowledged as approximate pending BPA-FINDING-001 resolution.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Note</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b w:val="false"/>
                <w:bCs w:val="false"/>
                <w:color w:val="8B1A1A"/>
                <w:sz w:val="19"/>
                <w:szCs w:val="19"/>
              </w:rPr>
              <w:t xml:space="preserve">BPA-FINDING-001 — Inventory domain structural data integrity risk. Business acknowledgement required before go-live.</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FR-INV-002 — System vs Physical Stock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FR-INV-002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Variance between system stock and physical count per store expressed in units and percentage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system stock quantity minus physical count submitted by each store. Variance expressed in units and as a percentage of total stock.</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Weekly — physical count data arrives via email from 87 stores every Monday morning</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system stock records + Manual physical stock count data submitted as Excel per store every Monday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Zanele can compare platform variance report against her current Monday Excel and email submissions. Count and percentage must match on first validation run.</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FR-INV-003 — Shrinkage Rate by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FR-INV-003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Shrinkage rate per product category per store expressed as percentage of total stock value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Shrinkage units and value expressed as percentage of total stock value per category per store.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Weekly — shrinkage data arrives via email from 87 stores every Monday morning</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stock records + Shrinkage reports submitted as Excel per store every Monday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Zanele can compare platform shrinkage numbers per store and category against current Excel spreadsheets. Must match on first validation run.</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FR-INV-004 — Open Replenishment Orders by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FR-INV-004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All open replenishment orders visible by store, SKU, and current pipeline stage in real time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Replenishment Accumulating Snapshot. Pipeline stages: Reorder Date, DC Pick Date, Dispatch Date, Store Receipt Date. Status derived from date columns — Open, Picked, In Transit, Received.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Real-time — updated as each pipeline stage is completed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Replenishment Accumulating Snapshot fact table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Zanele can track and confirm progress of any open replenishment order with store, DC, and delivery team. Replaces manual Monday morning spreadsheet currently rebuilt in three hours every week.</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FR-INV-005 — Average Days in Replenishment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FR-INV-005</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Average days from reorder to store receipt per store, DC, and product category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Days in Pipeline stored measure from Replenishment Accumulating Snapshot. Includes weekend exclusion logic per Kimball Chapter 6. Calculated from Reorder Date to Store Receipt Date.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Replenishment Accumulating Snapshot — Days in Pipeline stored measure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No existing baseline to compare against — this metric does not currently exist at RetailSphere. Nomvula Mahlangu to review and approve the calculation methodology before platform goes live. Zanele to confirm output is operationally sensible based on domain knowledge.</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6. Mart 3 — Sales Analytics</w:t>
      </w:r>
    </w:p>
    <w:p>
      <w:pPr>
        <w:spacing w:after="80" w:before="80"/>
        <w:jc w:val="left"/>
      </w:pPr>
      <w:r>
        <w:rPr>
          <w:rFonts w:ascii="Calibri" w:cs="Calibri" w:eastAsia="Calibri" w:hAnsi="Calibri"/>
          <w:b w:val="false"/>
          <w:bCs w:val="false"/>
          <w:i/>
          <w:iCs/>
          <w:color w:val="555555"/>
          <w:sz w:val="20"/>
          <w:szCs w:val="20"/>
        </w:rPr>
        <w:t xml:space="preserve">Process Owner: Rethabile Sithole, Chief Commercial Officer. Source: BPA-001 Section 3.3.</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All three Sales requirements depend on ADR-002 Unified Customer Identity Resolution. Without a resolved customer identifier, CLV and retention calculations will only reflect single-channel activity and will not represent the true cross-channel customer picture.</w:t>
      </w:r>
    </w:p>
    <w:p>
      <w:pPr>
        <w:spacing w:after="0" w:before="160"/>
      </w:pPr>
      <w:r>
        <w:t xml:space="preserve"/>
      </w:r>
    </w:p>
    <w:p>
      <w:pPr>
        <w:spacing w:after="80" w:before="200"/>
      </w:pPr>
      <w:r>
        <w:rPr>
          <w:rFonts w:ascii="Calibri" w:cs="Calibri" w:eastAsia="Calibri" w:hAnsi="Calibri"/>
          <w:b/>
          <w:bCs/>
          <w:color w:val="1A2E5A"/>
          <w:sz w:val="22"/>
          <w:szCs w:val="22"/>
        </w:rPr>
        <w:t xml:space="preserve">FR-SAL-001 — Customer Lifetime Value Across All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FR-SAL-001</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Customer Lifetime Value per customer across all channels — not per channel</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Total spend per unified customer across POS transactions, Shopify orders, and loyalty-linked sales. Single CLV figure per customer regardless of channel.</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Oracle MICROS POS + Shopify Plus + Salesforce CRM</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Rethabile can trace any customer and see their total spend across all channels. Platform shows CLV for all 2.1 million loyalty members plus anonymous segment estimates. Numbers reconcile to individual channel totals on first validation.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ADR-002 — Unified Customer Identity Resolution must be resolved before cross-channel CLV can be calculated</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FR-SAL-002 — True Retention and Churn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FR-SAL-002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True retention and churn rate across all channels using agreed six-month engagement definition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Platform calculates last engagement date per customer across purchase, browse, email open, and store visit signals. Six-month no-engagement threshold agreed with Rethabile. Customer with no signal in six months flagged as lapsed.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 data refresh. Monthly churn rate calculation and reporting.</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Oracle MICROS POS + Shopify Plus + Salesforce CRM</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Rethabile can see retention rate and churn rate monthly. Can drill into lapsed customers by last engagement date and last engagement channel. Single churn definition used consistently across all channels.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ADR-002 — Unified Customer Identity Resolution required to link engagement signals across all channels to the same person</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FR-SAL-003 — Customer Segment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FR-SAL-003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Four customer segments calculated and refreshed monthly with full SCD Type 2 history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Platform classifies each customer into one of four segments: Anonymous in-store (no identity, 66% of store transactions); Online only (Shopify, no loyalty link); Loyalty only (no online activity); Full cross-channel (linked across all three systems). SCD Type 2 tracks segment attribute history.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Monthly refresh</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Oracle MICROS POS + Shopify Plus + Salesforce CRM</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Rethabile can see segment size, revenue contribution, and movement between segments month on month. SCD Type 2 shows where each customer started, when they moved, and what triggered the move.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ADR-002 — Unified Customer Identity Resolution required for cross-channel and loyalty segment classification</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7. Mart 4 — Customer Analytics</w:t>
      </w:r>
    </w:p>
    <w:p>
      <w:pPr>
        <w:spacing w:after="80" w:before="80"/>
        <w:jc w:val="left"/>
      </w:pPr>
      <w:r>
        <w:rPr>
          <w:rFonts w:ascii="Calibri" w:cs="Calibri" w:eastAsia="Calibri" w:hAnsi="Calibri"/>
          <w:b w:val="false"/>
          <w:bCs w:val="false"/>
          <w:i/>
          <w:iCs/>
          <w:color w:val="555555"/>
          <w:sz w:val="20"/>
          <w:szCs w:val="20"/>
        </w:rPr>
        <w:t xml:space="preserve">Process Owner: Priya Naidoo, Head of CRM and Loyalty (Data Steward — Customer dimension). Source: BPA-001 Section 3.4.</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Priya owns the Customer dimension as Data Steward. FR-CUS-002 is a POPIA legal obligation — not a preference. FR-CUS-001 enforces the four-contact monthly cap agreed with Priya. ADR-007 must be signed before any contact governance logic is built.</w:t>
      </w:r>
    </w:p>
    <w:p>
      <w:pPr>
        <w:spacing w:after="0" w:before="160"/>
      </w:pPr>
      <w:r>
        <w:t xml:space="preserve"/>
      </w:r>
    </w:p>
    <w:p>
      <w:pPr>
        <w:spacing w:after="80" w:before="200"/>
      </w:pPr>
      <w:r>
        <w:rPr>
          <w:rFonts w:ascii="Calibri" w:cs="Calibri" w:eastAsia="Calibri" w:hAnsi="Calibri"/>
          <w:b/>
          <w:bCs/>
          <w:color w:val="1A2E5A"/>
          <w:sz w:val="22"/>
          <w:szCs w:val="22"/>
        </w:rPr>
        <w:t xml:space="preserve">FR-CUS-001 — Communications per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FR-CUS-001</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All communications sent to each member visible in one place. Maximum four contacts per member per month enforced across all channels combined.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Contact History fact table — one row per communication event per member per channel. Rolling 30-day contact frequency calculated from this table. Platform suppresses sends that would breach the four-contact monthly cap.</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Contact History fact table sourced from Salesforce Marketing Cloud + Meta Business Manager + Google Analytics 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Priya can see total contact attempts per member, which campaign each communication belonged to, and which campaigns generated highest unsubscribe rates. Platform enforces four-contact monthly cap and confirms suppression when cap is reached.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ADR-007 — Contact Governance and Opt-out Propagation Architecture must be signed before this is built</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FR-CUS-002 — Opt-out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FR-CUS-002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Member opt-out propagated across all four systems within four hours of opt-out event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Tiered ingestion pipeline — near real-time, maximum four hours from opt-out event to full cross-system propagation across Salesforce CRM, Marketing Cloud, Meta, and GA4.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Near real-time — hourly batch minimum. Four-hour maximum.</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Salesforce CRM + Salesforce Marketing Cloud + Meta Business Manager + Google Analytics 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Priya can confirm that a member who unsubscribed from one channel is excluded from all four systems within four hours. Platform sends confirmation alert to Priya's team when propagation is complete.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ADR-007 — Contact Governance Architecture must be signed. POPIA legal obligation — this is non-negotiable.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Note</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b w:val="false"/>
                <w:bCs w:val="false"/>
                <w:color w:val="8B1A1A"/>
                <w:sz w:val="19"/>
                <w:szCs w:val="19"/>
              </w:rPr>
              <w:t xml:space="preserve">POPIA compliance requirement. This is a legal obligation not a preference. Breach constitutes a regulatory risk.</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FR-CUS-003 — At-risk Member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FR-CUS-003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Members at risk of lapsing flagged before they leave using three-component calculation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Three components calculated per member daily: last purchase date (from Sales fact table); last category purchased (derived from Sales fact table joined to Product dimension); last engagement date (from Contact History fact table). Members with no engagement signal in six months flagged as at-risk.</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Contact History fact table + Sales fact table + Product dimension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For every at-risk member Priya's team can see last purchase date, last category purchased, and last engagement date. Team can intervene before member lapses — not after.</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ADR-002 — Unified Customer Identity required to link engagement signals across all channels to the same member</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FR-CUS-004 — Campaign Performance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FR-CUS-004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Automated campaign performance dashboard combining all three marketing systems in one view</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Contact History fact table unified with Salesforce CRM and Marketing Cloud data. Replaces manual reports pulled from three separate systems.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Weekly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Contact History fact table + Salesforce CRM + Salesforce Marketing Cloud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Priya can compare automated dashboard output against current manual campaign reports from three separate systems. Dashboard shows performance for all 2.1 million registered members. Numbers reconcile on first validation run.</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FR-CUS-005 — Net Member Movement and Predicted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FR-CUS-005</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Net member movement monthly plus predicted churn for next 30 days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Net movement: new members minus lapsed members per month. Predicted churn: members approaching six-month no-engagement threshold identified from Contact History fact table rolling calculation.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Monthly calculation. Daily data refresh underlying the calculation.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Salesforce CRM + Sales fact table + Contact History fact table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Priya can see net member movement — new, retained, and lapsed — for the current month. Predicted churn list shows members likely to lapse in next 30 days with enough lead time to intervene.</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FR-CUS-006 — Customer Segment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FR-CUS-006</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Track customer movement between four segments over time using SCD Type 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Customer dimension segment attribute tracked with previous segment, current segment, date of change, and trigger that caused the move. SCD Type 2 preserves full history.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Monthly refresh — aligned to segment framework monthly update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Customer dimension segment attribute + Sales fact table (purchase triggers) + Contact History (engagement triggers)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Platform shows where a customer started, when they moved, and what triggered the move. Rethabile can understand what converts anonymous customers to loyalty members and systematise it.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ADR-002 — Unified Customer Identity required for accurate cross-channel segment classification</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8. Mart 5 — Finance and GL</w:t>
      </w:r>
    </w:p>
    <w:p>
      <w:pPr>
        <w:spacing w:after="80" w:before="80"/>
        <w:jc w:val="left"/>
      </w:pPr>
      <w:r>
        <w:rPr>
          <w:rFonts w:ascii="Calibri" w:cs="Calibri" w:eastAsia="Calibri" w:hAnsi="Calibri"/>
          <w:b w:val="false"/>
          <w:bCs w:val="false"/>
          <w:i/>
          <w:iCs/>
          <w:color w:val="555555"/>
          <w:sz w:val="20"/>
          <w:szCs w:val="20"/>
        </w:rPr>
        <w:t xml:space="preserve">Process Owner: Johan van der Merwe, Group Financial Controller. Source: BPA-001 Section 3.5.</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Johan carries personal liability for the accuracy of financial statements. His instruction is recorded: the audit trail is section one, not section five. The reconciliation framework underpins every Finance requirement — if the platform number does not match SAP to the cent the pipeline stops before Gold layer is updated. Two consecutive months of parallel running with Excel are required before Excel is decommissioned — Johan's sign-off required each month.</w:t>
      </w:r>
    </w:p>
    <w:p>
      <w:pPr>
        <w:spacing w:after="0" w:before="160"/>
      </w:pPr>
      <w:r>
        <w:t xml:space="preserve"/>
      </w:r>
    </w:p>
    <w:p>
      <w:pPr>
        <w:spacing w:after="80" w:before="200"/>
      </w:pPr>
      <w:r>
        <w:rPr>
          <w:rFonts w:ascii="Calibri" w:cs="Calibri" w:eastAsia="Calibri" w:hAnsi="Calibri"/>
          <w:b/>
          <w:bCs/>
          <w:color w:val="1A2E5A"/>
          <w:sz w:val="22"/>
          <w:szCs w:val="22"/>
        </w:rPr>
        <w:t xml:space="preserve">FR-FIN-001 — Audit Trail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FR-FIN-001</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Complete audit trail of every number, transformation, business rule, and change in the platform — exportable to PDF for auditors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dbt transformation logs capture every model run, every rule applied, and every change made. Version controlled in Git — no silent changes possible. Exportable to PDF on demand.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Available on demand within 24 hours of any auditor request. Monthly scheduled run for proactive audit readiness.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dbt transformation logs + SAP ECC + Bronze, Silver, and Gold layer metadata</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Johan can see every number, transformation, business rule, and change. Can export to PDF within 24 hours of auditor request. Audit trail is section one — accessible immediately without navigating to a secondary report.</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FR-FIN-002 — General Ledger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FR-FIN-002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Platform GL number reconciles to SAP General Ledger to the cent every day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 automated comparison of Gold layer financial totals against SAP General Ledger. Variance report generated. If variance is not zero — pipeline stops before Gold layer is updated. Alert sent to Johan with full details for approval or rejection.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General Ledger + Gold layer Finance fact tables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Johan can check variance between SAP and platform in seconds — not days. When variance is detected Johan receives alert with full details and can approve or reject before Gold layer is updated. Zero variance is the only acceptable Gold layer state.</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FR-FIN-003 — Month-end Close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FR-FIN-003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Automated month-end close pack in same format as current Excel workbooks delivered by 7am on day two after month-end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dbt Gold models produce all financial summaries. Excel workbook business rules migrated to dbt transformation models with version control. Same format as current Excel output.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Monthly — delivered by 7am on day two after month-end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 dbt Gold models + Excel workbook business logic migrated to dbt transformation models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Platform output compared to Excel workbooks — numbers must correspond exactly. Report delivered by 7am on day two. Johan and team get three days back. Two consecutive months must reconcile before Excel is decommissioned. Johan signs off each month.</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FR-FIN-004 — Creditors Aging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FR-FIN-004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Three-way match and exception queue visible and managed in platform replacing current Excel-based creditors aging process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three-way match — Purchase Order plus GRN plus Invoice. Exceptions flagged with rejection reason and age in queue. Exceptions queue managed in platform not Excel.</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Weekly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invoice records + Purchase Order records + GRN records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Platform shows all 847 current exception queue invoices with rejection reason and days in queue. Count matches Excel exceptions queue exactly on first validation run.</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FR-FIN-005 — Backdated Posting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FR-FIN-005</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Alert sent to Johan within one hour of any backdated SAP posting detected after nightly extraction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Real-time Change Data Capture on SAP detects backdated postings made after nightly extraction. Alert contains transaction date, posting date, amount, period affected, and approve or reject workflow. Gold layer not updated until Johan approves.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Real-time detection. Alert sent within one hour of detection.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 Change Data Capture + Alert framework</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Johan confirms alert received within one hour of detection. Alert contains sufficient detail to approve or reject without logging into the platform. Gold layer only updated after Johan's approval.</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9. Mart 6 — Marketing Attribution</w:t>
      </w:r>
    </w:p>
    <w:p>
      <w:pPr>
        <w:spacing w:after="80" w:before="80"/>
        <w:jc w:val="left"/>
      </w:pPr>
      <w:r>
        <w:rPr>
          <w:rFonts w:ascii="Calibri" w:cs="Calibri" w:eastAsia="Calibri" w:hAnsi="Calibri"/>
          <w:b w:val="false"/>
          <w:bCs w:val="false"/>
          <w:i/>
          <w:iCs/>
          <w:color w:val="555555"/>
          <w:sz w:val="20"/>
          <w:szCs w:val="20"/>
        </w:rPr>
        <w:t xml:space="preserve">Process Owner: Rethabile Sithole, Chief Commercial Officer. Source: BPA-001 Section 3.3.</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BPA-FINDING-002 applies to this entire mart — marketing attribution data does not exist in any RetailSphere source system. The platform creates it for the first time. RetailSphere spends R8.3 million annually on marketing. ADR-006 must be formally agreed and signed by the CCO before any Gold layer marketing build begins. FR-MKT-002, FR-MKT-003, and FR-MKT-004 are decision requirements — they define methodology that Rethabile must sign off on before the platform is built.</w:t>
      </w:r>
    </w:p>
    <w:p>
      <w:pPr>
        <w:spacing w:after="0" w:before="160"/>
      </w:pPr>
      <w:r>
        <w:t xml:space="preserve"/>
      </w:r>
    </w:p>
    <w:p>
      <w:pPr>
        <w:spacing w:after="80" w:before="200"/>
      </w:pPr>
      <w:r>
        <w:rPr>
          <w:rFonts w:ascii="Calibri" w:cs="Calibri" w:eastAsia="Calibri" w:hAnsi="Calibri"/>
          <w:b/>
          <w:bCs/>
          <w:color w:val="1A2E5A"/>
          <w:sz w:val="22"/>
          <w:szCs w:val="22"/>
        </w:rPr>
        <w:t xml:space="preserve">FR-MKT-001 — Closed-loop Marketing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FR-MKT-001</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Connect R8.3M annual marketing spend to revenue — show which spend drove which revenue and through which channel</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Platform links campaign send events to conversion events across all three marketing systems. Single attribution per conversion — no double counting. Closed loop between campaign spend and purchase confirmed.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Monthly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Salesforce Marketing Cloud + Meta Business Manager + Google Analytics 4 + Oracle MICROS POS + Shopify Plus (conversion)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Rethabile can see campaign spend connected to revenue regardless of which channel the customer converted on. Double and triple counting eliminated. R8.3M spend attributed to confirmed revenue.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ADR-006 — Marketing Attribution Logic must be signed before build. ADR-002 — Unified Customer Identity required to link touchpoints across channels.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Note</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b w:val="false"/>
                <w:bCs w:val="false"/>
                <w:color w:val="8B1A1A"/>
                <w:sz w:val="19"/>
                <w:szCs w:val="19"/>
              </w:rPr>
              <w:t xml:space="preserve">BPA-FINDING-002 — attribution data does not exist in any source system. Platform creates it for the first time.</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FR-MKT-002 — Attribution Window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FR-MKT-002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Define the number of days between a campaign touchpoint and a purchase that counts as an attributed conversion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Platform calculates time between campaign touchpoint event and subsequent purchase transaction across all channels. Applies agreed window consistently to all attribution calculations.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Applied to every campaign send and conversion event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Salesforce Marketing Cloud + Meta Business Manager + Google Analytics 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Rethabile signs off on the attribution window definition before platform build begins. Window definition documented in ADR-006.</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ADR-006 — must be agreed and signed before this is built. Cannot be changed after Rethabile begins making spend decisions based on platform numbers.</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FR-MKT-003 — Attribution Model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FR-MKT-003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Define which attribution model the platform applies consistently across all three marketing systems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Platform applies one agreed attribution model — options include last-click, first-click, linear, time-decay, or data-driven. Applied consistently across Salesforce Marketing Cloud, Meta, and GA4.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Applied to every conversion event calculation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Salesforce Marketing Cloud + Meta Business Manager + Google Analytics 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Rethabile signs off on model type before build begins. Model type documented in ADR-006. Once agreed — cannot be changed after Rethabile begins making R8.3M spend decisions based on platform attribution numbers.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ADR-006 — must be agreed and signed before this is built</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FR-MKT-004 — Cross-channel Attribution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FR-MKT-004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Define how credit is shared when a customer touches multiple channels before converting</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When a customer engages with multiple channels before converting — platform applies agreed weighting to determine which channel receives credit and how much. Single attribution per conversion — no double counting.</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Applied to every multi-touch conversion event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Salesforce Marketing Cloud + Meta Business Manager + Google Analytics 4 + Shopify Plus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Rethabile signs off on weighting methodology before build begins. Methodology documented in ADR-006. Double and triple counting eliminated — each conversion attributed once only.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ADR-006 — must be agreed before build. ADR-002 — Unified Customer Identity required to link touchpoints across channels to the same person.</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10. Cross-cutting Requirements</w:t>
      </w:r>
    </w:p>
    <w:p>
      <w:pPr>
        <w:spacing w:after="80" w:before="80"/>
        <w:jc w:val="both"/>
      </w:pPr>
      <w:r>
        <w:rPr>
          <w:rFonts w:ascii="Calibri" w:cs="Calibri" w:eastAsia="Calibri" w:hAnsi="Calibri"/>
          <w:b w:val="false"/>
          <w:bCs w:val="false"/>
          <w:i w:val="false"/>
          <w:iCs w:val="false"/>
          <w:color w:val="1A1A1A"/>
          <w:sz w:val="20"/>
          <w:szCs w:val="20"/>
        </w:rPr>
        <w:t xml:space="preserve">Cross-cutting requirements apply across all six marts simultaneously. They are not owned by a single domain — they are owned by the platform architecture.</w:t>
      </w:r>
    </w:p>
    <w:p>
      <w:pPr>
        <w:spacing w:after="0" w:before="160"/>
      </w:pPr>
      <w:r>
        <w:t xml:space="preserve"/>
      </w:r>
    </w:p>
    <w:p>
      <w:pPr>
        <w:spacing w:after="80" w:before="200"/>
      </w:pPr>
      <w:r>
        <w:rPr>
          <w:rFonts w:ascii="Calibri" w:cs="Calibri" w:eastAsia="Calibri" w:hAnsi="Calibri"/>
          <w:b/>
          <w:bCs/>
          <w:color w:val="1A2E5A"/>
          <w:sz w:val="22"/>
          <w:szCs w:val="22"/>
        </w:rPr>
        <w:t xml:space="preserve">FR-CCR-001 — Data Lineage Across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FR-CCR-001</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Every number in the Gold layer must be traceable back to its source transaction through Bronze and Silver layers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Column-level lineage tracked from source through Bronze, Silver, and Gold. dbt documentation provides lineage diagrams per model.</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Continuous — maintained as part of every pipeline run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dbt transformation logs + Bronze metadata + Silver metadata + Gold metadata</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Any Gold layer number can be traced to its source transaction within minutes. Auditors and analysts can follow the full journey of any data point.</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FR-CCR-002 — Master Product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FR-CCR-002</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Single trusted product identifier resolving SAP stock code, POS code, and Shopify SKU to one surrogate key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Cross-reference table in Silver layer maps all three product identifiers to a single Product dimension surrogate key. All marts join to Product dimension via this key.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Updated daily — new products and identifier changes detected and resolved</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SAP ECC + Oracle MICROS POS + Shopify Plus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All six marts reference the same Product dimension surrogate key. SAP-only, POS-only, and Shopify-only product counts reconcile to the unified product count.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ADR-001 — Master Product Identifier Strategy must be resolved before Product dimension can be finalised</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FR-CCR-003 — Unified Customer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FR-CCR-003</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Single trusted customer identifier linking Salesforce loyalty ID, Shopify customer ID, and POS receipt to one surrogate key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Identity resolution logic in Silver layer. Deterministic matching for loyalty customers using email, name, and address. Segment framework for unmatched population.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Updated daily</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Salesforce CRM + Shopify Plus + Oracle MICROS POS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All domains reference the same Customer dimension surrogate key. Cross-channel CLV, retention rate, and at-risk flags all calculated from unified identifier.</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ADR-002 — Unified Customer Identity Resolution must be resolved before Customer dimension can be finalised. POPIA legal review required.</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FR-CCR-004 — POPIA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FR-CCR-004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Platform must comply with POPIA across all domains — opt-out propagation, data retention, and right to erasure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Opt-out events propagated within four hours across all systems. Data retention rules enforced per domain. Right to erasure workflow built into Customer dimension management.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Continuous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All source systems + Customer dimension + Contact History fact table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Compliance audit can confirm opt-out propagation, data retention adherence, and erasure capabilities within 24 hours of request.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Dependencies</w:t>
            </w:r>
          </w:p>
        </w:tc>
        <w:tc>
          <w:tcPr>
            <w:tcW w:type="dxa" w:w="7360"/>
            <w:tcBorders>
              <w:top w:val="single" w:color="D0D8EC" w:sz="1"/>
              <w:left w:val="single" w:color="D0D8EC" w:sz="1"/>
              <w:bottom w:val="single" w:color="D0D8EC" w:sz="1"/>
              <w:right w:val="single" w:color="D0D8EC" w:sz="1"/>
            </w:tcBorders>
            <w:shd w:fill="FDF6E3" w:val="clear"/>
            <w:tcMar>
              <w:top w:type="dxa" w:w="80"/>
              <w:left w:type="dxa" w:w="120"/>
              <w:bottom w:type="dxa" w:w="80"/>
              <w:right w:type="dxa" w:w="120"/>
            </w:tcMar>
          </w:tcPr>
          <w:p>
            <w:r>
              <w:rPr>
                <w:rFonts w:ascii="Calibri" w:cs="Calibri" w:eastAsia="Calibri" w:hAnsi="Calibri"/>
                <w:b w:val="false"/>
                <w:bCs w:val="false"/>
                <w:color w:val="7A5C00"/>
                <w:sz w:val="19"/>
                <w:szCs w:val="19"/>
              </w:rPr>
              <w:t xml:space="preserve">POPIA legal review required for ADR-002 identity resolution approach</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FR-CCR-005 — Reconciliation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FR-CCR-005</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Every Gold layer financial and operational total must reconcile to source system totals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Automated reconciliation checks at every layer boundary — Bronze to Silver, Silver to Gold. Variance reports generated daily. Pipeline stops if reconciliation fails.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 — at every pipeline run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All source systems + Bronze layer + Silver layer + Gold layer</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No unreconciled variance exists in Gold layer. Any detected variance triggers pipeline stop and alert before Gold layer is updated.</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FR-CCR-006 — Error Handling and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FR-CCR-006</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No silent failures — every pipeline error detected, logged, and alerted to the relevant team</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Detailed alerts with: what failed, where it failed, what data is affected, and recommended resolution steps. Linked to troubleshooting runbook.</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Real-time detection and alerting</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All pipeline components + Azure Data Factory + dbt runs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Every pipeline failure generates a detailed alert within minutes. No wrong data reaches Gold layer without detection. On-call DBA can diagnose and resolve from alert content alone.</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FR-CCR-007 — Data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FR-CCR-007</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Pipeline stops at every layer boundary if data quality checks fail — bad data cannot silently reach Gold layer</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dbt tests run at every model execution — not_null, unique, accepted_values, referential integrity. Pipeline halts and alerts if any test fails.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Every pipeline run — Bronze to Silver and Silver to Gold boundaries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All pipeline layers</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No requirement can be met with data that has failed quality checks. Gold layer only updated after all quality gates pass.</w:t>
            </w:r>
          </w:p>
        </w:tc>
      </w:tr>
    </w:tbl>
    <w:p>
      <w:pPr>
        <w:spacing w:after="0" w:before="160"/>
      </w:pPr>
      <w:r>
        <w:t xml:space="preserve"/>
      </w:r>
    </w:p>
    <w:p>
      <w:pPr>
        <w:spacing w:after="80" w:before="200"/>
      </w:pPr>
      <w:r>
        <w:rPr>
          <w:rFonts w:ascii="Calibri" w:cs="Calibri" w:eastAsia="Calibri" w:hAnsi="Calibri"/>
          <w:b/>
          <w:bCs/>
          <w:color w:val="1A2E5A"/>
          <w:sz w:val="22"/>
          <w:szCs w:val="22"/>
        </w:rPr>
        <w:t xml:space="preserve">FR-CCR-008 — Cross-system Opt-out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Requirement ID</w:t>
            </w:r>
          </w:p>
        </w:tc>
        <w:tc>
          <w:tcPr>
            <w:tcW w:type="dxa" w:w="736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FR-CCR-008</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What</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Opt-out events propagated across all four marketing systems within four hours — platform-wide legal obligation</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How Measured</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Tiered ingestion pipeline detects opt-out event in any system and propagates to all four systems within four-hour window. Confirmation alert sent when propagation is complete.</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Frequency</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Near real-time — four-hour maximum</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Source Systems</w:t>
            </w:r>
          </w:p>
        </w:tc>
        <w:tc>
          <w:tcPr>
            <w:tcW w:type="dxa" w:w="7360"/>
            <w:tcBorders>
              <w:top w:val="single" w:color="D0D8EC" w:sz="1"/>
              <w:left w:val="single" w:color="D0D8EC" w:sz="1"/>
              <w:bottom w:val="single" w:color="D0D8EC" w:sz="1"/>
              <w:right w:val="single" w:color="D0D8E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Salesforce CRM + Salesforce Marketing Cloud + Meta Business Manager + Google Analytics 4</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Acceptance Criteria</w:t>
            </w:r>
          </w:p>
        </w:tc>
        <w:tc>
          <w:tcPr>
            <w:tcW w:type="dxa" w:w="7360"/>
            <w:tcBorders>
              <w:top w:val="single" w:color="D0D8EC" w:sz="1"/>
              <w:left w:val="single" w:color="D0D8EC" w:sz="1"/>
              <w:bottom w:val="single" w:color="D0D8EC" w:sz="1"/>
              <w:right w:val="single" w:color="D0D8EC" w:sz="1"/>
            </w:tcBorders>
            <w:shd w:fill="F0FDF4" w:val="clear"/>
            <w:tcMar>
              <w:top w:type="dxa" w:w="80"/>
              <w:left w:type="dxa" w:w="120"/>
              <w:bottom w:type="dxa" w:w="80"/>
              <w:right w:type="dxa" w:w="120"/>
            </w:tcMar>
          </w:tcPr>
          <w:p>
            <w:r>
              <w:rPr>
                <w:rFonts w:ascii="Calibri" w:cs="Calibri" w:eastAsia="Calibri" w:hAnsi="Calibri"/>
                <w:b w:val="false"/>
                <w:bCs w:val="false"/>
                <w:color w:val="166534"/>
                <w:sz w:val="19"/>
                <w:szCs w:val="19"/>
              </w:rPr>
              <w:t xml:space="preserve">Opt-out event confirmed across all four systems within four hours. POPIA compliance audit can confirm propagation timeline for any opt-out event.</w:t>
            </w:r>
          </w:p>
        </w:tc>
      </w:tr>
      <w:tr>
        <w:tc>
          <w:tcPr>
            <w:tcW w:type="dxa" w:w="20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8"/>
                <w:szCs w:val="18"/>
              </w:rPr>
              <w:t xml:space="preserve">Note</w:t>
            </w:r>
          </w:p>
        </w:tc>
        <w:tc>
          <w:tcPr>
            <w:tcW w:type="dxa" w:w="7360"/>
            <w:tcBorders>
              <w:top w:val="single" w:color="D0D8EC" w:sz="1"/>
              <w:left w:val="single" w:color="D0D8EC" w:sz="1"/>
              <w:bottom w:val="single" w:color="D0D8EC" w:sz="1"/>
              <w:right w:val="single" w:color="D0D8EC" w:sz="1"/>
            </w:tcBorders>
            <w:shd w:fill="FDF0F0" w:val="clear"/>
            <w:tcMar>
              <w:top w:type="dxa" w:w="80"/>
              <w:left w:type="dxa" w:w="120"/>
              <w:bottom w:type="dxa" w:w="80"/>
              <w:right w:type="dxa" w:w="120"/>
            </w:tcMar>
          </w:tcPr>
          <w:p>
            <w:r>
              <w:rPr>
                <w:rFonts w:ascii="Calibri" w:cs="Calibri" w:eastAsia="Calibri" w:hAnsi="Calibri"/>
                <w:b w:val="false"/>
                <w:bCs w:val="false"/>
                <w:color w:val="8B1A1A"/>
                <w:sz w:val="19"/>
                <w:szCs w:val="19"/>
              </w:rPr>
              <w:t xml:space="preserve">POPIA legal obligation. Applies platform-wide — not limited to Customer Analytics mart.</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11. Requirements Traceability Matrix</w:t>
      </w:r>
    </w:p>
    <w:p>
      <w:pPr>
        <w:spacing w:after="80" w:before="80"/>
        <w:jc w:val="both"/>
      </w:pPr>
      <w:r>
        <w:rPr>
          <w:rFonts w:ascii="Calibri" w:cs="Calibri" w:eastAsia="Calibri" w:hAnsi="Calibri"/>
          <w:b w:val="false"/>
          <w:bCs w:val="false"/>
          <w:i w:val="false"/>
          <w:iCs w:val="false"/>
          <w:color w:val="1A1A1A"/>
          <w:sz w:val="20"/>
          <w:szCs w:val="20"/>
        </w:rPr>
        <w:t xml:space="preserve">Every functional requirement traces back to a specific stakeholder need in BPA-001. This matrix confirms no requirement was invented by the architect — every one was requested by a domain process owner.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160"/>
        <w:gridCol w:w="3000"/>
      </w:tblGrid>
      <w:tr>
        <w:trPr>
          <w:tblHeader/>
        </w:trPr>
        <w:tc>
          <w:tcPr>
            <w:tcW w:type="dxa" w:w="12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 ID</w:t>
            </w:r>
          </w:p>
        </w:tc>
        <w:tc>
          <w:tcPr>
            <w:tcW w:type="dxa" w:w="30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Requirement</w:t>
            </w:r>
          </w:p>
        </w:tc>
        <w:tc>
          <w:tcPr>
            <w:tcW w:type="dxa" w:w="21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Stakeholder</w:t>
            </w:r>
          </w:p>
        </w:tc>
        <w:tc>
          <w:tcPr>
            <w:tcW w:type="dxa" w:w="30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BPA-001 Source</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FR-PRO-001</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Supplier on-time delivery rate</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Sipho Dlamini</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3.1 — Good in 12 months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FR-PRO-002</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Invoice accuracy rate</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Sipho Dlamini</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3.1 — Questions cannot answer</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FR-PRO-003</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Price variance vs contracted</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Sipho Dlamini</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3.1 — Good in 12 months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FR-PRO-004</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Days payable outstanding</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Sipho Dlamini</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3.1 — Good in 12 months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FR-PRO-005</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Procurement savings %</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Sipho Dlamini</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3.1 — Decisions monthly</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FR-INV-001</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Stock position per SKU per store</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Zanele Mokoena</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3.2 — Questions cannot answer</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FR-INV-002</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System vs physical variance</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Zanele Mokoena</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3.2 — Questions cannot answer</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FR-INV-003</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Shrinkage by category</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Zanele Mokoena</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3.2 — Good in 12 months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FR-INV-004</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Open replenishment orders</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Zanele Mokoena</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3.2 — Good in 12 months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FR-INV-005</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Average days in pipeline</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Zanele Mokoena</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3.2 — Good in 12 months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FR-SAL-001</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Customer Lifetime Value</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3.3 — Questions cannot answer</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FR-SAL-002</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True retention and churn rate</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3.3 — Questions cannot answer</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FR-SAL-003</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Customer segment framework</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3.3 — Good in 12 months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FR-CUS-001</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Communications per member</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Priya Naidoo</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3.4 — Good in 12 months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FR-CUS-002</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Opt-out propagation</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Priya Naidoo</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3.4 — Key business processes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FR-CUS-003</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At-risk member flag</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Priya Naidoo</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3.4 — Good in 12 months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FR-CUS-004</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Campaign performance dashboard</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Priya Naidoo</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3.4 — Decisions weekly</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FR-CUS-005</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Net member movement + churn</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Priya Naidoo</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3.4 — Decisions monthly</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FR-CUS-006</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Customer segment history SCD2</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3.3 — Good in 12 months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FR-FIN-001</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Audit trail report</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Johan van der Merwe</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3.5 — Good in 12 months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FR-FIN-002</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GL reconciliation</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Johan van der Merwe</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3.5 — Questions cannot answer</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FR-FIN-003</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Month-end close pack</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Johan van der Merwe</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3.5 — Good in 12 months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FR-FIN-004</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Creditors aging analysis</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Johan van der Merwe</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3.5 — Good in 12 months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FR-FIN-005</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Backdated posting alert</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Johan van der Merwe</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3.5 — Key business processes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FR-MKT-001</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Closed-loop attribution</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3.3 — Questions cannot answer</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FR-MKT-002</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Attribution window</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3.3 — ADR-006 dependency</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FR-MKT-003</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Attribution model type</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3.3 — ADR-006 dependency</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FR-MKT-004</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Cross-channel weighting</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Rethabile Sithole</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3.3 — ADR-006 dependency</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FR-CCR-001</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Data lineage all layers</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N. Mahlangu / T. Mbalo</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BPA-001 architectural implications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FR-CCR-002</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Master product identifier</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All domains</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ADR-001 — BDR-001 v1.0</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FR-CCR-003</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Unified customer identifier</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All domains</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ADR-002 — BDR-001 v1.0</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FR-CCR-004</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POPIA compliance</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Priya Naidoo / Legal</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3.4 — POPIA legal obligation</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FR-CCR-005</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Reconciliation framework</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Johan van der Merwe</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Section 3.5 — Architectural implications</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FR-CCR-006</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Error handling and alerting</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All domains</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BPA-001 cross-domain findings</w:t>
            </w:r>
          </w:p>
        </w:tc>
      </w:tr>
      <w:tr>
        <w:tc>
          <w:tcPr>
            <w:tcW w:type="dxa" w:w="12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FR-CCR-007</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Data quality gates</w:t>
            </w:r>
          </w:p>
        </w:tc>
        <w:tc>
          <w:tcPr>
            <w:tcW w:type="dxa" w:w="216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All domains</w:t>
            </w:r>
          </w:p>
        </w:tc>
        <w:tc>
          <w:tcPr>
            <w:tcW w:type="dxa" w:w="3000"/>
            <w:tcBorders>
              <w:top w:val="single" w:color="D0D8EC" w:sz="1"/>
              <w:left w:val="single" w:color="D0D8EC" w:sz="1"/>
              <w:bottom w:val="single" w:color="D0D8EC" w:sz="1"/>
              <w:right w:val="single" w:color="D0D8EC" w:sz="1"/>
            </w:tcBorders>
            <w:shd w:fill="FFFFFF"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FR-FIN-002 pipeline stop requirement</w:t>
            </w:r>
          </w:p>
        </w:tc>
      </w:tr>
      <w:tr>
        <w:tc>
          <w:tcPr>
            <w:tcW w:type="dxa" w:w="12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bCs/>
                <w:i w:val="false"/>
                <w:iCs w:val="false"/>
                <w:color w:val="1A2E5A"/>
                <w:sz w:val="19"/>
                <w:szCs w:val="19"/>
              </w:rPr>
              <w:t xml:space="preserve">FR-CCR-008</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Cross-system opt-out</w:t>
            </w:r>
          </w:p>
        </w:tc>
        <w:tc>
          <w:tcPr>
            <w:tcW w:type="dxa" w:w="216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iCs/>
                <w:color w:val="555555"/>
                <w:sz w:val="19"/>
                <w:szCs w:val="19"/>
              </w:rPr>
              <w:t xml:space="preserve">Priya Naidoo</w:t>
            </w:r>
          </w:p>
        </w:tc>
        <w:tc>
          <w:tcPr>
            <w:tcW w:type="dxa" w:w="3000"/>
            <w:tcBorders>
              <w:top w:val="single" w:color="D0D8EC" w:sz="1"/>
              <w:left w:val="single" w:color="D0D8EC" w:sz="1"/>
              <w:bottom w:val="single" w:color="D0D8EC" w:sz="1"/>
              <w:right w:val="single" w:color="D0D8EC" w:sz="1"/>
            </w:tcBorders>
            <w:shd w:fill="EEF1F8" w:val="clear"/>
            <w:tcMar>
              <w:top w:type="dxa" w:w="90"/>
              <w:left w:type="dxa" w:w="140"/>
              <w:bottom w:type="dxa" w:w="90"/>
              <w:right w:type="dxa" w:w="140"/>
            </w:tcMar>
            <w:vAlign w:val="top"/>
          </w:tcPr>
          <w:p>
            <w:r>
              <w:rPr>
                <w:rFonts w:ascii="Calibri" w:cs="Calibri" w:eastAsia="Calibri" w:hAnsi="Calibri"/>
                <w:b w:val="false"/>
                <w:bCs w:val="false"/>
                <w:i w:val="false"/>
                <w:iCs w:val="false"/>
                <w:color w:val="1A1A1A"/>
                <w:sz w:val="19"/>
                <w:szCs w:val="19"/>
              </w:rPr>
              <w:t xml:space="preserve">FR-CUS-002 — POPIA platform-wide</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12. Next Steps</w:t>
      </w:r>
    </w:p>
    <w:p>
      <w:pPr>
        <w:spacing w:after="60" w:before="60"/>
        <w:ind w:left="400"/>
      </w:pPr>
      <w:r>
        <w:rPr>
          <w:rFonts w:ascii="Calibri" w:cs="Calibri" w:eastAsia="Calibri" w:hAnsi="Calibri"/>
          <w:color w:val="1A1A1A"/>
          <w:sz w:val="20"/>
          <w:szCs w:val="20"/>
        </w:rPr>
        <w:t xml:space="preserve">• 1.  CDO review and sign-off on FRD-001 v1.0.</w:t>
      </w:r>
    </w:p>
    <w:p>
      <w:pPr>
        <w:spacing w:after="60" w:before="60"/>
        <w:ind w:left="400"/>
      </w:pPr>
      <w:r>
        <w:rPr>
          <w:rFonts w:ascii="Calibri" w:cs="Calibri" w:eastAsia="Calibri" w:hAnsi="Calibri"/>
          <w:color w:val="1A1A1A"/>
          <w:sz w:val="20"/>
          <w:szCs w:val="20"/>
        </w:rPr>
        <w:t xml:space="preserve">• 2.  Stakeholder validation — share relevant mart sections with each process owner for confirmation.</w:t>
      </w:r>
    </w:p>
    <w:p>
      <w:pPr>
        <w:spacing w:after="60" w:before="60"/>
        <w:ind w:left="400"/>
      </w:pPr>
      <w:r>
        <w:rPr>
          <w:rFonts w:ascii="Calibri" w:cs="Calibri" w:eastAsia="Calibri" w:hAnsi="Calibri"/>
          <w:color w:val="1A1A1A"/>
          <w:sz w:val="20"/>
          <w:szCs w:val="20"/>
        </w:rPr>
        <w:t xml:space="preserve">• 3.  ADR-006 formally written and signed by Rethabile Sithole before any Marketing mart build.</w:t>
      </w:r>
    </w:p>
    <w:p>
      <w:pPr>
        <w:spacing w:after="60" w:before="60"/>
        <w:ind w:left="400"/>
      </w:pPr>
      <w:r>
        <w:rPr>
          <w:rFonts w:ascii="Calibri" w:cs="Calibri" w:eastAsia="Calibri" w:hAnsi="Calibri"/>
          <w:color w:val="1A1A1A"/>
          <w:sz w:val="20"/>
          <w:szCs w:val="20"/>
        </w:rPr>
        <w:t xml:space="preserve">• 4.  ADR-002 POPIA legal review initiated — blocks FR-SAL-001, FR-SAL-002, FR-CUS-003, FR-CUS-006, FR-MKT-004.</w:t>
      </w:r>
    </w:p>
    <w:p>
      <w:pPr>
        <w:spacing w:after="60" w:before="60"/>
        <w:ind w:left="400"/>
      </w:pPr>
      <w:r>
        <w:rPr>
          <w:rFonts w:ascii="Calibri" w:cs="Calibri" w:eastAsia="Calibri" w:hAnsi="Calibri"/>
          <w:color w:val="1A1A1A"/>
          <w:sz w:val="20"/>
          <w:szCs w:val="20"/>
        </w:rPr>
        <w:t xml:space="preserve">• 5.  Proceed to Step 4 — Non-Functional Requirements Definition.</w:t>
      </w:r>
    </w:p>
    <w:p>
      <w:pPr>
        <w:spacing w:after="60" w:before="60"/>
        <w:ind w:left="400"/>
      </w:pPr>
      <w:r>
        <w:rPr>
          <w:rFonts w:ascii="Calibri" w:cs="Calibri" w:eastAsia="Calibri" w:hAnsi="Calibri"/>
          <w:color w:val="1A1A1A"/>
          <w:sz w:val="20"/>
          <w:szCs w:val="20"/>
        </w:rPr>
        <w:t xml:space="preserve">• 6.  Upload FRD-001 to GitHub: docs/03-functional-requirements/FRD-001_v1.0.docx</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13. Document Change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160"/>
        <w:gridCol w:w="4600"/>
      </w:tblGrid>
      <w:tr>
        <w:trPr>
          <w:tblHeader/>
        </w:trPr>
        <w:tc>
          <w:tcPr>
            <w:tcW w:type="dxa" w:w="10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Version</w:t>
            </w:r>
          </w:p>
        </w:tc>
        <w:tc>
          <w:tcPr>
            <w:tcW w:type="dxa" w:w="16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Date</w:t>
            </w:r>
          </w:p>
        </w:tc>
        <w:tc>
          <w:tcPr>
            <w:tcW w:type="dxa" w:w="21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Author</w:t>
            </w:r>
          </w:p>
        </w:tc>
        <w:tc>
          <w:tcPr>
            <w:tcW w:type="dxa" w:w="46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Description</w:t>
            </w:r>
          </w:p>
        </w:tc>
      </w:tr>
      <w:tr>
        <w:tc>
          <w:tcPr>
            <w:tcW w:type="dxa" w:w="1000"/>
            <w:tcBorders>
              <w:top w:val="single" w:color="D0D8EC" w:sz="1"/>
              <w:left w:val="single" w:color="D0D8EC" w:sz="1"/>
              <w:bottom w:val="single" w:color="D0D8EC" w:sz="1"/>
              <w:right w:val="single" w:color="D0D8EC" w:sz="1"/>
            </w:tcBorders>
            <w:shd w:fill="F0FDF4" w:val="clear"/>
            <w:tcMar>
              <w:top w:type="dxa" w:w="90"/>
              <w:left w:type="dxa" w:w="140"/>
              <w:bottom w:type="dxa" w:w="90"/>
              <w:right w:type="dxa" w:w="140"/>
            </w:tcMar>
            <w:vAlign w:val="top"/>
          </w:tcPr>
          <w:p>
            <w:r>
              <w:rPr>
                <w:rFonts w:ascii="Calibri" w:cs="Calibri" w:eastAsia="Calibri" w:hAnsi="Calibri"/>
                <w:b/>
                <w:bCs/>
                <w:i w:val="false"/>
                <w:iCs w:val="false"/>
                <w:color w:val="166534"/>
                <w:sz w:val="19"/>
                <w:szCs w:val="19"/>
              </w:rPr>
              <w:t xml:space="preserve">1.0</w:t>
            </w:r>
          </w:p>
        </w:tc>
        <w:tc>
          <w:tcPr>
            <w:tcW w:type="dxa" w:w="1600"/>
            <w:tcBorders>
              <w:top w:val="single" w:color="D0D8EC" w:sz="1"/>
              <w:left w:val="single" w:color="D0D8EC" w:sz="1"/>
              <w:bottom w:val="single" w:color="D0D8EC" w:sz="1"/>
              <w:right w:val="single" w:color="D0D8EC" w:sz="1"/>
            </w:tcBorders>
            <w:shd w:fill="F0FDF4" w:val="clear"/>
            <w:tcMar>
              <w:top w:type="dxa" w:w="90"/>
              <w:left w:type="dxa" w:w="140"/>
              <w:bottom w:type="dxa" w:w="90"/>
              <w:right w:type="dxa" w:w="140"/>
            </w:tcMar>
            <w:vAlign w:val="top"/>
          </w:tcPr>
          <w:p>
            <w:r>
              <w:rPr>
                <w:rFonts w:ascii="Calibri" w:cs="Calibri" w:eastAsia="Calibri" w:hAnsi="Calibri"/>
                <w:b w:val="false"/>
                <w:bCs w:val="false"/>
                <w:i w:val="false"/>
                <w:iCs w:val="false"/>
                <w:color w:val="166534"/>
                <w:sz w:val="19"/>
                <w:szCs w:val="19"/>
              </w:rPr>
              <w:t xml:space="preserve">9 May 2026</w:t>
            </w:r>
          </w:p>
        </w:tc>
        <w:tc>
          <w:tcPr>
            <w:tcW w:type="dxa" w:w="2160"/>
            <w:tcBorders>
              <w:top w:val="single" w:color="D0D8EC" w:sz="1"/>
              <w:left w:val="single" w:color="D0D8EC" w:sz="1"/>
              <w:bottom w:val="single" w:color="D0D8EC" w:sz="1"/>
              <w:right w:val="single" w:color="D0D8EC" w:sz="1"/>
            </w:tcBorders>
            <w:shd w:fill="F0FDF4" w:val="clear"/>
            <w:tcMar>
              <w:top w:type="dxa" w:w="90"/>
              <w:left w:type="dxa" w:w="140"/>
              <w:bottom w:type="dxa" w:w="90"/>
              <w:right w:type="dxa" w:w="140"/>
            </w:tcMar>
            <w:vAlign w:val="top"/>
          </w:tcPr>
          <w:p>
            <w:r>
              <w:rPr>
                <w:rFonts w:ascii="Calibri" w:cs="Calibri" w:eastAsia="Calibri" w:hAnsi="Calibri"/>
                <w:b w:val="false"/>
                <w:bCs w:val="false"/>
                <w:i w:val="false"/>
                <w:iCs w:val="false"/>
                <w:color w:val="166534"/>
                <w:sz w:val="19"/>
                <w:szCs w:val="19"/>
              </w:rPr>
              <w:t xml:space="preserve">T. Mbalo</w:t>
            </w:r>
          </w:p>
        </w:tc>
        <w:tc>
          <w:tcPr>
            <w:tcW w:type="dxa" w:w="4600"/>
            <w:tcBorders>
              <w:top w:val="single" w:color="D0D8EC" w:sz="1"/>
              <w:left w:val="single" w:color="D0D8EC" w:sz="1"/>
              <w:bottom w:val="single" w:color="D0D8EC" w:sz="1"/>
              <w:right w:val="single" w:color="D0D8EC" w:sz="1"/>
            </w:tcBorders>
            <w:shd w:fill="F0FDF4" w:val="clear"/>
            <w:tcMar>
              <w:top w:type="dxa" w:w="90"/>
              <w:left w:type="dxa" w:w="140"/>
              <w:bottom w:type="dxa" w:w="90"/>
              <w:right w:type="dxa" w:w="140"/>
            </w:tcMar>
            <w:vAlign w:val="top"/>
          </w:tcPr>
          <w:p>
            <w:r>
              <w:rPr>
                <w:rFonts w:ascii="Calibri" w:cs="Calibri" w:eastAsia="Calibri" w:hAnsi="Calibri"/>
                <w:b w:val="false"/>
                <w:bCs w:val="false"/>
                <w:i w:val="false"/>
                <w:iCs w:val="false"/>
                <w:color w:val="166534"/>
                <w:sz w:val="19"/>
                <w:szCs w:val="19"/>
              </w:rPr>
              <w:t xml:space="preserve">Initial release. 36 requirements across 6 marts and 8 cross-cutting. All requirements traced to BPA-001 stakeholder interviews.</w:t>
            </w:r>
          </w:p>
        </w:tc>
      </w:tr>
    </w:tbl>
    <w:p>
      <w:pPr>
        <w:spacing w:after="0" w:before="300"/>
      </w:pPr>
      <w:r>
        <w:t xml:space="preserve"/>
      </w:r>
    </w:p>
    <w:p>
      <w:pPr>
        <w:spacing w:after="80" w:before="80"/>
        <w:jc w:val="left"/>
      </w:pPr>
      <w:r>
        <w:rPr>
          <w:rFonts w:ascii="Calibri" w:cs="Calibri" w:eastAsia="Calibri" w:hAnsi="Calibri"/>
          <w:b w:val="false"/>
          <w:bCs w:val="false"/>
          <w:i/>
          <w:iCs/>
          <w:color w:val="555555"/>
          <w:sz w:val="20"/>
          <w:szCs w:val="20"/>
        </w:rPr>
        <w:t xml:space="preserve">— End of Document —</w:t>
      </w:r>
    </w:p>
    <w:p>
      <w:pPr>
        <w:spacing w:after="0" w:before="60"/>
      </w:pPr>
      <w:r>
        <w:rPr>
          <w:rFonts w:ascii="Calibri" w:cs="Calibri" w:eastAsia="Calibri" w:hAnsi="Calibri"/>
          <w:i/>
          <w:iCs/>
          <w:color w:val="555555"/>
          <w:sz w:val="16"/>
          <w:szCs w:val="16"/>
        </w:rPr>
        <w:t xml:space="preserve">FRD-001 v1.0 | RetailSphere Data Platform Programme | Confidential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D0D8EC" w:sz="3"/>
        <w:left w:val="none"/>
        <w:bottom w:val="none"/>
        <w:right w:val="none"/>
        <w:insideH w:val="single" w:color="auto" w:sz="4"/>
        <w:insideV w:val="single" w:color="auto" w:sz="4"/>
      </w:tblBorders>
    </w:tblPr>
    <w:tblGrid>
      <w:gridCol w:w="5000"/>
      <w:gridCol w:w="4360"/>
    </w:tblGrid>
    <w:tr>
      <w:tc>
        <w:tcPr>
          <w:tcW w:type="dxa" w:w="5000"/>
          <w:tcBorders>
            <w:top w:val="single" w:color="D0D8EC" w:sz="1"/>
            <w:left w:val="single" w:color="FFFFFF" w:sz="1"/>
            <w:bottom w:val="single" w:color="FFFFFF" w:sz="1"/>
            <w:right w:val="single" w:color="FFFFFF" w:sz="1"/>
          </w:tcBorders>
        </w:tcPr>
        <w:p>
          <w:r>
            <w:rPr>
              <w:rFonts w:ascii="Calibri" w:cs="Calibri" w:eastAsia="Calibri" w:hAnsi="Calibri"/>
              <w:color w:val="555555"/>
              <w:sz w:val="16"/>
              <w:szCs w:val="16"/>
            </w:rPr>
            <w:t xml:space="preserve">FRD-001 | Functional Requirements Document | Step 3 Deliverable</w:t>
          </w:r>
        </w:p>
      </w:tc>
      <w:tc>
        <w:tcPr>
          <w:tcW w:type="dxa" w:w="4360"/>
          <w:tcBorders>
            <w:top w:val="single" w:color="D0D8EC" w:sz="1"/>
            <w:left w:val="single" w:color="FFFFFF" w:sz="1"/>
            <w:bottom w:val="single" w:color="FFFFFF" w:sz="1"/>
            <w:right w:val="single" w:color="FFFFFF" w:sz="1"/>
          </w:tcBorders>
        </w:tcPr>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C8A96E" w:sz="3"/>
        <w:right w:val="none"/>
        <w:insideH w:val="single" w:color="auto" w:sz="4"/>
        <w:insideV w:val="single" w:color="auto" w:sz="4"/>
      </w:tblBorders>
    </w:tblPr>
    <w:tblGrid>
      <w:gridCol w:w="6000"/>
      <w:gridCol w:w="3360"/>
    </w:tblGrid>
    <w:tr>
      <w:tc>
        <w:tcPr>
          <w:tcW w:type="dxa" w:w="6000"/>
          <w:tcBorders>
            <w:top w:val="single" w:color="FFFFFF" w:sz="1"/>
            <w:left w:val="single" w:color="FFFFFF" w:sz="1"/>
            <w:bottom w:val="single" w:color="C8A96E" w:sz="1"/>
            <w:right w:val="single" w:color="FFFFFF" w:sz="1"/>
          </w:tcBorders>
        </w:tcPr>
        <w:p>
          <w:r>
            <w:rPr>
              <w:rFonts w:ascii="Calibri" w:cs="Calibri" w:eastAsia="Calibri" w:hAnsi="Calibri"/>
              <w:b/>
              <w:bCs/>
              <w:color w:val="1A2E5A"/>
              <w:sz w:val="18"/>
              <w:szCs w:val="18"/>
            </w:rPr>
            <w:t xml:space="preserve">RetailSphere (Pty) Ltd — Data Platform Programme</w:t>
          </w:r>
        </w:p>
      </w:tc>
      <w:tc>
        <w:tcPr>
          <w:tcW w:type="dxa" w:w="3360"/>
          <w:tcBorders>
            <w:top w:val="single" w:color="FFFFFF" w:sz="1"/>
            <w:left w:val="single" w:color="FFFFFF" w:sz="1"/>
            <w:bottom w:val="single" w:color="C8A96E" w:sz="1"/>
            <w:right w:val="single" w:color="FFFFFF" w:sz="1"/>
          </w:tcBorders>
        </w:tcPr>
        <w:p>
          <w:pPr>
            <w:jc w:val="right"/>
          </w:pPr>
          <w:r>
            <w:rPr>
              <w:rFonts w:ascii="Calibri" w:cs="Calibri" w:eastAsia="Calibri" w:hAnsi="Calibri"/>
              <w:color w:val="555555"/>
              <w:sz w:val="16"/>
              <w:szCs w:val="16"/>
            </w:rPr>
            <w:t xml:space="preserve">CONFIDENTIAL  |  FRD-001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2026-05-09T17:28:44.076Z</dcterms:created>
  <dcterms:modified xsi:type="dcterms:W3CDTF">2026-05-09T17:28:44.091Z</dcterms:modified>
</cp:coreProperties>
</file>

<file path=docProps/custom.xml><?xml version="1.0" encoding="utf-8"?>
<Properties xmlns="http://schemas.openxmlformats.org/officeDocument/2006/custom-properties" xmlns:vt="http://schemas.openxmlformats.org/officeDocument/2006/docPropsVTypes"/>
</file>