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D1DA6" w14:textId="77777777" w:rsidR="00FE79D1" w:rsidRDefault="00FE79D1">
      <w:pPr>
        <w:rPr>
          <w:lang w:val="en-US"/>
        </w:rPr>
      </w:pPr>
    </w:p>
    <w:p w14:paraId="48D91F27" w14:textId="429F9532" w:rsidR="00E74F73" w:rsidRDefault="00E74F73" w:rsidP="007C6396">
      <w:pPr>
        <w:rPr>
          <w:rFonts w:ascii="Calibri" w:hAnsi="Calibri" w:cs="Calibri"/>
          <w:b/>
          <w:bCs/>
          <w:color w:val="C8A96E"/>
          <w:spacing w:val="30"/>
          <w:sz w:val="20"/>
          <w:szCs w:val="20"/>
          <w:lang w:val="en-US"/>
        </w:rPr>
      </w:pPr>
      <w:r w:rsidRPr="00E74F73">
        <w:rPr>
          <w:rFonts w:ascii="Calibri" w:hAnsi="Calibri" w:cs="Calibri"/>
          <w:b/>
          <w:bCs/>
          <w:color w:val="C8A96E"/>
          <w:spacing w:val="30"/>
          <w:sz w:val="20"/>
          <w:szCs w:val="20"/>
          <w:lang w:val="en-US"/>
        </w:rPr>
        <w:t>RETAILS</w:t>
      </w:r>
      <w:r w:rsidR="00DA5767">
        <w:rPr>
          <w:rFonts w:ascii="Calibri" w:hAnsi="Calibri" w:cs="Calibri"/>
          <w:b/>
          <w:bCs/>
          <w:color w:val="C8A96E"/>
          <w:spacing w:val="30"/>
          <w:sz w:val="20"/>
          <w:szCs w:val="20"/>
          <w:lang w:val="en-US"/>
        </w:rPr>
        <w:t>P</w:t>
      </w:r>
      <w:r w:rsidRPr="00E74F73">
        <w:rPr>
          <w:rFonts w:ascii="Calibri" w:hAnsi="Calibri" w:cs="Calibri"/>
          <w:b/>
          <w:bCs/>
          <w:color w:val="C8A96E"/>
          <w:spacing w:val="30"/>
          <w:sz w:val="20"/>
          <w:szCs w:val="20"/>
          <w:lang w:val="en-US"/>
        </w:rPr>
        <w:t>HERE (PTY) LTD</w:t>
      </w:r>
    </w:p>
    <w:p w14:paraId="726D559E" w14:textId="77777777" w:rsidR="0053707D" w:rsidRDefault="0053707D" w:rsidP="0053707D">
      <w:pPr>
        <w:rPr>
          <w:rFonts w:ascii="Calibri" w:hAnsi="Calibri" w:cs="Calibri"/>
          <w:color w:val="555555"/>
          <w:spacing w:val="30"/>
          <w:sz w:val="20"/>
          <w:szCs w:val="20"/>
        </w:rPr>
      </w:pPr>
      <w:r w:rsidRPr="00251280">
        <w:rPr>
          <w:rFonts w:ascii="Calibri" w:hAnsi="Calibri" w:cs="Calibri"/>
          <w:color w:val="555555"/>
          <w:spacing w:val="30"/>
          <w:sz w:val="20"/>
          <w:szCs w:val="20"/>
        </w:rPr>
        <w:t>Data Platform Programme</w:t>
      </w:r>
    </w:p>
    <w:p w14:paraId="038C04A0" w14:textId="2A5C7CE3" w:rsidR="0053707D" w:rsidRDefault="00EA3B59" w:rsidP="0053707D">
      <w:pPr>
        <w:rPr>
          <w:rFonts w:ascii="Calibri" w:hAnsi="Calibri" w:cs="Calibri"/>
          <w:b/>
          <w:bCs/>
          <w:color w:val="1A2E5A"/>
          <w:spacing w:val="30"/>
          <w:sz w:val="56"/>
          <w:szCs w:val="56"/>
        </w:rPr>
      </w:pPr>
      <w:r>
        <w:rPr>
          <w:rFonts w:ascii="Calibri" w:hAnsi="Calibri" w:cs="Calibri"/>
          <w:b/>
          <w:bCs/>
          <w:color w:val="1A2E5A"/>
          <w:spacing w:val="30"/>
          <w:sz w:val="56"/>
          <w:szCs w:val="56"/>
        </w:rPr>
        <w:t>Data Integration Design</w:t>
      </w:r>
    </w:p>
    <w:p w14:paraId="2D9A2952" w14:textId="1D707381" w:rsidR="0053707D" w:rsidRDefault="0053707D" w:rsidP="0053707D">
      <w:pPr>
        <w:rPr>
          <w:rFonts w:ascii="Calibri" w:hAnsi="Calibri" w:cs="Calibri"/>
          <w:i/>
          <w:iCs/>
          <w:color w:val="555555"/>
          <w:spacing w:val="30"/>
          <w:sz w:val="24"/>
          <w:szCs w:val="24"/>
        </w:rPr>
      </w:pPr>
      <w:r w:rsidRPr="00F309E8">
        <w:rPr>
          <w:rFonts w:ascii="Calibri" w:hAnsi="Calibri" w:cs="Calibri"/>
          <w:i/>
          <w:iCs/>
          <w:color w:val="555555"/>
          <w:spacing w:val="30"/>
          <w:sz w:val="24"/>
          <w:szCs w:val="24"/>
        </w:rPr>
        <w:t>Step</w:t>
      </w:r>
      <w:r w:rsidR="00B723C7">
        <w:rPr>
          <w:rFonts w:ascii="Calibri" w:hAnsi="Calibri" w:cs="Calibri"/>
          <w:i/>
          <w:iCs/>
          <w:color w:val="555555"/>
          <w:spacing w:val="30"/>
          <w:sz w:val="24"/>
          <w:szCs w:val="24"/>
        </w:rPr>
        <w:t xml:space="preserve"> </w:t>
      </w:r>
      <w:r w:rsidR="00EA3B59">
        <w:rPr>
          <w:rFonts w:ascii="Calibri" w:hAnsi="Calibri" w:cs="Calibri"/>
          <w:i/>
          <w:iCs/>
          <w:color w:val="555555"/>
          <w:spacing w:val="30"/>
          <w:sz w:val="24"/>
          <w:szCs w:val="24"/>
        </w:rPr>
        <w:t>10</w:t>
      </w:r>
      <w:r w:rsidRPr="00F309E8">
        <w:rPr>
          <w:rFonts w:ascii="Calibri" w:hAnsi="Calibri" w:cs="Calibri"/>
          <w:i/>
          <w:iCs/>
          <w:color w:val="555555"/>
          <w:spacing w:val="30"/>
          <w:sz w:val="24"/>
          <w:szCs w:val="24"/>
        </w:rPr>
        <w:t xml:space="preserve"> Deliverable —</w:t>
      </w:r>
      <w:r w:rsidR="00EA3B59">
        <w:rPr>
          <w:rFonts w:ascii="Calibri" w:hAnsi="Calibri" w:cs="Calibri"/>
          <w:i/>
          <w:iCs/>
          <w:color w:val="555555"/>
          <w:spacing w:val="30"/>
          <w:sz w:val="24"/>
          <w:szCs w:val="24"/>
        </w:rPr>
        <w:t xml:space="preserve"> Data Integration Design</w:t>
      </w:r>
    </w:p>
    <w:p w14:paraId="0E2FF54D" w14:textId="77777777" w:rsidR="0053707D" w:rsidRDefault="0053707D" w:rsidP="0053707D">
      <w:pPr>
        <w:pBdr>
          <w:bottom w:val="single" w:sz="4" w:space="1" w:color="C8A96E"/>
        </w:pBdr>
        <w:rPr>
          <w:rFonts w:ascii="Calibri" w:hAnsi="Calibri" w:cs="Calibri"/>
          <w:i/>
          <w:iCs/>
          <w:color w:val="555555"/>
          <w:spacing w:val="30"/>
          <w:sz w:val="24"/>
          <w:szCs w:val="24"/>
        </w:rPr>
      </w:pPr>
    </w:p>
    <w:p w14:paraId="60E23B86" w14:textId="77777777" w:rsidR="0053707D" w:rsidRDefault="0053707D" w:rsidP="0053707D">
      <w:pPr>
        <w:rPr>
          <w:rFonts w:ascii="Calibri" w:hAnsi="Calibri" w:cs="Calibri"/>
          <w:i/>
          <w:iCs/>
          <w:color w:val="555555"/>
          <w:spacing w:val="30"/>
          <w:sz w:val="24"/>
          <w:szCs w:val="24"/>
        </w:rPr>
      </w:pPr>
    </w:p>
    <w:tbl>
      <w:tblPr>
        <w:tblStyle w:val="TableGrid"/>
        <w:tblW w:w="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ayout w:type="fixed"/>
        <w:tblLook w:val="04A0" w:firstRow="1" w:lastRow="0" w:firstColumn="1" w:lastColumn="0" w:noHBand="0" w:noVBand="1"/>
      </w:tblPr>
      <w:tblGrid>
        <w:gridCol w:w="2268"/>
        <w:gridCol w:w="6804"/>
      </w:tblGrid>
      <w:tr w:rsidR="0053707D" w14:paraId="578B13F0" w14:textId="77777777" w:rsidTr="00EF5256">
        <w:tc>
          <w:tcPr>
            <w:tcW w:w="2268" w:type="dxa"/>
            <w:shd w:val="clear" w:color="auto" w:fill="EEF1F8"/>
          </w:tcPr>
          <w:p w14:paraId="6212787E"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Document ID</w:t>
            </w:r>
          </w:p>
        </w:tc>
        <w:tc>
          <w:tcPr>
            <w:tcW w:w="6804" w:type="dxa"/>
          </w:tcPr>
          <w:p w14:paraId="79A55A6E" w14:textId="765A26AE" w:rsidR="0053707D" w:rsidRPr="00E80CF1" w:rsidRDefault="004B1973" w:rsidP="00EF5256">
            <w:pPr>
              <w:rPr>
                <w:rFonts w:ascii="Calibri" w:hAnsi="Calibri" w:cs="Calibri"/>
                <w:color w:val="1A1A1A"/>
                <w:spacing w:val="30"/>
                <w:sz w:val="19"/>
                <w:szCs w:val="19"/>
              </w:rPr>
            </w:pPr>
            <w:r>
              <w:rPr>
                <w:rFonts w:ascii="Calibri" w:hAnsi="Calibri" w:cs="Calibri"/>
                <w:color w:val="1A1A1A"/>
                <w:spacing w:val="30"/>
                <w:sz w:val="19"/>
                <w:szCs w:val="19"/>
              </w:rPr>
              <w:t>D</w:t>
            </w:r>
            <w:r w:rsidR="00EA3B59">
              <w:rPr>
                <w:rFonts w:ascii="Calibri" w:hAnsi="Calibri" w:cs="Calibri"/>
                <w:color w:val="1A1A1A"/>
                <w:spacing w:val="30"/>
                <w:sz w:val="19"/>
                <w:szCs w:val="19"/>
              </w:rPr>
              <w:t>I</w:t>
            </w:r>
            <w:r>
              <w:rPr>
                <w:rFonts w:ascii="Calibri" w:hAnsi="Calibri" w:cs="Calibri"/>
                <w:color w:val="1A1A1A"/>
                <w:spacing w:val="30"/>
                <w:sz w:val="19"/>
                <w:szCs w:val="19"/>
              </w:rPr>
              <w:t>D</w:t>
            </w:r>
            <w:r w:rsidR="0053707D" w:rsidRPr="00E80CF1">
              <w:rPr>
                <w:rFonts w:ascii="Calibri" w:hAnsi="Calibri" w:cs="Calibri"/>
                <w:color w:val="1A1A1A"/>
                <w:spacing w:val="30"/>
                <w:sz w:val="19"/>
                <w:szCs w:val="19"/>
              </w:rPr>
              <w:t>-001</w:t>
            </w:r>
          </w:p>
        </w:tc>
      </w:tr>
      <w:tr w:rsidR="0053707D" w14:paraId="3884B558" w14:textId="77777777" w:rsidTr="00EF5256">
        <w:tc>
          <w:tcPr>
            <w:tcW w:w="2268" w:type="dxa"/>
            <w:shd w:val="clear" w:color="auto" w:fill="EEF1F8"/>
          </w:tcPr>
          <w:p w14:paraId="0D88C046"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Version</w:t>
            </w:r>
          </w:p>
        </w:tc>
        <w:tc>
          <w:tcPr>
            <w:tcW w:w="6804" w:type="dxa"/>
            <w:shd w:val="clear" w:color="auto" w:fill="F0FDF4"/>
          </w:tcPr>
          <w:p w14:paraId="5244E7FD" w14:textId="4CDB67EC" w:rsidR="0053707D" w:rsidRPr="00E80CF1" w:rsidRDefault="0053707D" w:rsidP="00EF5256">
            <w:pPr>
              <w:rPr>
                <w:rFonts w:ascii="Calibri" w:hAnsi="Calibri" w:cs="Calibri"/>
                <w:b/>
                <w:bCs/>
                <w:color w:val="166534"/>
                <w:spacing w:val="30"/>
                <w:sz w:val="19"/>
                <w:szCs w:val="19"/>
              </w:rPr>
            </w:pPr>
            <w:r w:rsidRPr="00E80CF1">
              <w:rPr>
                <w:rFonts w:ascii="Calibri" w:hAnsi="Calibri" w:cs="Calibri"/>
                <w:b/>
                <w:bCs/>
                <w:color w:val="166534"/>
                <w:spacing w:val="30"/>
                <w:sz w:val="19"/>
                <w:szCs w:val="19"/>
              </w:rPr>
              <w:t>1.</w:t>
            </w:r>
            <w:r w:rsidR="00E5115D">
              <w:rPr>
                <w:rFonts w:ascii="Calibri" w:hAnsi="Calibri" w:cs="Calibri"/>
                <w:b/>
                <w:bCs/>
                <w:color w:val="166534"/>
                <w:spacing w:val="30"/>
                <w:sz w:val="19"/>
                <w:szCs w:val="19"/>
              </w:rPr>
              <w:t>1</w:t>
            </w:r>
            <w:r w:rsidR="004B1973">
              <w:rPr>
                <w:rFonts w:ascii="Calibri" w:hAnsi="Calibri" w:cs="Calibri"/>
                <w:b/>
                <w:bCs/>
                <w:color w:val="166534"/>
                <w:spacing w:val="30"/>
                <w:sz w:val="19"/>
                <w:szCs w:val="19"/>
              </w:rPr>
              <w:t xml:space="preserve"> </w:t>
            </w:r>
          </w:p>
        </w:tc>
      </w:tr>
      <w:tr w:rsidR="0053707D" w14:paraId="43C63732" w14:textId="77777777" w:rsidTr="00EF5256">
        <w:tc>
          <w:tcPr>
            <w:tcW w:w="2268" w:type="dxa"/>
            <w:shd w:val="clear" w:color="auto" w:fill="EEF1F8"/>
          </w:tcPr>
          <w:p w14:paraId="562DC20A"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Date</w:t>
            </w:r>
          </w:p>
        </w:tc>
        <w:tc>
          <w:tcPr>
            <w:tcW w:w="6804" w:type="dxa"/>
          </w:tcPr>
          <w:p w14:paraId="3479E801" w14:textId="1BED4E23" w:rsidR="0053707D" w:rsidRPr="00E80CF1" w:rsidRDefault="00970988" w:rsidP="00EF5256">
            <w:pPr>
              <w:rPr>
                <w:rFonts w:ascii="Calibri" w:hAnsi="Calibri" w:cs="Calibri"/>
                <w:color w:val="1A1A1A"/>
                <w:spacing w:val="30"/>
                <w:sz w:val="19"/>
                <w:szCs w:val="19"/>
              </w:rPr>
            </w:pPr>
            <w:r>
              <w:rPr>
                <w:rFonts w:ascii="Calibri" w:hAnsi="Calibri" w:cs="Calibri"/>
                <w:color w:val="1A1A1A"/>
                <w:spacing w:val="30"/>
                <w:sz w:val="19"/>
                <w:szCs w:val="19"/>
              </w:rPr>
              <w:t>04</w:t>
            </w:r>
            <w:r w:rsidR="00B723C7">
              <w:rPr>
                <w:rFonts w:ascii="Calibri" w:hAnsi="Calibri" w:cs="Calibri"/>
                <w:color w:val="1A1A1A"/>
                <w:spacing w:val="30"/>
                <w:sz w:val="19"/>
                <w:szCs w:val="19"/>
              </w:rPr>
              <w:t xml:space="preserve"> </w:t>
            </w:r>
            <w:r>
              <w:rPr>
                <w:rFonts w:ascii="Calibri" w:hAnsi="Calibri" w:cs="Calibri"/>
                <w:color w:val="1A1A1A"/>
                <w:spacing w:val="30"/>
                <w:sz w:val="19"/>
                <w:szCs w:val="19"/>
              </w:rPr>
              <w:t>September</w:t>
            </w:r>
            <w:r w:rsidR="0053707D" w:rsidRPr="00E80CF1">
              <w:rPr>
                <w:rFonts w:ascii="Calibri" w:hAnsi="Calibri" w:cs="Calibri"/>
                <w:color w:val="1A1A1A"/>
                <w:spacing w:val="30"/>
                <w:sz w:val="19"/>
                <w:szCs w:val="19"/>
              </w:rPr>
              <w:t xml:space="preserve"> 2026</w:t>
            </w:r>
          </w:p>
        </w:tc>
      </w:tr>
      <w:tr w:rsidR="0053707D" w14:paraId="17A62697" w14:textId="77777777" w:rsidTr="00EF5256">
        <w:tc>
          <w:tcPr>
            <w:tcW w:w="2268" w:type="dxa"/>
            <w:shd w:val="clear" w:color="auto" w:fill="EEF1F8"/>
          </w:tcPr>
          <w:p w14:paraId="264041EC"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Author</w:t>
            </w:r>
          </w:p>
        </w:tc>
        <w:tc>
          <w:tcPr>
            <w:tcW w:w="6804" w:type="dxa"/>
          </w:tcPr>
          <w:p w14:paraId="0A2DBC86" w14:textId="77777777" w:rsidR="0053707D" w:rsidRPr="00E80CF1" w:rsidRDefault="0053707D" w:rsidP="00EF5256">
            <w:pPr>
              <w:rPr>
                <w:rFonts w:ascii="Calibri" w:hAnsi="Calibri" w:cs="Calibri"/>
                <w:color w:val="1A1A1A"/>
                <w:spacing w:val="30"/>
                <w:sz w:val="19"/>
                <w:szCs w:val="19"/>
              </w:rPr>
            </w:pPr>
            <w:r w:rsidRPr="00E80CF1">
              <w:rPr>
                <w:rFonts w:ascii="Calibri" w:hAnsi="Calibri" w:cs="Calibri"/>
                <w:color w:val="1A1A1A"/>
                <w:spacing w:val="30"/>
                <w:sz w:val="19"/>
                <w:szCs w:val="19"/>
              </w:rPr>
              <w:t>Thozamile Mbalo – Data Solutions Architect</w:t>
            </w:r>
          </w:p>
        </w:tc>
      </w:tr>
      <w:tr w:rsidR="0053707D" w14:paraId="3477F243" w14:textId="77777777" w:rsidTr="00EF5256">
        <w:tc>
          <w:tcPr>
            <w:tcW w:w="2268" w:type="dxa"/>
            <w:shd w:val="clear" w:color="auto" w:fill="EEF1F8"/>
          </w:tcPr>
          <w:p w14:paraId="5C233463"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Reviewed by</w:t>
            </w:r>
          </w:p>
        </w:tc>
        <w:tc>
          <w:tcPr>
            <w:tcW w:w="6804" w:type="dxa"/>
          </w:tcPr>
          <w:p w14:paraId="4D9DA962" w14:textId="022BF625" w:rsidR="0053707D" w:rsidRPr="00E80CF1" w:rsidRDefault="00972B99" w:rsidP="00EF5256">
            <w:pPr>
              <w:rPr>
                <w:rFonts w:ascii="Calibri" w:hAnsi="Calibri" w:cs="Calibri"/>
                <w:color w:val="1A1A1A"/>
                <w:spacing w:val="30"/>
                <w:sz w:val="19"/>
                <w:szCs w:val="19"/>
              </w:rPr>
            </w:pPr>
            <w:r>
              <w:rPr>
                <w:rFonts w:ascii="Calibri" w:hAnsi="Calibri" w:cs="Calibri"/>
                <w:color w:val="1A1A1A"/>
                <w:spacing w:val="30"/>
                <w:sz w:val="19"/>
                <w:szCs w:val="19"/>
              </w:rPr>
              <w:t>(pending)</w:t>
            </w:r>
          </w:p>
        </w:tc>
      </w:tr>
      <w:tr w:rsidR="0053707D" w14:paraId="0A242627" w14:textId="77777777" w:rsidTr="00EF5256">
        <w:tc>
          <w:tcPr>
            <w:tcW w:w="2268" w:type="dxa"/>
            <w:shd w:val="clear" w:color="auto" w:fill="EEF1F8"/>
          </w:tcPr>
          <w:p w14:paraId="7895D020" w14:textId="4BAF3ABD" w:rsidR="0053707D" w:rsidRPr="00E80CF1" w:rsidRDefault="004B1973" w:rsidP="00EF5256">
            <w:pPr>
              <w:rPr>
                <w:rFonts w:ascii="Calibri" w:hAnsi="Calibri" w:cs="Calibri"/>
                <w:b/>
                <w:bCs/>
                <w:color w:val="1A2E5A"/>
                <w:spacing w:val="30"/>
                <w:sz w:val="18"/>
                <w:szCs w:val="18"/>
              </w:rPr>
            </w:pPr>
            <w:r>
              <w:rPr>
                <w:rFonts w:ascii="Calibri" w:hAnsi="Calibri" w:cs="Calibri"/>
                <w:b/>
                <w:bCs/>
                <w:color w:val="1A2E5A"/>
                <w:spacing w:val="30"/>
                <w:sz w:val="18"/>
                <w:szCs w:val="18"/>
              </w:rPr>
              <w:t>Target Platform</w:t>
            </w:r>
            <w:r w:rsidR="00972B99">
              <w:rPr>
                <w:rFonts w:ascii="Calibri" w:hAnsi="Calibri" w:cs="Calibri"/>
                <w:b/>
                <w:bCs/>
                <w:color w:val="1A2E5A"/>
                <w:spacing w:val="30"/>
                <w:sz w:val="18"/>
                <w:szCs w:val="18"/>
              </w:rPr>
              <w:t>/Orchestration</w:t>
            </w:r>
          </w:p>
        </w:tc>
        <w:tc>
          <w:tcPr>
            <w:tcW w:w="6804" w:type="dxa"/>
            <w:shd w:val="clear" w:color="auto" w:fill="F0FDF4"/>
          </w:tcPr>
          <w:p w14:paraId="265E4906" w14:textId="381A0366" w:rsidR="0053707D" w:rsidRPr="00E80CF1" w:rsidRDefault="004B1973" w:rsidP="00EF5256">
            <w:pPr>
              <w:rPr>
                <w:rFonts w:ascii="Calibri" w:hAnsi="Calibri" w:cs="Calibri"/>
                <w:b/>
                <w:bCs/>
                <w:color w:val="166534"/>
                <w:spacing w:val="30"/>
                <w:sz w:val="19"/>
                <w:szCs w:val="19"/>
              </w:rPr>
            </w:pPr>
            <w:r>
              <w:rPr>
                <w:rFonts w:ascii="Calibri" w:hAnsi="Calibri" w:cs="Calibri"/>
                <w:b/>
                <w:bCs/>
                <w:color w:val="166534"/>
                <w:spacing w:val="30"/>
                <w:sz w:val="19"/>
                <w:szCs w:val="19"/>
              </w:rPr>
              <w:t>Microsoft Fabric Warehouse</w:t>
            </w:r>
            <w:r w:rsidR="00972B99">
              <w:rPr>
                <w:rFonts w:ascii="Calibri" w:hAnsi="Calibri" w:cs="Calibri"/>
                <w:b/>
                <w:bCs/>
                <w:color w:val="166534"/>
                <w:spacing w:val="30"/>
                <w:sz w:val="19"/>
                <w:szCs w:val="19"/>
              </w:rPr>
              <w:t xml:space="preserve"> / Azure Data Factory</w:t>
            </w:r>
          </w:p>
        </w:tc>
      </w:tr>
      <w:tr w:rsidR="0053707D" w14:paraId="2F1C6929" w14:textId="77777777" w:rsidTr="008B6400">
        <w:tc>
          <w:tcPr>
            <w:tcW w:w="2268" w:type="dxa"/>
            <w:shd w:val="clear" w:color="auto" w:fill="EEF1F8"/>
          </w:tcPr>
          <w:p w14:paraId="27D857C6"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Status</w:t>
            </w:r>
          </w:p>
        </w:tc>
        <w:tc>
          <w:tcPr>
            <w:tcW w:w="6804" w:type="dxa"/>
            <w:shd w:val="clear" w:color="auto" w:fill="F0FDF4"/>
          </w:tcPr>
          <w:p w14:paraId="31AC03D9" w14:textId="5BF9B280" w:rsidR="0053707D" w:rsidRPr="00643CDC" w:rsidRDefault="006E640A" w:rsidP="008B6400">
            <w:pPr>
              <w:tabs>
                <w:tab w:val="left" w:pos="2110"/>
              </w:tabs>
              <w:rPr>
                <w:rFonts w:ascii="Calibri" w:hAnsi="Calibri" w:cs="Calibri"/>
                <w:b/>
                <w:bCs/>
                <w:color w:val="166534"/>
                <w:spacing w:val="30"/>
                <w:sz w:val="19"/>
                <w:szCs w:val="19"/>
              </w:rPr>
            </w:pPr>
            <w:r w:rsidRPr="006E640A">
              <w:rPr>
                <w:rFonts w:ascii="Calibri" w:hAnsi="Calibri" w:cs="Calibri"/>
                <w:b/>
                <w:bCs/>
                <w:color w:val="166534"/>
                <w:spacing w:val="30"/>
                <w:sz w:val="19"/>
                <w:szCs w:val="19"/>
              </w:rPr>
              <w:t>Approved</w:t>
            </w:r>
          </w:p>
        </w:tc>
      </w:tr>
    </w:tbl>
    <w:p w14:paraId="6FFB0EC0" w14:textId="77777777" w:rsidR="0053707D" w:rsidRDefault="0053707D" w:rsidP="0053707D">
      <w:pPr>
        <w:rPr>
          <w:rFonts w:ascii="Calibri" w:hAnsi="Calibri" w:cs="Calibri"/>
          <w:i/>
          <w:iCs/>
          <w:color w:val="555555"/>
          <w:spacing w:val="30"/>
          <w:sz w:val="24"/>
          <w:szCs w:val="24"/>
        </w:rPr>
      </w:pPr>
    </w:p>
    <w:p w14:paraId="4B85F40B" w14:textId="77777777" w:rsidR="0053707D" w:rsidRDefault="0053707D">
      <w:pPr>
        <w:rPr>
          <w:rFonts w:ascii="Calibri" w:hAnsi="Calibri" w:cs="Calibri"/>
          <w:color w:val="555555"/>
          <w:spacing w:val="30"/>
          <w:sz w:val="20"/>
          <w:szCs w:val="20"/>
          <w:lang w:val="en-US"/>
        </w:rPr>
      </w:pPr>
    </w:p>
    <w:p w14:paraId="360BD2A4" w14:textId="77777777" w:rsidR="00674D58" w:rsidRDefault="00674D58">
      <w:pPr>
        <w:rPr>
          <w:rFonts w:ascii="Calibri" w:hAnsi="Calibri" w:cs="Calibri"/>
          <w:color w:val="555555"/>
          <w:spacing w:val="30"/>
          <w:sz w:val="20"/>
          <w:szCs w:val="20"/>
          <w:lang w:val="en-US"/>
        </w:rPr>
      </w:pPr>
    </w:p>
    <w:p w14:paraId="5A75153A" w14:textId="77777777" w:rsidR="00674D58" w:rsidRDefault="00674D58">
      <w:pPr>
        <w:rPr>
          <w:rFonts w:ascii="Calibri" w:hAnsi="Calibri" w:cs="Calibri"/>
          <w:color w:val="555555"/>
          <w:spacing w:val="30"/>
          <w:sz w:val="20"/>
          <w:szCs w:val="20"/>
          <w:lang w:val="en-US"/>
        </w:rPr>
      </w:pPr>
    </w:p>
    <w:p w14:paraId="47B386E2" w14:textId="77777777" w:rsidR="00674D58" w:rsidRDefault="00674D58">
      <w:pPr>
        <w:rPr>
          <w:rFonts w:ascii="Calibri" w:hAnsi="Calibri" w:cs="Calibri"/>
          <w:color w:val="555555"/>
          <w:spacing w:val="30"/>
          <w:sz w:val="20"/>
          <w:szCs w:val="20"/>
          <w:lang w:val="en-US"/>
        </w:rPr>
      </w:pPr>
    </w:p>
    <w:p w14:paraId="3A4C9F30" w14:textId="77777777" w:rsidR="00674D58" w:rsidRDefault="00674D58">
      <w:pPr>
        <w:rPr>
          <w:rFonts w:ascii="Calibri" w:hAnsi="Calibri" w:cs="Calibri"/>
          <w:color w:val="555555"/>
          <w:spacing w:val="30"/>
          <w:sz w:val="20"/>
          <w:szCs w:val="20"/>
          <w:lang w:val="en-US"/>
        </w:rPr>
      </w:pPr>
    </w:p>
    <w:p w14:paraId="644B02ED" w14:textId="77777777" w:rsidR="00674D58" w:rsidRDefault="00674D58">
      <w:pPr>
        <w:rPr>
          <w:rFonts w:ascii="Calibri" w:hAnsi="Calibri" w:cs="Calibri"/>
          <w:color w:val="555555"/>
          <w:spacing w:val="30"/>
          <w:sz w:val="20"/>
          <w:szCs w:val="20"/>
          <w:lang w:val="en-US"/>
        </w:rPr>
      </w:pPr>
    </w:p>
    <w:p w14:paraId="4C19685E" w14:textId="77777777" w:rsidR="00674D58" w:rsidRDefault="00674D58">
      <w:pPr>
        <w:rPr>
          <w:rFonts w:ascii="Calibri" w:hAnsi="Calibri" w:cs="Calibri"/>
          <w:color w:val="555555"/>
          <w:spacing w:val="30"/>
          <w:sz w:val="20"/>
          <w:szCs w:val="20"/>
          <w:lang w:val="en-US"/>
        </w:rPr>
      </w:pPr>
    </w:p>
    <w:p w14:paraId="107D5090" w14:textId="77777777" w:rsidR="00674D58" w:rsidRDefault="00674D58">
      <w:pPr>
        <w:rPr>
          <w:rFonts w:ascii="Calibri" w:hAnsi="Calibri" w:cs="Calibri"/>
          <w:color w:val="555555"/>
          <w:spacing w:val="30"/>
          <w:sz w:val="20"/>
          <w:szCs w:val="20"/>
          <w:lang w:val="en-US"/>
        </w:rPr>
      </w:pPr>
    </w:p>
    <w:p w14:paraId="35F29728" w14:textId="77777777" w:rsidR="00674D58" w:rsidRDefault="00674D58">
      <w:pPr>
        <w:rPr>
          <w:rFonts w:ascii="Calibri" w:hAnsi="Calibri" w:cs="Calibri"/>
          <w:color w:val="555555"/>
          <w:spacing w:val="30"/>
          <w:sz w:val="20"/>
          <w:szCs w:val="20"/>
          <w:lang w:val="en-US"/>
        </w:rPr>
      </w:pPr>
    </w:p>
    <w:p w14:paraId="58EBECB8" w14:textId="77777777" w:rsidR="00674D58" w:rsidRDefault="00674D58">
      <w:pPr>
        <w:rPr>
          <w:rFonts w:ascii="Calibri" w:hAnsi="Calibri" w:cs="Calibri"/>
          <w:color w:val="555555"/>
          <w:spacing w:val="30"/>
          <w:sz w:val="20"/>
          <w:szCs w:val="20"/>
          <w:lang w:val="en-US"/>
        </w:rPr>
      </w:pPr>
    </w:p>
    <w:p w14:paraId="0E6FEF8E" w14:textId="77777777" w:rsidR="00674D58" w:rsidRDefault="00674D58">
      <w:pPr>
        <w:rPr>
          <w:rFonts w:ascii="Calibri" w:hAnsi="Calibri" w:cs="Calibri"/>
          <w:color w:val="555555"/>
          <w:spacing w:val="30"/>
          <w:sz w:val="20"/>
          <w:szCs w:val="20"/>
          <w:lang w:val="en-US"/>
        </w:rPr>
      </w:pPr>
    </w:p>
    <w:p w14:paraId="4DF8F6B9" w14:textId="77777777" w:rsidR="00674D58" w:rsidRDefault="00674D58">
      <w:pPr>
        <w:rPr>
          <w:rFonts w:ascii="Calibri" w:hAnsi="Calibri" w:cs="Calibri"/>
          <w:color w:val="555555"/>
          <w:spacing w:val="30"/>
          <w:sz w:val="20"/>
          <w:szCs w:val="20"/>
          <w:lang w:val="en-US"/>
        </w:rPr>
      </w:pPr>
    </w:p>
    <w:p w14:paraId="0F33A558" w14:textId="77777777" w:rsidR="00674D58" w:rsidRDefault="00674D58">
      <w:pPr>
        <w:rPr>
          <w:rFonts w:ascii="Calibri" w:hAnsi="Calibri" w:cs="Calibri"/>
          <w:color w:val="555555"/>
          <w:spacing w:val="30"/>
          <w:sz w:val="20"/>
          <w:szCs w:val="20"/>
          <w:lang w:val="en-US"/>
        </w:rPr>
      </w:pPr>
    </w:p>
    <w:p w14:paraId="781619C1" w14:textId="77777777" w:rsidR="00674D58" w:rsidRDefault="00674D58">
      <w:pPr>
        <w:rPr>
          <w:rFonts w:ascii="Calibri" w:hAnsi="Calibri" w:cs="Calibri"/>
          <w:color w:val="555555"/>
          <w:spacing w:val="30"/>
          <w:sz w:val="20"/>
          <w:szCs w:val="20"/>
          <w:lang w:val="en-US"/>
        </w:rPr>
      </w:pPr>
    </w:p>
    <w:p w14:paraId="70D46D12" w14:textId="77777777" w:rsidR="00674D58" w:rsidRDefault="00674D58">
      <w:pPr>
        <w:rPr>
          <w:rFonts w:ascii="Calibri" w:hAnsi="Calibri" w:cs="Calibri"/>
          <w:color w:val="555555"/>
          <w:spacing w:val="30"/>
          <w:sz w:val="20"/>
          <w:szCs w:val="20"/>
          <w:lang w:val="en-US"/>
        </w:rPr>
      </w:pPr>
    </w:p>
    <w:p w14:paraId="7FBFE0F9" w14:textId="77777777" w:rsidR="00674D58" w:rsidRDefault="00674D58">
      <w:pPr>
        <w:rPr>
          <w:rFonts w:ascii="Calibri" w:hAnsi="Calibri" w:cs="Calibri"/>
          <w:color w:val="555555"/>
          <w:spacing w:val="30"/>
          <w:sz w:val="20"/>
          <w:szCs w:val="20"/>
          <w:lang w:val="en-US"/>
        </w:rPr>
      </w:pPr>
    </w:p>
    <w:p w14:paraId="087F8A26" w14:textId="77777777" w:rsidR="00674D58" w:rsidRDefault="00674D58">
      <w:pPr>
        <w:rPr>
          <w:rFonts w:ascii="Calibri" w:hAnsi="Calibri" w:cs="Calibri"/>
          <w:color w:val="555555"/>
          <w:spacing w:val="30"/>
          <w:sz w:val="20"/>
          <w:szCs w:val="20"/>
          <w:lang w:val="en-US"/>
        </w:rPr>
      </w:pPr>
    </w:p>
    <w:p w14:paraId="79A985B8" w14:textId="77777777" w:rsidR="00674D58" w:rsidRDefault="00674D58">
      <w:pPr>
        <w:rPr>
          <w:rFonts w:ascii="Calibri" w:hAnsi="Calibri" w:cs="Calibri"/>
          <w:color w:val="555555"/>
          <w:spacing w:val="30"/>
          <w:sz w:val="20"/>
          <w:szCs w:val="20"/>
          <w:lang w:val="en-US"/>
        </w:rPr>
      </w:pPr>
    </w:p>
    <w:p w14:paraId="63F753FD" w14:textId="77777777" w:rsidR="00674D58" w:rsidRDefault="00674D58">
      <w:pPr>
        <w:rPr>
          <w:rFonts w:ascii="Calibri" w:hAnsi="Calibri" w:cs="Calibri"/>
          <w:color w:val="555555"/>
          <w:spacing w:val="30"/>
          <w:sz w:val="20"/>
          <w:szCs w:val="20"/>
          <w:lang w:val="en-US"/>
        </w:rPr>
      </w:pPr>
    </w:p>
    <w:p w14:paraId="09D5447A" w14:textId="77777777" w:rsidR="00674D58" w:rsidRDefault="00674D58">
      <w:pPr>
        <w:rPr>
          <w:rFonts w:ascii="Calibri" w:hAnsi="Calibri" w:cs="Calibri"/>
          <w:color w:val="555555"/>
          <w:spacing w:val="30"/>
          <w:sz w:val="20"/>
          <w:szCs w:val="20"/>
          <w:lang w:val="en-US"/>
        </w:rPr>
      </w:pPr>
    </w:p>
    <w:p w14:paraId="73F39232" w14:textId="77777777" w:rsidR="00674D58" w:rsidRDefault="00674D58">
      <w:pPr>
        <w:rPr>
          <w:rFonts w:ascii="Calibri" w:hAnsi="Calibri" w:cs="Calibri"/>
          <w:color w:val="555555"/>
          <w:spacing w:val="30"/>
          <w:sz w:val="20"/>
          <w:szCs w:val="20"/>
          <w:lang w:val="en-US"/>
        </w:rPr>
      </w:pPr>
    </w:p>
    <w:p w14:paraId="35478697" w14:textId="4312D061" w:rsidR="00674D58" w:rsidRDefault="00674D58">
      <w:pPr>
        <w:rPr>
          <w:rFonts w:ascii="Calibri" w:hAnsi="Calibri" w:cs="Calibri"/>
          <w:color w:val="555555"/>
          <w:spacing w:val="30"/>
          <w:sz w:val="20"/>
          <w:szCs w:val="20"/>
          <w:lang w:val="en-US"/>
        </w:rPr>
      </w:pPr>
    </w:p>
    <w:p w14:paraId="6A8F6BC7" w14:textId="7FA2966F" w:rsidR="00674D58" w:rsidRPr="003A6A39" w:rsidRDefault="00674D58" w:rsidP="003A6A39">
      <w:pPr>
        <w:pStyle w:val="Heading1"/>
        <w:numPr>
          <w:ilvl w:val="0"/>
          <w:numId w:val="3"/>
        </w:numPr>
        <w:pBdr>
          <w:bottom w:val="single" w:sz="4" w:space="1" w:color="C8A96E"/>
        </w:pBdr>
        <w:rPr>
          <w:rFonts w:ascii="Calibri" w:hAnsi="Calibri" w:cs="Calibri"/>
          <w:b/>
          <w:bCs/>
          <w:color w:val="1A2E5A"/>
          <w:sz w:val="32"/>
          <w:szCs w:val="32"/>
          <w:lang w:val="en-US"/>
        </w:rPr>
      </w:pPr>
      <w:r w:rsidRPr="003A6A39">
        <w:rPr>
          <w:rFonts w:ascii="Calibri" w:hAnsi="Calibri" w:cs="Calibri"/>
          <w:b/>
          <w:bCs/>
          <w:color w:val="1A2E5A"/>
          <w:sz w:val="32"/>
          <w:szCs w:val="32"/>
          <w:lang w:val="en-US"/>
        </w:rPr>
        <w:t>Purpose</w:t>
      </w:r>
    </w:p>
    <w:p w14:paraId="09F6BC70" w14:textId="77777777" w:rsidR="00C60F89" w:rsidRDefault="00C60F89" w:rsidP="00CA5B5D">
      <w:pPr>
        <w:tabs>
          <w:tab w:val="left" w:pos="1791"/>
        </w:tabs>
        <w:jc w:val="both"/>
        <w:rPr>
          <w:rFonts w:ascii="Calibri" w:hAnsi="Calibri" w:cs="Calibri"/>
          <w:color w:val="1A1A1A"/>
        </w:rPr>
      </w:pPr>
      <w:r w:rsidRPr="00C60F89">
        <w:rPr>
          <w:rFonts w:ascii="Calibri" w:hAnsi="Calibri" w:cs="Calibri"/>
          <w:color w:val="1A1A1A"/>
        </w:rPr>
        <w:t xml:space="preserve">This document defines the pipeline architecture pattern for ingesting, transforming, and loading data across RetailSphere's Bronze, Silver, and </w:t>
      </w:r>
      <w:proofErr w:type="gramStart"/>
      <w:r w:rsidRPr="00C60F89">
        <w:rPr>
          <w:rFonts w:ascii="Calibri" w:hAnsi="Calibri" w:cs="Calibri"/>
          <w:color w:val="1A1A1A"/>
        </w:rPr>
        <w:t>Gold</w:t>
      </w:r>
      <w:proofErr w:type="gramEnd"/>
      <w:r w:rsidRPr="00C60F89">
        <w:rPr>
          <w:rFonts w:ascii="Calibri" w:hAnsi="Calibri" w:cs="Calibri"/>
          <w:color w:val="1A1A1A"/>
        </w:rPr>
        <w:t xml:space="preserve"> layers, operationalizing the orchestration tool decision made in ADR-005 (Azure Data Factory). It is intended for engineers building the pipelines in Steps 13–16, and satisfies the reconciliation, error handling, data quality, and POPIA propagation requirements defined in FRD-001 (FR-CCR-005 through FR-CCR-008).</w:t>
      </w:r>
    </w:p>
    <w:p w14:paraId="2E4E032E" w14:textId="3A55D5C5" w:rsidR="00674D58" w:rsidRPr="00CA5B5D" w:rsidRDefault="00674D58" w:rsidP="00CA5B5D">
      <w:pPr>
        <w:tabs>
          <w:tab w:val="left" w:pos="1791"/>
        </w:tabs>
        <w:jc w:val="both"/>
        <w:rPr>
          <w:rFonts w:ascii="Calibri" w:hAnsi="Calibri" w:cs="Calibri"/>
          <w:color w:val="1A1A1A"/>
          <w:lang w:val="en-US"/>
        </w:rPr>
      </w:pPr>
      <w:r w:rsidRPr="00CA5B5D">
        <w:rPr>
          <w:rFonts w:ascii="Calibri" w:hAnsi="Calibri" w:cs="Calibri"/>
          <w:color w:val="1A1A1A"/>
          <w:lang w:val="en-US"/>
        </w:rPr>
        <w:tab/>
      </w:r>
    </w:p>
    <w:p w14:paraId="2CCC87D7" w14:textId="72696CDD" w:rsidR="00674D58" w:rsidRPr="003A6A39" w:rsidRDefault="00674D58" w:rsidP="003A6A39">
      <w:pPr>
        <w:pStyle w:val="Heading1"/>
        <w:numPr>
          <w:ilvl w:val="0"/>
          <w:numId w:val="3"/>
        </w:numPr>
        <w:pBdr>
          <w:bottom w:val="single" w:sz="4" w:space="1" w:color="C8A96E"/>
        </w:pBdr>
        <w:rPr>
          <w:rFonts w:ascii="Calibri" w:hAnsi="Calibri" w:cs="Calibri"/>
          <w:b/>
          <w:bCs/>
          <w:color w:val="1A2E5A"/>
          <w:sz w:val="32"/>
          <w:szCs w:val="32"/>
          <w:lang w:val="en-US"/>
        </w:rPr>
      </w:pPr>
      <w:r w:rsidRPr="003A6A39">
        <w:rPr>
          <w:rFonts w:ascii="Calibri" w:hAnsi="Calibri" w:cs="Calibri"/>
          <w:b/>
          <w:bCs/>
          <w:color w:val="1A2E5A"/>
          <w:sz w:val="32"/>
          <w:szCs w:val="32"/>
          <w:lang w:val="en-US"/>
        </w:rPr>
        <w:t>Scope</w:t>
      </w:r>
    </w:p>
    <w:p w14:paraId="49B4D6EF" w14:textId="77777777" w:rsidR="00C60F89" w:rsidRDefault="00C60F89" w:rsidP="004225CD">
      <w:pPr>
        <w:jc w:val="both"/>
        <w:rPr>
          <w:rFonts w:ascii="Calibri" w:hAnsi="Calibri" w:cs="Calibri"/>
          <w:color w:val="1A1A1A"/>
        </w:rPr>
      </w:pPr>
      <w:r w:rsidRPr="00C60F89">
        <w:rPr>
          <w:rFonts w:ascii="Calibri" w:hAnsi="Calibri" w:cs="Calibri"/>
          <w:color w:val="1A1A1A"/>
        </w:rPr>
        <w:t>DID-001 defines the general Bronze/Silver/Gold pipeline pattern applicable across all six business domains. It does not repeat the tool decision already locked in ADR-005, nor does it fully detail domain-specific transformation logic for domains where STM-001 field-level mapping remains deferred to build phase (Inventory, Procurement, CRM/Marketing, Finance) — only Sales domain currently has confirmed mappings. Domain-specific pipeline detail for the remaining five domains will be finalized immediately prior to each domain's build sprint, consistent with STM-001's own deferral pattern.</w:t>
      </w:r>
    </w:p>
    <w:p w14:paraId="0B5542E4" w14:textId="70FFD4AB" w:rsidR="00C21F48" w:rsidRDefault="00C60F89" w:rsidP="00C21F48">
      <w:pPr>
        <w:jc w:val="both"/>
        <w:rPr>
          <w:rFonts w:ascii="Calibri" w:hAnsi="Calibri" w:cs="Calibri"/>
          <w:color w:val="1A1A1A"/>
        </w:rPr>
      </w:pPr>
      <w:r w:rsidRPr="00C60F89">
        <w:rPr>
          <w:rFonts w:ascii="Calibri" w:hAnsi="Calibri" w:cs="Calibri"/>
          <w:color w:val="1A1A1A"/>
        </w:rPr>
        <w:t>Three source systems require deviation from the standard pipeline pattern and are addressed explicitly in Section 3: Meta and GA4 (both arrive 24–48 hours late by design), Supplier Contract PDFs (LLM-assisted extraction, not a standard ADF connector), and Legacy SQL Server DW (discovery-and-decommission target, not an ongoing pipeline source).</w:t>
      </w:r>
    </w:p>
    <w:p w14:paraId="2880A783" w14:textId="77777777" w:rsidR="00C60F89" w:rsidRPr="00C21F48" w:rsidRDefault="00C60F89" w:rsidP="00C21F48">
      <w:pPr>
        <w:jc w:val="both"/>
        <w:rPr>
          <w:rFonts w:ascii="Calibri" w:hAnsi="Calibri" w:cs="Calibri"/>
          <w:lang w:val="en-US"/>
        </w:rPr>
      </w:pPr>
    </w:p>
    <w:p w14:paraId="2464D6A8" w14:textId="73D5A3CD" w:rsidR="00674D58" w:rsidRPr="003A6A39" w:rsidRDefault="00EA3B59" w:rsidP="007C6396">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Bronze Layer Ingestion Pattern</w:t>
      </w:r>
    </w:p>
    <w:p w14:paraId="77E93A95" w14:textId="32FF09BB" w:rsidR="00760AC3" w:rsidRDefault="008F5256" w:rsidP="00760AC3">
      <w:pPr>
        <w:tabs>
          <w:tab w:val="left" w:pos="1791"/>
        </w:tabs>
        <w:rPr>
          <w:rFonts w:ascii="Calibri" w:hAnsi="Calibri" w:cs="Calibri"/>
          <w:color w:val="1A1A1A"/>
        </w:rPr>
      </w:pPr>
      <w:r w:rsidRPr="008F5256">
        <w:rPr>
          <w:rFonts w:ascii="Calibri" w:hAnsi="Calibri" w:cs="Calibri"/>
          <w:color w:val="1A1A1A"/>
        </w:rPr>
        <w:t>Bronze is the raw landing zone for all 10 source systems: data lands exactly as received, with no transformation, preserving full reprocessing capability without needing to re-extract from source.</w:t>
      </w:r>
    </w:p>
    <w:p w14:paraId="752180B8" w14:textId="69F9EEE8" w:rsidR="008F5256" w:rsidRDefault="008F5256" w:rsidP="00760AC3">
      <w:pPr>
        <w:tabs>
          <w:tab w:val="left" w:pos="1791"/>
        </w:tabs>
        <w:rPr>
          <w:rFonts w:ascii="Calibri" w:hAnsi="Calibri" w:cs="Calibri"/>
        </w:rPr>
      </w:pPr>
      <w:r w:rsidRPr="008F5256">
        <w:rPr>
          <w:rFonts w:ascii="Calibri" w:hAnsi="Calibri" w:cs="Calibri"/>
          <w:b/>
          <w:bCs/>
        </w:rPr>
        <w:t>Load pattern:</w:t>
      </w:r>
      <w:r w:rsidRPr="008F5256">
        <w:rPr>
          <w:rFonts w:ascii="Calibri" w:hAnsi="Calibri" w:cs="Calibri"/>
        </w:rPr>
        <w:t xml:space="preserve"> Given RetailSphere is a new platform, all sources begin with a full initial load. Ongoing ingestion proceeds incrementally where the source system supports change detection (e.g. CDC, delta timestamps); sources without this capability (see SSI-001 per-system detail) fall back to full re-extraction on each run.</w:t>
      </w:r>
    </w:p>
    <w:p w14:paraId="78BCA4C4" w14:textId="0CE5E985" w:rsidR="008F5256" w:rsidRDefault="008F5256" w:rsidP="00760AC3">
      <w:pPr>
        <w:tabs>
          <w:tab w:val="left" w:pos="1791"/>
        </w:tabs>
        <w:rPr>
          <w:rFonts w:ascii="Calibri" w:hAnsi="Calibri" w:cs="Calibri"/>
        </w:rPr>
      </w:pPr>
      <w:r w:rsidRPr="008F5256">
        <w:rPr>
          <w:rFonts w:ascii="Calibri" w:hAnsi="Calibri" w:cs="Calibri"/>
          <w:b/>
          <w:bCs/>
        </w:rPr>
        <w:t>Late-arriving sources (Meta, GA4):</w:t>
      </w:r>
      <w:r w:rsidRPr="008F5256">
        <w:rPr>
          <w:rFonts w:ascii="Calibri" w:hAnsi="Calibri" w:cs="Calibri"/>
        </w:rPr>
        <w:t xml:space="preserve"> No special Bronze-layer handling is required. The 24–</w:t>
      </w:r>
      <w:proofErr w:type="gramStart"/>
      <w:r w:rsidRPr="008F5256">
        <w:rPr>
          <w:rFonts w:ascii="Calibri" w:hAnsi="Calibri" w:cs="Calibri"/>
        </w:rPr>
        <w:t>48 hour</w:t>
      </w:r>
      <w:proofErr w:type="gramEnd"/>
      <w:r w:rsidRPr="008F5256">
        <w:rPr>
          <w:rFonts w:ascii="Calibri" w:hAnsi="Calibri" w:cs="Calibri"/>
        </w:rPr>
        <w:t xml:space="preserve"> confirmation lag is a characteristic of these platforms' own APIs, not a pipeline failure — Bronze lands whatever confirmed data each source returns on its normal schedule. The lag is not a Bronze-layer risk; it is a downstream Silver/Gold-layer risk (</w:t>
      </w:r>
      <w:proofErr w:type="spellStart"/>
      <w:r w:rsidRPr="008F5256">
        <w:rPr>
          <w:rFonts w:ascii="Calibri" w:hAnsi="Calibri" w:cs="Calibri"/>
        </w:rPr>
        <w:t>FactContactHistory's</w:t>
      </w:r>
      <w:proofErr w:type="spellEnd"/>
      <w:r w:rsidRPr="008F5256">
        <w:rPr>
          <w:rFonts w:ascii="Calibri" w:hAnsi="Calibri" w:cs="Calibri"/>
        </w:rPr>
        <w:t xml:space="preserve"> contact-count accuracy against the POPIA 4-contact monthly cap), already addressed via the optimistic-count-plus-breach-alert approach agreed with Priya's team (SSI-001).</w:t>
      </w:r>
    </w:p>
    <w:p w14:paraId="4D8B9CCB" w14:textId="0C565A63" w:rsidR="001049E5" w:rsidRPr="001049E5" w:rsidRDefault="001049E5" w:rsidP="001049E5">
      <w:pPr>
        <w:tabs>
          <w:tab w:val="left" w:pos="1791"/>
        </w:tabs>
        <w:ind w:left="720"/>
        <w:rPr>
          <w:rFonts w:ascii="Calibri" w:hAnsi="Calibri" w:cs="Calibri"/>
          <w:i/>
          <w:iCs/>
        </w:rPr>
      </w:pPr>
      <w:r w:rsidRPr="001049E5">
        <w:rPr>
          <w:rFonts w:ascii="Calibri" w:hAnsi="Calibri" w:cs="Calibri"/>
          <w:b/>
          <w:bCs/>
          <w:i/>
          <w:iCs/>
        </w:rPr>
        <w:t>Resolved:</w:t>
      </w:r>
      <w:r w:rsidRPr="001049E5">
        <w:rPr>
          <w:rFonts w:ascii="Calibri" w:hAnsi="Calibri" w:cs="Calibri"/>
          <w:i/>
          <w:iCs/>
        </w:rPr>
        <w:t xml:space="preserve"> </w:t>
      </w:r>
      <w:r w:rsidRPr="001049E5">
        <w:rPr>
          <w:rFonts w:ascii="Calibri" w:hAnsi="Calibri" w:cs="Calibri"/>
          <w:b/>
          <w:bCs/>
          <w:i/>
          <w:iCs/>
        </w:rPr>
        <w:t>Meta and GA4</w:t>
      </w:r>
      <w:r w:rsidRPr="001049E5">
        <w:rPr>
          <w:rFonts w:ascii="Calibri" w:hAnsi="Calibri" w:cs="Calibri"/>
          <w:i/>
          <w:iCs/>
        </w:rPr>
        <w:t xml:space="preserve"> ingestion </w:t>
      </w:r>
      <w:proofErr w:type="gramStart"/>
      <w:r w:rsidRPr="001049E5">
        <w:rPr>
          <w:rFonts w:ascii="Calibri" w:hAnsi="Calibri" w:cs="Calibri"/>
          <w:i/>
          <w:iCs/>
        </w:rPr>
        <w:t>runs</w:t>
      </w:r>
      <w:proofErr w:type="gramEnd"/>
      <w:r w:rsidRPr="001049E5">
        <w:rPr>
          <w:rFonts w:ascii="Calibri" w:hAnsi="Calibri" w:cs="Calibri"/>
          <w:i/>
          <w:iCs/>
        </w:rPr>
        <w:t xml:space="preserve"> on a dedicated schedule of every 4 hours (6 runs/day), distinct from the platform's standard once-nightly batch used elsewhere. This is required specifically to satisfy FR-CUS-008's same-day POPIA breach alert commitment — a once-nightly schedule cannot reliably catch a confirmation that lands at an arbitrary time within the day. All other sources remain on the standard nightly schedule; this exception applies only to Meta and GA4.</w:t>
      </w:r>
    </w:p>
    <w:p w14:paraId="22B1CCED" w14:textId="25C575FF" w:rsidR="008F5256" w:rsidRDefault="008F5256" w:rsidP="00760AC3">
      <w:pPr>
        <w:tabs>
          <w:tab w:val="left" w:pos="1791"/>
        </w:tabs>
        <w:rPr>
          <w:rFonts w:ascii="Calibri" w:hAnsi="Calibri" w:cs="Calibri"/>
        </w:rPr>
      </w:pPr>
      <w:r w:rsidRPr="008F5256">
        <w:rPr>
          <w:rFonts w:ascii="Calibri" w:hAnsi="Calibri" w:cs="Calibri"/>
          <w:b/>
          <w:bCs/>
        </w:rPr>
        <w:t>Supplier Contract PDFs:</w:t>
      </w:r>
      <w:r w:rsidRPr="008F5256">
        <w:rPr>
          <w:rFonts w:ascii="Calibri" w:hAnsi="Calibri" w:cs="Calibri"/>
        </w:rPr>
        <w:t xml:space="preserve"> Raw PDF files land in Bronze unchanged, consistent with every other source. The </w:t>
      </w:r>
      <w:proofErr w:type="spellStart"/>
      <w:r w:rsidRPr="008F5256">
        <w:rPr>
          <w:rFonts w:ascii="Calibri" w:hAnsi="Calibri" w:cs="Calibri"/>
        </w:rPr>
        <w:t>pypdf</w:t>
      </w:r>
      <w:proofErr w:type="spellEnd"/>
      <w:r w:rsidRPr="008F5256">
        <w:rPr>
          <w:rFonts w:ascii="Calibri" w:hAnsi="Calibri" w:cs="Calibri"/>
        </w:rPr>
        <w:t xml:space="preserve">-extraction-and-LLM-structuring pipeline runs as a </w:t>
      </w:r>
      <w:r w:rsidRPr="008F5256">
        <w:rPr>
          <w:rFonts w:ascii="Calibri" w:hAnsi="Calibri" w:cs="Calibri"/>
          <w:b/>
          <w:bCs/>
        </w:rPr>
        <w:t>Silver-layer transformation</w:t>
      </w:r>
      <w:r w:rsidRPr="008F5256">
        <w:rPr>
          <w:rFonts w:ascii="Calibri" w:hAnsi="Calibri" w:cs="Calibri"/>
        </w:rPr>
        <w:t>, not a Bronze-layer step — structuring unstructured text into defined fields (contracted rate, lead time, payment terms) is genuine transformation work, and treating it as such keeps Bronze's "raw, as received, zero transformation" rule consistent across all 10 sources without exception. This also means the extraction can be safely rerun against the Bronze-stored PDFs if the LLM structuring logic changes, without needing to re-source the original documents.</w:t>
      </w:r>
    </w:p>
    <w:p w14:paraId="5CB55968" w14:textId="3244E65B" w:rsidR="008F5256" w:rsidRPr="008F5256" w:rsidRDefault="008F5256" w:rsidP="00760AC3">
      <w:pPr>
        <w:tabs>
          <w:tab w:val="left" w:pos="1791"/>
        </w:tabs>
        <w:rPr>
          <w:rFonts w:ascii="Calibri" w:hAnsi="Calibri" w:cs="Calibri"/>
          <w:lang w:val="en-US"/>
        </w:rPr>
      </w:pPr>
      <w:r w:rsidRPr="008F5256">
        <w:rPr>
          <w:rFonts w:ascii="Calibri" w:hAnsi="Calibri" w:cs="Calibri"/>
          <w:b/>
          <w:bCs/>
        </w:rPr>
        <w:lastRenderedPageBreak/>
        <w:t>Legacy SQL Server DW:</w:t>
      </w:r>
      <w:r w:rsidRPr="008F5256">
        <w:rPr>
          <w:rFonts w:ascii="Calibri" w:hAnsi="Calibri" w:cs="Calibri"/>
        </w:rPr>
        <w:t xml:space="preserve"> Not an ongoing </w:t>
      </w:r>
      <w:proofErr w:type="gramStart"/>
      <w:r w:rsidRPr="008F5256">
        <w:rPr>
          <w:rFonts w:ascii="Calibri" w:hAnsi="Calibri" w:cs="Calibri"/>
        </w:rPr>
        <w:t>Bronze</w:t>
      </w:r>
      <w:proofErr w:type="gramEnd"/>
      <w:r w:rsidRPr="008F5256">
        <w:rPr>
          <w:rFonts w:ascii="Calibri" w:hAnsi="Calibri" w:cs="Calibri"/>
        </w:rPr>
        <w:t xml:space="preserve"> ingestion source. Per SSI-001's discovery-and-decommission approach, this system is out of scope for DID-001's ongoing pipeline design; its two undocumented reports will be replicated as part of the Legacy DW discovery workstream, independent of the standard </w:t>
      </w:r>
      <w:proofErr w:type="gramStart"/>
      <w:r w:rsidRPr="008F5256">
        <w:rPr>
          <w:rFonts w:ascii="Calibri" w:hAnsi="Calibri" w:cs="Calibri"/>
        </w:rPr>
        <w:t>Bronze</w:t>
      </w:r>
      <w:proofErr w:type="gramEnd"/>
      <w:r w:rsidRPr="008F5256">
        <w:rPr>
          <w:rFonts w:ascii="Calibri" w:hAnsi="Calibri" w:cs="Calibri"/>
        </w:rPr>
        <w:t xml:space="preserve"> pattern.</w:t>
      </w:r>
    </w:p>
    <w:p w14:paraId="64DF9AF9" w14:textId="14345158" w:rsidR="00674D58" w:rsidRPr="003A6A39" w:rsidRDefault="00EA3B59" w:rsidP="003A6A39">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Silver Layer Transformation Pattern</w:t>
      </w:r>
    </w:p>
    <w:p w14:paraId="13C22F7D" w14:textId="1D187B71" w:rsidR="00B257E5" w:rsidRDefault="00E054A2" w:rsidP="00CE0738">
      <w:pPr>
        <w:tabs>
          <w:tab w:val="left" w:pos="1791"/>
        </w:tabs>
        <w:rPr>
          <w:rFonts w:ascii="Calibri" w:hAnsi="Calibri" w:cs="Calibri"/>
          <w:color w:val="1A1A1A"/>
        </w:rPr>
      </w:pPr>
      <w:r w:rsidRPr="00E054A2">
        <w:rPr>
          <w:rFonts w:ascii="Calibri" w:hAnsi="Calibri" w:cs="Calibri"/>
          <w:color w:val="1A1A1A"/>
        </w:rPr>
        <w:t xml:space="preserve">Silver is where raw </w:t>
      </w:r>
      <w:proofErr w:type="gramStart"/>
      <w:r w:rsidRPr="00E054A2">
        <w:rPr>
          <w:rFonts w:ascii="Calibri" w:hAnsi="Calibri" w:cs="Calibri"/>
          <w:color w:val="1A1A1A"/>
        </w:rPr>
        <w:t>Bronze</w:t>
      </w:r>
      <w:proofErr w:type="gramEnd"/>
      <w:r w:rsidRPr="00E054A2">
        <w:rPr>
          <w:rFonts w:ascii="Calibri" w:hAnsi="Calibri" w:cs="Calibri"/>
          <w:color w:val="1A1A1A"/>
        </w:rPr>
        <w:t xml:space="preserve"> data becomes cleaned, conformed, and trustworthy — cleansing, standardization, and the two identity resolution processes (ADR-001 for Product, ADR-002 for Customer) all happen at this layer.</w:t>
      </w:r>
    </w:p>
    <w:p w14:paraId="1319BFE6" w14:textId="07026841" w:rsidR="00E054A2" w:rsidRDefault="00E054A2" w:rsidP="00CE0738">
      <w:pPr>
        <w:tabs>
          <w:tab w:val="left" w:pos="1791"/>
        </w:tabs>
        <w:rPr>
          <w:rFonts w:ascii="Calibri" w:hAnsi="Calibri" w:cs="Calibri"/>
          <w:i/>
          <w:iCs/>
          <w:color w:val="1A1A1A"/>
        </w:rPr>
      </w:pPr>
      <w:r w:rsidRPr="00E054A2">
        <w:rPr>
          <w:rFonts w:ascii="Calibri" w:hAnsi="Calibri" w:cs="Calibri"/>
          <w:b/>
          <w:bCs/>
          <w:color w:val="1A1A1A"/>
        </w:rPr>
        <w:t>Customer identity resolution:</w:t>
      </w:r>
      <w:r w:rsidRPr="00E054A2">
        <w:rPr>
          <w:rFonts w:ascii="Calibri" w:hAnsi="Calibri" w:cs="Calibri"/>
          <w:color w:val="1A1A1A"/>
        </w:rPr>
        <w:t xml:space="preserve"> The matching logic is fully specified in STM-001</w:t>
      </w:r>
      <w:r>
        <w:rPr>
          <w:rFonts w:ascii="Calibri" w:hAnsi="Calibri" w:cs="Calibri"/>
          <w:color w:val="1A1A1A"/>
        </w:rPr>
        <w:t xml:space="preserve"> section 4.3 – a </w:t>
      </w:r>
      <w:r w:rsidRPr="00E054A2">
        <w:rPr>
          <w:rFonts w:ascii="Calibri" w:hAnsi="Calibri" w:cs="Calibri"/>
          <w:color w:val="1A1A1A"/>
        </w:rPr>
        <w:t>four-tier hierarchy (ID number, deterministic</w:t>
      </w:r>
      <w:r>
        <w:rPr>
          <w:rFonts w:ascii="Calibri" w:hAnsi="Calibri" w:cs="Calibri"/>
          <w:color w:val="1A1A1A"/>
        </w:rPr>
        <w:t xml:space="preserve"> </w:t>
      </w:r>
      <w:r w:rsidRPr="00E054A2">
        <w:rPr>
          <w:rFonts w:ascii="Calibri" w:hAnsi="Calibri" w:cs="Calibri"/>
          <w:color w:val="1A1A1A"/>
        </w:rPr>
        <w:sym w:font="Wingdings" w:char="F0E0"/>
      </w:r>
      <w:r>
        <w:rPr>
          <w:rFonts w:ascii="Calibri" w:hAnsi="Calibri" w:cs="Calibri"/>
          <w:color w:val="1A1A1A"/>
        </w:rPr>
        <w:t xml:space="preserve"> name + phone, high confidence </w:t>
      </w:r>
      <w:r w:rsidRPr="00E054A2">
        <w:rPr>
          <w:rFonts w:ascii="Calibri" w:hAnsi="Calibri" w:cs="Calibri"/>
          <w:color w:val="1A1A1A"/>
        </w:rPr>
        <w:sym w:font="Wingdings" w:char="F0E0"/>
      </w:r>
      <w:r>
        <w:rPr>
          <w:rFonts w:ascii="Calibri" w:hAnsi="Calibri" w:cs="Calibri"/>
          <w:color w:val="1A1A1A"/>
        </w:rPr>
        <w:t xml:space="preserve"> email + name, medium confidence </w:t>
      </w:r>
      <w:r w:rsidRPr="00E054A2">
        <w:rPr>
          <w:rFonts w:ascii="Calibri" w:hAnsi="Calibri" w:cs="Calibri"/>
          <w:color w:val="1A1A1A"/>
        </w:rPr>
        <w:sym w:font="Wingdings" w:char="F0E0"/>
      </w:r>
      <w:r>
        <w:rPr>
          <w:rFonts w:ascii="Calibri" w:hAnsi="Calibri" w:cs="Calibri"/>
          <w:color w:val="1A1A1A"/>
        </w:rPr>
        <w:t xml:space="preserve"> phone + name, low confidence, flagged for human validation). </w:t>
      </w:r>
      <w:r w:rsidRPr="00E054A2">
        <w:rPr>
          <w:rFonts w:ascii="Calibri" w:hAnsi="Calibri" w:cs="Calibri"/>
          <w:color w:val="1A1A1A"/>
        </w:rPr>
        <w:t xml:space="preserve">Silver implements this hierarchy as written. </w:t>
      </w:r>
      <w:r w:rsidRPr="00E054A2">
        <w:rPr>
          <w:rFonts w:ascii="Calibri" w:hAnsi="Calibri" w:cs="Calibri"/>
          <w:i/>
          <w:iCs/>
          <w:color w:val="1A1A1A"/>
        </w:rPr>
        <w:t>Formal approval of ADR-002 remains pending Priya's POPIA legal review — this affects whether the approach is cleared for production use of real customer data, not whether the design itself is known. Design work proceeds on STM-001's specification; production go-live is gated on ADR-002 sign-off, per Step 13+ readiness criteria.</w:t>
      </w:r>
    </w:p>
    <w:p w14:paraId="62703EC3" w14:textId="5B55DDA7" w:rsidR="00E054A2" w:rsidRDefault="00E054A2" w:rsidP="00CE0738">
      <w:pPr>
        <w:tabs>
          <w:tab w:val="left" w:pos="1791"/>
        </w:tabs>
        <w:rPr>
          <w:rFonts w:ascii="Calibri" w:hAnsi="Calibri" w:cs="Calibri"/>
          <w:color w:val="1A1A1A"/>
        </w:rPr>
      </w:pPr>
      <w:r w:rsidRPr="00E054A2">
        <w:rPr>
          <w:rFonts w:ascii="Calibri" w:hAnsi="Calibri" w:cs="Calibri"/>
          <w:b/>
          <w:bCs/>
          <w:color w:val="1A1A1A"/>
        </w:rPr>
        <w:t>Data quality enforcement (FR-CCR-007):</w:t>
      </w:r>
      <w:r w:rsidRPr="00E054A2">
        <w:rPr>
          <w:rFonts w:ascii="Calibri" w:hAnsi="Calibri" w:cs="Calibri"/>
          <w:color w:val="1A1A1A"/>
        </w:rPr>
        <w:t xml:space="preserve"> Every constraint declared as informational-only throughout PDD-001 Section 5 is enforced here via </w:t>
      </w:r>
      <w:proofErr w:type="spellStart"/>
      <w:r w:rsidRPr="00E054A2">
        <w:rPr>
          <w:rFonts w:ascii="Calibri" w:hAnsi="Calibri" w:cs="Calibri"/>
          <w:color w:val="1A1A1A"/>
        </w:rPr>
        <w:t>dbt's</w:t>
      </w:r>
      <w:proofErr w:type="spellEnd"/>
      <w:r w:rsidRPr="00E054A2">
        <w:rPr>
          <w:rFonts w:ascii="Calibri" w:hAnsi="Calibri" w:cs="Calibri"/>
          <w:color w:val="1A1A1A"/>
        </w:rPr>
        <w:t xml:space="preserve"> built-in generic tests — no additional packages required for standard cases:</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972"/>
        <w:gridCol w:w="4961"/>
        <w:gridCol w:w="2523"/>
      </w:tblGrid>
      <w:tr w:rsidR="00E054A2" w14:paraId="48C64498" w14:textId="77777777" w:rsidTr="006B16CF">
        <w:tc>
          <w:tcPr>
            <w:tcW w:w="2972" w:type="dxa"/>
            <w:shd w:val="clear" w:color="auto" w:fill="1A2E5A"/>
          </w:tcPr>
          <w:p w14:paraId="32AF59C9" w14:textId="4D518FAA" w:rsidR="00E054A2" w:rsidRPr="006B16CF" w:rsidRDefault="00E054A2" w:rsidP="00CE0738">
            <w:pPr>
              <w:tabs>
                <w:tab w:val="left" w:pos="1791"/>
              </w:tabs>
              <w:rPr>
                <w:rFonts w:ascii="Calibri" w:hAnsi="Calibri" w:cs="Calibri"/>
                <w:b/>
                <w:bCs/>
                <w:color w:val="FFFFFF" w:themeColor="background1"/>
                <w:sz w:val="18"/>
                <w:szCs w:val="18"/>
              </w:rPr>
            </w:pPr>
            <w:r w:rsidRPr="006B16CF">
              <w:rPr>
                <w:rFonts w:ascii="Calibri" w:hAnsi="Calibri" w:cs="Calibri"/>
                <w:b/>
                <w:bCs/>
                <w:color w:val="FFFFFF" w:themeColor="background1"/>
                <w:sz w:val="18"/>
                <w:szCs w:val="18"/>
              </w:rPr>
              <w:t>PDD-001 Constraint</w:t>
            </w:r>
          </w:p>
        </w:tc>
        <w:tc>
          <w:tcPr>
            <w:tcW w:w="4961" w:type="dxa"/>
            <w:shd w:val="clear" w:color="auto" w:fill="1A2E5A"/>
          </w:tcPr>
          <w:p w14:paraId="0C143117" w14:textId="4A104B2D" w:rsidR="00E054A2" w:rsidRPr="006B16CF" w:rsidRDefault="00E054A2" w:rsidP="00CE0738">
            <w:pPr>
              <w:tabs>
                <w:tab w:val="left" w:pos="1791"/>
              </w:tabs>
              <w:rPr>
                <w:rFonts w:ascii="Calibri" w:hAnsi="Calibri" w:cs="Calibri"/>
                <w:b/>
                <w:bCs/>
                <w:color w:val="FFFFFF" w:themeColor="background1"/>
                <w:sz w:val="18"/>
                <w:szCs w:val="18"/>
              </w:rPr>
            </w:pPr>
            <w:r w:rsidRPr="006B16CF">
              <w:rPr>
                <w:rFonts w:ascii="Calibri" w:hAnsi="Calibri" w:cs="Calibri"/>
                <w:b/>
                <w:bCs/>
                <w:color w:val="FFFFFF" w:themeColor="background1"/>
                <w:sz w:val="18"/>
                <w:szCs w:val="18"/>
              </w:rPr>
              <w:t>dbt Test</w:t>
            </w:r>
          </w:p>
        </w:tc>
        <w:tc>
          <w:tcPr>
            <w:tcW w:w="2523" w:type="dxa"/>
            <w:shd w:val="clear" w:color="auto" w:fill="1A2E5A"/>
          </w:tcPr>
          <w:p w14:paraId="7DABF440" w14:textId="74B41BD8" w:rsidR="00E054A2" w:rsidRPr="006B16CF" w:rsidRDefault="00E054A2" w:rsidP="00CE0738">
            <w:pPr>
              <w:tabs>
                <w:tab w:val="left" w:pos="1791"/>
              </w:tabs>
              <w:rPr>
                <w:rFonts w:ascii="Calibri" w:hAnsi="Calibri" w:cs="Calibri"/>
                <w:b/>
                <w:bCs/>
                <w:color w:val="FFFFFF" w:themeColor="background1"/>
                <w:sz w:val="18"/>
                <w:szCs w:val="18"/>
              </w:rPr>
            </w:pPr>
            <w:r w:rsidRPr="006B16CF">
              <w:rPr>
                <w:rFonts w:ascii="Calibri" w:hAnsi="Calibri" w:cs="Calibri"/>
                <w:b/>
                <w:bCs/>
                <w:color w:val="FFFFFF" w:themeColor="background1"/>
                <w:sz w:val="18"/>
                <w:szCs w:val="18"/>
              </w:rPr>
              <w:t>Notes</w:t>
            </w:r>
          </w:p>
        </w:tc>
      </w:tr>
      <w:tr w:rsidR="00E054A2" w14:paraId="008977A0" w14:textId="77777777" w:rsidTr="006B16CF">
        <w:tc>
          <w:tcPr>
            <w:tcW w:w="2972" w:type="dxa"/>
          </w:tcPr>
          <w:p w14:paraId="7942531B" w14:textId="3883DB7C" w:rsidR="00E054A2" w:rsidRPr="006B16CF" w:rsidRDefault="00E054A2" w:rsidP="00CE0738">
            <w:pPr>
              <w:tabs>
                <w:tab w:val="left" w:pos="1791"/>
              </w:tabs>
              <w:rPr>
                <w:rFonts w:ascii="Calibri" w:hAnsi="Calibri" w:cs="Calibri"/>
                <w:b/>
                <w:bCs/>
                <w:color w:val="1A1A1A"/>
                <w:sz w:val="19"/>
                <w:szCs w:val="19"/>
              </w:rPr>
            </w:pPr>
            <w:r w:rsidRPr="006B16CF">
              <w:rPr>
                <w:rFonts w:ascii="Calibri" w:hAnsi="Calibri" w:cs="Calibri"/>
                <w:b/>
                <w:bCs/>
                <w:color w:val="1A1A1A"/>
                <w:sz w:val="19"/>
                <w:szCs w:val="19"/>
              </w:rPr>
              <w:t>PRIMARY KEY</w:t>
            </w:r>
          </w:p>
        </w:tc>
        <w:tc>
          <w:tcPr>
            <w:tcW w:w="4961" w:type="dxa"/>
          </w:tcPr>
          <w:p w14:paraId="007B357D" w14:textId="0A98ABDC" w:rsidR="00E054A2" w:rsidRPr="00E054A2" w:rsidRDefault="00E054A2" w:rsidP="00CE0738">
            <w:pPr>
              <w:tabs>
                <w:tab w:val="left" w:pos="1791"/>
              </w:tabs>
              <w:rPr>
                <w:rFonts w:ascii="Calibri" w:hAnsi="Calibri" w:cs="Calibri"/>
                <w:color w:val="1A1A1A"/>
                <w:sz w:val="19"/>
                <w:szCs w:val="19"/>
              </w:rPr>
            </w:pPr>
            <w:proofErr w:type="spellStart"/>
            <w:r w:rsidRPr="006B16CF">
              <w:rPr>
                <w:rFonts w:ascii="Calibri" w:hAnsi="Calibri" w:cs="Calibri"/>
                <w:b/>
                <w:bCs/>
                <w:color w:val="1A1A1A"/>
                <w:sz w:val="19"/>
                <w:szCs w:val="19"/>
              </w:rPr>
              <w:t>not_null</w:t>
            </w:r>
            <w:proofErr w:type="spellEnd"/>
            <w:r w:rsidRPr="00E054A2">
              <w:rPr>
                <w:rFonts w:ascii="Calibri" w:hAnsi="Calibri" w:cs="Calibri"/>
                <w:color w:val="1A1A1A"/>
                <w:sz w:val="19"/>
                <w:szCs w:val="19"/>
              </w:rPr>
              <w:t xml:space="preserve"> + </w:t>
            </w:r>
            <w:r w:rsidRPr="006B16CF">
              <w:rPr>
                <w:rFonts w:ascii="Calibri" w:hAnsi="Calibri" w:cs="Calibri"/>
                <w:b/>
                <w:bCs/>
                <w:color w:val="1A1A1A"/>
                <w:sz w:val="19"/>
                <w:szCs w:val="19"/>
              </w:rPr>
              <w:t>unique</w:t>
            </w:r>
          </w:p>
        </w:tc>
        <w:tc>
          <w:tcPr>
            <w:tcW w:w="2523" w:type="dxa"/>
          </w:tcPr>
          <w:p w14:paraId="11BFA77F" w14:textId="6F7A9EDD" w:rsidR="00E054A2" w:rsidRPr="00E054A2" w:rsidRDefault="00E054A2" w:rsidP="00CE0738">
            <w:pPr>
              <w:tabs>
                <w:tab w:val="left" w:pos="1791"/>
              </w:tabs>
              <w:rPr>
                <w:rFonts w:ascii="Calibri" w:hAnsi="Calibri" w:cs="Calibri"/>
                <w:color w:val="1A1A1A"/>
                <w:sz w:val="19"/>
                <w:szCs w:val="19"/>
              </w:rPr>
            </w:pPr>
            <w:r w:rsidRPr="00E054A2">
              <w:rPr>
                <w:rFonts w:ascii="Calibri" w:hAnsi="Calibri" w:cs="Calibri"/>
                <w:color w:val="1A1A1A"/>
                <w:sz w:val="19"/>
                <w:szCs w:val="19"/>
              </w:rPr>
              <w:t>dbt has no single "primary key" test; declare both on the surrogate key column</w:t>
            </w:r>
          </w:p>
        </w:tc>
      </w:tr>
      <w:tr w:rsidR="00E054A2" w14:paraId="4F848BE8" w14:textId="77777777" w:rsidTr="006B16CF">
        <w:tc>
          <w:tcPr>
            <w:tcW w:w="2972" w:type="dxa"/>
            <w:shd w:val="clear" w:color="auto" w:fill="EEF1F8"/>
          </w:tcPr>
          <w:p w14:paraId="34BEF4DA" w14:textId="415F054E" w:rsidR="00E054A2" w:rsidRPr="00E054A2" w:rsidRDefault="00E054A2" w:rsidP="00CE0738">
            <w:pPr>
              <w:tabs>
                <w:tab w:val="left" w:pos="1791"/>
              </w:tabs>
              <w:rPr>
                <w:rFonts w:ascii="Calibri" w:hAnsi="Calibri" w:cs="Calibri"/>
                <w:color w:val="1A1A1A"/>
                <w:sz w:val="19"/>
                <w:szCs w:val="19"/>
              </w:rPr>
            </w:pPr>
            <w:r w:rsidRPr="006B16CF">
              <w:rPr>
                <w:rFonts w:ascii="Calibri" w:hAnsi="Calibri" w:cs="Calibri"/>
                <w:b/>
                <w:bCs/>
                <w:color w:val="1A1A1A"/>
                <w:sz w:val="19"/>
                <w:szCs w:val="19"/>
              </w:rPr>
              <w:t>UNIQUE</w:t>
            </w:r>
            <w:r w:rsidRPr="00E054A2">
              <w:rPr>
                <w:rFonts w:ascii="Calibri" w:hAnsi="Calibri" w:cs="Calibri"/>
                <w:color w:val="1A1A1A"/>
                <w:sz w:val="19"/>
                <w:szCs w:val="19"/>
              </w:rPr>
              <w:t xml:space="preserve"> (single column)</w:t>
            </w:r>
          </w:p>
        </w:tc>
        <w:tc>
          <w:tcPr>
            <w:tcW w:w="4961" w:type="dxa"/>
            <w:shd w:val="clear" w:color="auto" w:fill="EEF1F8"/>
          </w:tcPr>
          <w:p w14:paraId="1CC4287A" w14:textId="3D42588E" w:rsidR="00E054A2" w:rsidRPr="006B16CF" w:rsidRDefault="00E054A2" w:rsidP="00CE0738">
            <w:pPr>
              <w:tabs>
                <w:tab w:val="left" w:pos="1791"/>
              </w:tabs>
              <w:rPr>
                <w:rFonts w:ascii="Calibri" w:hAnsi="Calibri" w:cs="Calibri"/>
                <w:b/>
                <w:bCs/>
                <w:color w:val="1A1A1A"/>
                <w:sz w:val="19"/>
                <w:szCs w:val="19"/>
              </w:rPr>
            </w:pPr>
            <w:r w:rsidRPr="006B16CF">
              <w:rPr>
                <w:rFonts w:ascii="Calibri" w:hAnsi="Calibri" w:cs="Calibri"/>
                <w:b/>
                <w:bCs/>
                <w:color w:val="1A1A1A"/>
                <w:sz w:val="19"/>
                <w:szCs w:val="19"/>
              </w:rPr>
              <w:t>unique</w:t>
            </w:r>
          </w:p>
        </w:tc>
        <w:tc>
          <w:tcPr>
            <w:tcW w:w="2523" w:type="dxa"/>
            <w:shd w:val="clear" w:color="auto" w:fill="EEF1F8"/>
          </w:tcPr>
          <w:p w14:paraId="2C518C6A" w14:textId="44551285" w:rsidR="00E054A2" w:rsidRPr="00E054A2" w:rsidRDefault="00E054A2" w:rsidP="00CE0738">
            <w:pPr>
              <w:tabs>
                <w:tab w:val="left" w:pos="1791"/>
              </w:tabs>
              <w:rPr>
                <w:rFonts w:ascii="Calibri" w:hAnsi="Calibri" w:cs="Calibri"/>
                <w:color w:val="1A1A1A"/>
                <w:sz w:val="19"/>
                <w:szCs w:val="19"/>
              </w:rPr>
            </w:pPr>
            <w:r w:rsidRPr="00E054A2">
              <w:rPr>
                <w:rFonts w:ascii="Calibri" w:hAnsi="Calibri" w:cs="Calibri"/>
                <w:color w:val="1A1A1A"/>
                <w:sz w:val="19"/>
                <w:szCs w:val="19"/>
              </w:rPr>
              <w:t>Direct match</w:t>
            </w:r>
          </w:p>
        </w:tc>
      </w:tr>
      <w:tr w:rsidR="00E054A2" w14:paraId="2834D71B" w14:textId="77777777" w:rsidTr="006B16CF">
        <w:tc>
          <w:tcPr>
            <w:tcW w:w="2972" w:type="dxa"/>
          </w:tcPr>
          <w:p w14:paraId="2AF83579" w14:textId="03B713DC" w:rsidR="00E054A2" w:rsidRPr="00E054A2" w:rsidRDefault="00E054A2" w:rsidP="00CE0738">
            <w:pPr>
              <w:tabs>
                <w:tab w:val="left" w:pos="1791"/>
              </w:tabs>
              <w:rPr>
                <w:rFonts w:ascii="Calibri" w:hAnsi="Calibri" w:cs="Calibri"/>
                <w:color w:val="1A1A1A"/>
                <w:sz w:val="19"/>
                <w:szCs w:val="19"/>
              </w:rPr>
            </w:pPr>
            <w:r w:rsidRPr="006B16CF">
              <w:rPr>
                <w:rFonts w:ascii="Calibri" w:hAnsi="Calibri" w:cs="Calibri"/>
                <w:b/>
                <w:bCs/>
                <w:color w:val="1A1A1A"/>
                <w:sz w:val="19"/>
                <w:szCs w:val="19"/>
              </w:rPr>
              <w:t>UNIQUE</w:t>
            </w:r>
            <w:r w:rsidRPr="00E054A2">
              <w:rPr>
                <w:rFonts w:ascii="Calibri" w:hAnsi="Calibri" w:cs="Calibri"/>
                <w:color w:val="1A1A1A"/>
                <w:sz w:val="19"/>
                <w:szCs w:val="19"/>
              </w:rPr>
              <w:t xml:space="preserve"> (composite, e.g. </w:t>
            </w:r>
            <w:proofErr w:type="spellStart"/>
            <w:r w:rsidRPr="006B16CF">
              <w:rPr>
                <w:rFonts w:ascii="Calibri" w:hAnsi="Calibri" w:cs="Calibri"/>
                <w:b/>
                <w:bCs/>
                <w:color w:val="1A1A1A"/>
                <w:sz w:val="19"/>
                <w:szCs w:val="19"/>
              </w:rPr>
              <w:t>order_id</w:t>
            </w:r>
            <w:proofErr w:type="spellEnd"/>
            <w:r w:rsidRPr="006B16CF">
              <w:rPr>
                <w:rFonts w:ascii="Calibri" w:hAnsi="Calibri" w:cs="Calibri"/>
                <w:b/>
                <w:bCs/>
                <w:color w:val="1A1A1A"/>
                <w:sz w:val="19"/>
                <w:szCs w:val="19"/>
              </w:rPr>
              <w:t xml:space="preserve"> + </w:t>
            </w:r>
            <w:proofErr w:type="spellStart"/>
            <w:r w:rsidRPr="006B16CF">
              <w:rPr>
                <w:rFonts w:ascii="Calibri" w:hAnsi="Calibri" w:cs="Calibri"/>
                <w:b/>
                <w:bCs/>
                <w:color w:val="1A1A1A"/>
                <w:sz w:val="19"/>
                <w:szCs w:val="19"/>
              </w:rPr>
              <w:t>line_number</w:t>
            </w:r>
            <w:proofErr w:type="spellEnd"/>
            <w:r w:rsidRPr="00E054A2">
              <w:rPr>
                <w:rFonts w:ascii="Calibri" w:hAnsi="Calibri" w:cs="Calibri"/>
                <w:color w:val="1A1A1A"/>
                <w:sz w:val="19"/>
                <w:szCs w:val="19"/>
              </w:rPr>
              <w:t>)</w:t>
            </w:r>
          </w:p>
        </w:tc>
        <w:tc>
          <w:tcPr>
            <w:tcW w:w="4961" w:type="dxa"/>
          </w:tcPr>
          <w:p w14:paraId="0F2835E8" w14:textId="179EC1C3" w:rsidR="00E054A2" w:rsidRPr="006B16CF" w:rsidRDefault="00E054A2" w:rsidP="00CE0738">
            <w:pPr>
              <w:tabs>
                <w:tab w:val="left" w:pos="1791"/>
              </w:tabs>
              <w:rPr>
                <w:rFonts w:ascii="Calibri" w:hAnsi="Calibri" w:cs="Calibri"/>
                <w:b/>
                <w:bCs/>
                <w:color w:val="1A1A1A"/>
                <w:sz w:val="19"/>
                <w:szCs w:val="19"/>
              </w:rPr>
            </w:pPr>
            <w:proofErr w:type="spellStart"/>
            <w:r w:rsidRPr="006B16CF">
              <w:rPr>
                <w:rFonts w:ascii="Calibri" w:hAnsi="Calibri" w:cs="Calibri"/>
                <w:b/>
                <w:bCs/>
                <w:color w:val="1A1A1A"/>
                <w:sz w:val="19"/>
                <w:szCs w:val="19"/>
              </w:rPr>
              <w:t>dbt_</w:t>
            </w:r>
            <w:proofErr w:type="gramStart"/>
            <w:r w:rsidRPr="006B16CF">
              <w:rPr>
                <w:rFonts w:ascii="Calibri" w:hAnsi="Calibri" w:cs="Calibri"/>
                <w:b/>
                <w:bCs/>
                <w:color w:val="1A1A1A"/>
                <w:sz w:val="19"/>
                <w:szCs w:val="19"/>
              </w:rPr>
              <w:t>utils.unique</w:t>
            </w:r>
            <w:proofErr w:type="gramEnd"/>
            <w:r w:rsidRPr="006B16CF">
              <w:rPr>
                <w:rFonts w:ascii="Calibri" w:hAnsi="Calibri" w:cs="Calibri"/>
                <w:b/>
                <w:bCs/>
                <w:color w:val="1A1A1A"/>
                <w:sz w:val="19"/>
                <w:szCs w:val="19"/>
              </w:rPr>
              <w:t>_combination_of_columns</w:t>
            </w:r>
            <w:proofErr w:type="spellEnd"/>
          </w:p>
        </w:tc>
        <w:tc>
          <w:tcPr>
            <w:tcW w:w="2523" w:type="dxa"/>
          </w:tcPr>
          <w:p w14:paraId="14A8BBAF" w14:textId="22A12169" w:rsidR="00E054A2" w:rsidRPr="00E054A2" w:rsidRDefault="00E054A2" w:rsidP="00CE0738">
            <w:pPr>
              <w:tabs>
                <w:tab w:val="left" w:pos="1791"/>
              </w:tabs>
              <w:rPr>
                <w:rFonts w:ascii="Calibri" w:hAnsi="Calibri" w:cs="Calibri"/>
                <w:color w:val="1A1A1A"/>
                <w:sz w:val="19"/>
                <w:szCs w:val="19"/>
              </w:rPr>
            </w:pPr>
            <w:r w:rsidRPr="00E054A2">
              <w:rPr>
                <w:rFonts w:ascii="Calibri" w:hAnsi="Calibri" w:cs="Calibri"/>
                <w:color w:val="1A1A1A"/>
                <w:sz w:val="19"/>
                <w:szCs w:val="19"/>
              </w:rPr>
              <w:t xml:space="preserve">dbt-core's native </w:t>
            </w:r>
            <w:r w:rsidRPr="006B16CF">
              <w:rPr>
                <w:rFonts w:ascii="Calibri" w:hAnsi="Calibri" w:cs="Calibri"/>
                <w:b/>
                <w:bCs/>
                <w:color w:val="1A1A1A"/>
                <w:sz w:val="19"/>
                <w:szCs w:val="19"/>
              </w:rPr>
              <w:t>unique</w:t>
            </w:r>
            <w:r w:rsidRPr="00E054A2">
              <w:rPr>
                <w:rFonts w:ascii="Calibri" w:hAnsi="Calibri" w:cs="Calibri"/>
                <w:color w:val="1A1A1A"/>
                <w:sz w:val="19"/>
                <w:szCs w:val="19"/>
              </w:rPr>
              <w:t xml:space="preserve"> test only checks one column; composite keys need the </w:t>
            </w:r>
            <w:proofErr w:type="spellStart"/>
            <w:r w:rsidRPr="006B16CF">
              <w:rPr>
                <w:rFonts w:ascii="Calibri" w:hAnsi="Calibri" w:cs="Calibri"/>
                <w:b/>
                <w:bCs/>
                <w:color w:val="1A1A1A"/>
                <w:sz w:val="19"/>
                <w:szCs w:val="19"/>
              </w:rPr>
              <w:t>dbt_utils</w:t>
            </w:r>
            <w:proofErr w:type="spellEnd"/>
            <w:r w:rsidRPr="00E054A2">
              <w:rPr>
                <w:rFonts w:ascii="Calibri" w:hAnsi="Calibri" w:cs="Calibri"/>
                <w:color w:val="1A1A1A"/>
                <w:sz w:val="19"/>
                <w:szCs w:val="19"/>
              </w:rPr>
              <w:t xml:space="preserve"> package</w:t>
            </w:r>
          </w:p>
        </w:tc>
      </w:tr>
      <w:tr w:rsidR="00E054A2" w14:paraId="42ADAA1B" w14:textId="77777777" w:rsidTr="006B16CF">
        <w:tc>
          <w:tcPr>
            <w:tcW w:w="2972" w:type="dxa"/>
            <w:shd w:val="clear" w:color="auto" w:fill="EEF1F8"/>
          </w:tcPr>
          <w:p w14:paraId="0E2CF8EF" w14:textId="6D181B96" w:rsidR="00E054A2" w:rsidRPr="00E054A2" w:rsidRDefault="00E054A2" w:rsidP="00CE0738">
            <w:pPr>
              <w:tabs>
                <w:tab w:val="left" w:pos="1791"/>
              </w:tabs>
              <w:rPr>
                <w:rFonts w:ascii="Calibri" w:hAnsi="Calibri" w:cs="Calibri"/>
                <w:color w:val="1A1A1A"/>
                <w:sz w:val="19"/>
                <w:szCs w:val="19"/>
              </w:rPr>
            </w:pPr>
            <w:r w:rsidRPr="00E054A2">
              <w:rPr>
                <w:rFonts w:ascii="Calibri" w:hAnsi="Calibri" w:cs="Calibri"/>
                <w:color w:val="1A1A1A"/>
                <w:sz w:val="19"/>
                <w:szCs w:val="19"/>
              </w:rPr>
              <w:t>FOREIGN KEY</w:t>
            </w:r>
          </w:p>
        </w:tc>
        <w:tc>
          <w:tcPr>
            <w:tcW w:w="4961" w:type="dxa"/>
            <w:shd w:val="clear" w:color="auto" w:fill="EEF1F8"/>
          </w:tcPr>
          <w:p w14:paraId="6E569F4B" w14:textId="32D761A5" w:rsidR="00E054A2" w:rsidRPr="00E054A2" w:rsidRDefault="00E054A2" w:rsidP="00CE0738">
            <w:pPr>
              <w:tabs>
                <w:tab w:val="left" w:pos="1791"/>
              </w:tabs>
              <w:rPr>
                <w:rFonts w:ascii="Calibri" w:hAnsi="Calibri" w:cs="Calibri"/>
                <w:color w:val="1A1A1A"/>
                <w:sz w:val="19"/>
                <w:szCs w:val="19"/>
              </w:rPr>
            </w:pPr>
            <w:r w:rsidRPr="00E054A2">
              <w:rPr>
                <w:rFonts w:ascii="Calibri" w:hAnsi="Calibri" w:cs="Calibri"/>
                <w:color w:val="1A1A1A"/>
                <w:sz w:val="19"/>
                <w:szCs w:val="19"/>
              </w:rPr>
              <w:t>relationships</w:t>
            </w:r>
          </w:p>
        </w:tc>
        <w:tc>
          <w:tcPr>
            <w:tcW w:w="2523" w:type="dxa"/>
            <w:shd w:val="clear" w:color="auto" w:fill="EEF1F8"/>
          </w:tcPr>
          <w:p w14:paraId="0C2A027A" w14:textId="127BE251" w:rsidR="00E054A2" w:rsidRPr="00E054A2" w:rsidRDefault="00E054A2" w:rsidP="00CE0738">
            <w:pPr>
              <w:tabs>
                <w:tab w:val="left" w:pos="1791"/>
              </w:tabs>
              <w:rPr>
                <w:rFonts w:ascii="Calibri" w:hAnsi="Calibri" w:cs="Calibri"/>
                <w:color w:val="1A1A1A"/>
                <w:sz w:val="19"/>
                <w:szCs w:val="19"/>
              </w:rPr>
            </w:pPr>
            <w:r w:rsidRPr="00E054A2">
              <w:rPr>
                <w:rFonts w:ascii="Calibri" w:hAnsi="Calibri" w:cs="Calibri"/>
                <w:color w:val="1A1A1A"/>
                <w:sz w:val="19"/>
                <w:szCs w:val="19"/>
              </w:rPr>
              <w:t>Confirms every child value exists in the parent table</w:t>
            </w:r>
          </w:p>
        </w:tc>
      </w:tr>
      <w:tr w:rsidR="00E054A2" w14:paraId="29C790AF" w14:textId="77777777" w:rsidTr="006B16CF">
        <w:tc>
          <w:tcPr>
            <w:tcW w:w="2972" w:type="dxa"/>
          </w:tcPr>
          <w:p w14:paraId="1B63B8F5" w14:textId="66DF65BE" w:rsidR="00E054A2" w:rsidRPr="00E054A2" w:rsidRDefault="00E054A2" w:rsidP="00CE0738">
            <w:pPr>
              <w:tabs>
                <w:tab w:val="left" w:pos="1791"/>
              </w:tabs>
              <w:rPr>
                <w:rFonts w:ascii="Calibri" w:hAnsi="Calibri" w:cs="Calibri"/>
                <w:color w:val="1A1A1A"/>
                <w:sz w:val="19"/>
                <w:szCs w:val="19"/>
              </w:rPr>
            </w:pPr>
            <w:r w:rsidRPr="00E054A2">
              <w:rPr>
                <w:rFonts w:ascii="Calibri" w:hAnsi="Calibri" w:cs="Calibri"/>
                <w:color w:val="1A1A1A"/>
                <w:sz w:val="19"/>
                <w:szCs w:val="19"/>
              </w:rPr>
              <w:t>Status/</w:t>
            </w:r>
            <w:proofErr w:type="spellStart"/>
            <w:r w:rsidRPr="00E054A2">
              <w:rPr>
                <w:rFonts w:ascii="Calibri" w:hAnsi="Calibri" w:cs="Calibri"/>
                <w:color w:val="1A1A1A"/>
                <w:sz w:val="19"/>
                <w:szCs w:val="19"/>
              </w:rPr>
              <w:t>enum</w:t>
            </w:r>
            <w:proofErr w:type="spellEnd"/>
            <w:r w:rsidRPr="00E054A2">
              <w:rPr>
                <w:rFonts w:ascii="Calibri" w:hAnsi="Calibri" w:cs="Calibri"/>
                <w:color w:val="1A1A1A"/>
                <w:sz w:val="19"/>
                <w:szCs w:val="19"/>
              </w:rPr>
              <w:t xml:space="preserve"> columns (</w:t>
            </w:r>
            <w:proofErr w:type="spellStart"/>
            <w:r w:rsidRPr="006B16CF">
              <w:rPr>
                <w:rFonts w:ascii="Calibri" w:hAnsi="Calibri" w:cs="Calibri"/>
                <w:b/>
                <w:bCs/>
                <w:color w:val="1A1A1A"/>
                <w:sz w:val="19"/>
                <w:szCs w:val="19"/>
              </w:rPr>
              <w:t>po_status</w:t>
            </w:r>
            <w:proofErr w:type="spellEnd"/>
            <w:r w:rsidRPr="006B16CF">
              <w:rPr>
                <w:rFonts w:ascii="Calibri" w:hAnsi="Calibri" w:cs="Calibri"/>
                <w:b/>
                <w:bCs/>
                <w:color w:val="1A1A1A"/>
                <w:sz w:val="19"/>
                <w:szCs w:val="19"/>
              </w:rPr>
              <w:t xml:space="preserve">, </w:t>
            </w:r>
            <w:proofErr w:type="spellStart"/>
            <w:r w:rsidRPr="006B16CF">
              <w:rPr>
                <w:rFonts w:ascii="Calibri" w:hAnsi="Calibri" w:cs="Calibri"/>
                <w:b/>
                <w:bCs/>
                <w:color w:val="1A1A1A"/>
                <w:sz w:val="19"/>
                <w:szCs w:val="19"/>
              </w:rPr>
              <w:t>order_status</w:t>
            </w:r>
            <w:proofErr w:type="spellEnd"/>
            <w:r w:rsidRPr="00E054A2">
              <w:rPr>
                <w:rFonts w:ascii="Calibri" w:hAnsi="Calibri" w:cs="Calibri"/>
                <w:color w:val="1A1A1A"/>
                <w:sz w:val="19"/>
                <w:szCs w:val="19"/>
              </w:rPr>
              <w:t>)</w:t>
            </w:r>
          </w:p>
        </w:tc>
        <w:tc>
          <w:tcPr>
            <w:tcW w:w="4961" w:type="dxa"/>
          </w:tcPr>
          <w:p w14:paraId="5BBB5F1A" w14:textId="31C9B8A0" w:rsidR="00E054A2" w:rsidRPr="006B16CF" w:rsidRDefault="00E054A2" w:rsidP="00CE0738">
            <w:pPr>
              <w:tabs>
                <w:tab w:val="left" w:pos="1791"/>
              </w:tabs>
              <w:rPr>
                <w:rFonts w:ascii="Calibri" w:hAnsi="Calibri" w:cs="Calibri"/>
                <w:b/>
                <w:bCs/>
                <w:color w:val="1A1A1A"/>
                <w:sz w:val="19"/>
                <w:szCs w:val="19"/>
              </w:rPr>
            </w:pPr>
            <w:proofErr w:type="spellStart"/>
            <w:r w:rsidRPr="006B16CF">
              <w:rPr>
                <w:rFonts w:ascii="Calibri" w:hAnsi="Calibri" w:cs="Calibri"/>
                <w:b/>
                <w:bCs/>
                <w:color w:val="1A1A1A"/>
                <w:sz w:val="19"/>
                <w:szCs w:val="19"/>
              </w:rPr>
              <w:t>accepted_values</w:t>
            </w:r>
            <w:proofErr w:type="spellEnd"/>
          </w:p>
        </w:tc>
        <w:tc>
          <w:tcPr>
            <w:tcW w:w="2523" w:type="dxa"/>
          </w:tcPr>
          <w:p w14:paraId="3E3C48F4" w14:textId="7CD01F9A" w:rsidR="00E054A2" w:rsidRPr="00E054A2" w:rsidRDefault="00E054A2" w:rsidP="00CE0738">
            <w:pPr>
              <w:tabs>
                <w:tab w:val="left" w:pos="1791"/>
              </w:tabs>
              <w:rPr>
                <w:rFonts w:ascii="Calibri" w:hAnsi="Calibri" w:cs="Calibri"/>
                <w:color w:val="1A1A1A"/>
                <w:sz w:val="19"/>
                <w:szCs w:val="19"/>
              </w:rPr>
            </w:pPr>
            <w:r w:rsidRPr="00E054A2">
              <w:rPr>
                <w:rFonts w:ascii="Calibri" w:hAnsi="Calibri" w:cs="Calibri"/>
                <w:color w:val="1A1A1A"/>
                <w:sz w:val="19"/>
                <w:szCs w:val="19"/>
              </w:rPr>
              <w:t>Confirms the column only ever holds the documented set of values</w:t>
            </w:r>
          </w:p>
        </w:tc>
      </w:tr>
    </w:tbl>
    <w:p w14:paraId="314C4B28" w14:textId="77777777" w:rsidR="00E054A2" w:rsidRDefault="00E054A2" w:rsidP="00CE0738">
      <w:pPr>
        <w:tabs>
          <w:tab w:val="left" w:pos="1791"/>
        </w:tabs>
        <w:rPr>
          <w:rFonts w:ascii="Calibri" w:hAnsi="Calibri" w:cs="Calibri"/>
          <w:color w:val="1A1A1A"/>
        </w:rPr>
      </w:pPr>
    </w:p>
    <w:p w14:paraId="7FB26DAF" w14:textId="352C6065" w:rsidR="007C27E3" w:rsidRDefault="007C27E3" w:rsidP="00CE0738">
      <w:pPr>
        <w:tabs>
          <w:tab w:val="left" w:pos="1791"/>
        </w:tabs>
        <w:rPr>
          <w:rFonts w:ascii="Calibri" w:hAnsi="Calibri" w:cs="Calibri"/>
          <w:color w:val="1A1A1A"/>
        </w:rPr>
      </w:pPr>
      <w:r w:rsidRPr="007C27E3">
        <w:rPr>
          <w:rFonts w:ascii="Calibri" w:hAnsi="Calibri" w:cs="Calibri"/>
          <w:color w:val="1A1A1A"/>
        </w:rPr>
        <w:t>Any test failure halts the pipeline before Gold is updated, per FR-CCR-007's acceptance criteria.</w:t>
      </w:r>
    </w:p>
    <w:p w14:paraId="487C97B7" w14:textId="2D912216" w:rsidR="007C27E3" w:rsidRDefault="007C27E3" w:rsidP="00CE0738">
      <w:pPr>
        <w:tabs>
          <w:tab w:val="left" w:pos="1791"/>
        </w:tabs>
        <w:rPr>
          <w:rFonts w:ascii="Calibri" w:hAnsi="Calibri" w:cs="Calibri"/>
          <w:i/>
          <w:iCs/>
          <w:color w:val="1A1A1A"/>
        </w:rPr>
      </w:pPr>
      <w:r w:rsidRPr="007C27E3">
        <w:rPr>
          <w:rFonts w:ascii="Calibri" w:hAnsi="Calibri" w:cs="Calibri"/>
          <w:b/>
          <w:bCs/>
          <w:color w:val="1A1A1A"/>
        </w:rPr>
        <w:t>Supplier Contract PDF structuring — distinct risk profile:</w:t>
      </w:r>
      <w:r w:rsidRPr="007C27E3">
        <w:rPr>
          <w:rFonts w:ascii="Calibri" w:hAnsi="Calibri" w:cs="Calibri"/>
          <w:color w:val="1A1A1A"/>
        </w:rPr>
        <w:t xml:space="preserve"> </w:t>
      </w:r>
      <w:r w:rsidRPr="007C27E3">
        <w:rPr>
          <w:rFonts w:ascii="Calibri" w:hAnsi="Calibri" w:cs="Calibri"/>
          <w:i/>
          <w:iCs/>
          <w:color w:val="1A1A1A"/>
        </w:rPr>
        <w:t xml:space="preserve">This transformation differs structurally from the rest of Silver. Standard Silver transformations (cleansing, standardization, identity resolution) apply consistent, repeatable logic to structured </w:t>
      </w:r>
      <w:proofErr w:type="gramStart"/>
      <w:r w:rsidRPr="007C27E3">
        <w:rPr>
          <w:rFonts w:ascii="Calibri" w:hAnsi="Calibri" w:cs="Calibri"/>
          <w:i/>
          <w:iCs/>
          <w:color w:val="1A1A1A"/>
        </w:rPr>
        <w:t>Bronze</w:t>
      </w:r>
      <w:proofErr w:type="gramEnd"/>
      <w:r w:rsidRPr="007C27E3">
        <w:rPr>
          <w:rFonts w:ascii="Calibri" w:hAnsi="Calibri" w:cs="Calibri"/>
          <w:i/>
          <w:iCs/>
          <w:color w:val="1A1A1A"/>
        </w:rPr>
        <w:t xml:space="preserve"> data — dbt tests reliably catch their failure modes (NULLs, duplicates, out-of-range values). The </w:t>
      </w:r>
      <w:proofErr w:type="spellStart"/>
      <w:r w:rsidRPr="007C27E3">
        <w:rPr>
          <w:rFonts w:ascii="Calibri" w:hAnsi="Calibri" w:cs="Calibri"/>
          <w:i/>
          <w:iCs/>
          <w:color w:val="1A1A1A"/>
        </w:rPr>
        <w:t>pypdf+LLM</w:t>
      </w:r>
      <w:proofErr w:type="spellEnd"/>
      <w:r w:rsidRPr="007C27E3">
        <w:rPr>
          <w:rFonts w:ascii="Calibri" w:hAnsi="Calibri" w:cs="Calibri"/>
          <w:i/>
          <w:iCs/>
          <w:color w:val="1A1A1A"/>
        </w:rPr>
        <w:t xml:space="preserve"> extraction step applies an LLM to unstructured text on a one-off or on-request basis (new/amended contracts only, not a nightly recurring transform), and its dominant risk is different: a confidently wrong extraction (e.g. a misread contracted rate) that is structurally valid and will pass every standard dbt test, since nothing about it looks malformed. Standard data quality gates cannot catch this failure mode. Mitigating this requires a human spot-check step against source PDFs — sampling extracted values against the original document — rather than relying on automated testing alone. This is a build-phase (Step 14) design detail to resolve before this pipeline goes live, and it remains linked to ADR-003's own outstanding sign-off (Sipho Dlamini, per DM-001's outstanding items).</w:t>
      </w:r>
    </w:p>
    <w:p w14:paraId="5A8C5A12" w14:textId="77777777" w:rsidR="007C27E3" w:rsidRDefault="007C27E3" w:rsidP="00CE0738">
      <w:pPr>
        <w:tabs>
          <w:tab w:val="left" w:pos="1791"/>
        </w:tabs>
        <w:rPr>
          <w:rFonts w:ascii="Calibri" w:hAnsi="Calibri" w:cs="Calibri"/>
          <w:color w:val="1A1A1A"/>
        </w:rPr>
      </w:pPr>
    </w:p>
    <w:p w14:paraId="62F6BA3E" w14:textId="77777777" w:rsidR="00936D93" w:rsidRDefault="00936D93" w:rsidP="00CE0738">
      <w:pPr>
        <w:tabs>
          <w:tab w:val="left" w:pos="1791"/>
        </w:tabs>
        <w:rPr>
          <w:rFonts w:ascii="Calibri" w:hAnsi="Calibri" w:cs="Calibri"/>
          <w:color w:val="1A1A1A"/>
        </w:rPr>
      </w:pPr>
    </w:p>
    <w:p w14:paraId="5D009A06" w14:textId="77777777" w:rsidR="00936D93" w:rsidRDefault="00936D93" w:rsidP="00CE0738">
      <w:pPr>
        <w:tabs>
          <w:tab w:val="left" w:pos="1791"/>
        </w:tabs>
        <w:rPr>
          <w:rFonts w:ascii="Calibri" w:hAnsi="Calibri" w:cs="Calibri"/>
          <w:color w:val="1A1A1A"/>
        </w:rPr>
      </w:pPr>
    </w:p>
    <w:p w14:paraId="59749BEE" w14:textId="77777777" w:rsidR="00936D93" w:rsidRDefault="00936D93" w:rsidP="00CE0738">
      <w:pPr>
        <w:tabs>
          <w:tab w:val="left" w:pos="1791"/>
        </w:tabs>
        <w:rPr>
          <w:rFonts w:ascii="Calibri" w:hAnsi="Calibri" w:cs="Calibri"/>
          <w:color w:val="1A1A1A"/>
        </w:rPr>
      </w:pPr>
    </w:p>
    <w:p w14:paraId="2BCACEEA" w14:textId="77777777" w:rsidR="00936D93" w:rsidRDefault="00936D93" w:rsidP="00CE0738">
      <w:pPr>
        <w:tabs>
          <w:tab w:val="left" w:pos="1791"/>
        </w:tabs>
        <w:rPr>
          <w:rFonts w:ascii="Calibri" w:hAnsi="Calibri" w:cs="Calibri"/>
          <w:color w:val="1A1A1A"/>
        </w:rPr>
      </w:pPr>
    </w:p>
    <w:p w14:paraId="66BFD535" w14:textId="77777777" w:rsidR="00936D93" w:rsidRPr="007C27E3" w:rsidRDefault="00936D93" w:rsidP="00CE0738">
      <w:pPr>
        <w:tabs>
          <w:tab w:val="left" w:pos="1791"/>
        </w:tabs>
        <w:rPr>
          <w:rFonts w:ascii="Calibri" w:hAnsi="Calibri" w:cs="Calibri"/>
          <w:color w:val="1A1A1A"/>
        </w:rPr>
      </w:pPr>
    </w:p>
    <w:p w14:paraId="0D2FF854" w14:textId="77777777" w:rsidR="007C27E3" w:rsidRPr="00E054A2" w:rsidRDefault="007C27E3" w:rsidP="00CE0738">
      <w:pPr>
        <w:tabs>
          <w:tab w:val="left" w:pos="1791"/>
        </w:tabs>
        <w:rPr>
          <w:rFonts w:ascii="Calibri" w:hAnsi="Calibri" w:cs="Calibri"/>
          <w:color w:val="1A1A1A"/>
        </w:rPr>
      </w:pPr>
    </w:p>
    <w:p w14:paraId="3526278C" w14:textId="46D0C525" w:rsidR="00674D58" w:rsidRPr="00430476" w:rsidRDefault="00974F67" w:rsidP="007C6396">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 xml:space="preserve">Gold Layer </w:t>
      </w:r>
      <w:r w:rsidR="00EA3B59">
        <w:rPr>
          <w:rFonts w:ascii="Calibri" w:hAnsi="Calibri" w:cs="Calibri"/>
          <w:b/>
          <w:bCs/>
          <w:color w:val="1A2E5A"/>
          <w:sz w:val="32"/>
          <w:szCs w:val="32"/>
        </w:rPr>
        <w:t>Load Pattern</w:t>
      </w:r>
    </w:p>
    <w:p w14:paraId="34D6E912" w14:textId="3AA4C4B5" w:rsidR="00A935B6" w:rsidRDefault="00A935B6" w:rsidP="00A935B6">
      <w:pPr>
        <w:tabs>
          <w:tab w:val="left" w:pos="1791"/>
        </w:tabs>
        <w:rPr>
          <w:rFonts w:ascii="Calibri" w:hAnsi="Calibri" w:cs="Calibri"/>
        </w:rPr>
      </w:pPr>
      <w:r w:rsidRPr="00A935B6">
        <w:rPr>
          <w:rFonts w:ascii="Calibri" w:hAnsi="Calibri" w:cs="Calibri"/>
        </w:rPr>
        <w:t xml:space="preserve">Gold layer loading logic differs by table type, following the classifications established in PDD-001 Section 5.2 and this </w:t>
      </w:r>
      <w:r>
        <w:rPr>
          <w:rFonts w:ascii="Calibri" w:hAnsi="Calibri" w:cs="Calibri"/>
        </w:rPr>
        <w:t xml:space="preserve">     </w:t>
      </w:r>
      <w:r w:rsidRPr="00A935B6">
        <w:rPr>
          <w:rFonts w:ascii="Calibri" w:hAnsi="Calibri" w:cs="Calibri"/>
        </w:rPr>
        <w:t>section's dimension review.</w:t>
      </w:r>
    </w:p>
    <w:p w14:paraId="36819D37" w14:textId="0BA96D5C" w:rsidR="00A935B6" w:rsidRPr="00A935B6" w:rsidRDefault="00A935B6" w:rsidP="00A935B6">
      <w:pPr>
        <w:tabs>
          <w:tab w:val="left" w:pos="1791"/>
        </w:tabs>
        <w:rPr>
          <w:rFonts w:ascii="Calibri" w:hAnsi="Calibri" w:cs="Calibri"/>
          <w:b/>
          <w:bCs/>
        </w:rPr>
      </w:pPr>
      <w:r w:rsidRPr="00A935B6">
        <w:rPr>
          <w:rFonts w:ascii="Calibri" w:hAnsi="Calibri" w:cs="Calibri"/>
          <w:b/>
          <w:bCs/>
        </w:rPr>
        <w:t>Fact table loading:</w:t>
      </w:r>
    </w:p>
    <w:p w14:paraId="101100D8" w14:textId="77777777" w:rsidR="00A935B6" w:rsidRDefault="00A935B6" w:rsidP="00A935B6">
      <w:pPr>
        <w:pStyle w:val="ListParagraph"/>
        <w:numPr>
          <w:ilvl w:val="0"/>
          <w:numId w:val="17"/>
        </w:numPr>
        <w:tabs>
          <w:tab w:val="left" w:pos="1791"/>
        </w:tabs>
        <w:rPr>
          <w:rFonts w:ascii="Calibri" w:hAnsi="Calibri" w:cs="Calibri"/>
        </w:rPr>
      </w:pPr>
      <w:r w:rsidRPr="00A935B6">
        <w:rPr>
          <w:rFonts w:ascii="Calibri" w:hAnsi="Calibri" w:cs="Calibri"/>
          <w:b/>
          <w:bCs/>
        </w:rPr>
        <w:t>Insert-only tables</w:t>
      </w:r>
      <w:r w:rsidRPr="00A935B6">
        <w:rPr>
          <w:rFonts w:ascii="Calibri" w:hAnsi="Calibri" w:cs="Calibri"/>
        </w:rPr>
        <w:t xml:space="preserve"> (FactSales, FactFinance, FactInventorySnapshot) use a plain INSERT. Each row is created once and never revisited — there are no lifecycle or status columns for a later run to update. Protection against accidental duplicate loads (e.g. a pipeline rerun after a partial failure) is provided by the same dbt uniqueness tests declared in Section 4 (</w:t>
      </w:r>
      <w:proofErr w:type="spellStart"/>
      <w:r w:rsidRPr="00A935B6">
        <w:rPr>
          <w:rFonts w:ascii="Calibri" w:hAnsi="Calibri" w:cs="Calibri"/>
        </w:rPr>
        <w:t>unique_combination_of_columns</w:t>
      </w:r>
      <w:proofErr w:type="spellEnd"/>
      <w:r w:rsidRPr="00A935B6">
        <w:rPr>
          <w:rFonts w:ascii="Calibri" w:hAnsi="Calibri" w:cs="Calibri"/>
        </w:rPr>
        <w:t xml:space="preserve"> on each table's degenerate identifier or grain columns), not by the load mechanism itself. A duplicate load fails the pipeline via FR-CCR-007's test gate rather than being silently prevented at insert time.</w:t>
      </w:r>
    </w:p>
    <w:p w14:paraId="14C2E6C8" w14:textId="77777777" w:rsidR="00A935B6" w:rsidRDefault="00A935B6" w:rsidP="00A935B6">
      <w:pPr>
        <w:pStyle w:val="ListParagraph"/>
        <w:numPr>
          <w:ilvl w:val="0"/>
          <w:numId w:val="17"/>
        </w:numPr>
        <w:tabs>
          <w:tab w:val="left" w:pos="1791"/>
        </w:tabs>
        <w:rPr>
          <w:rFonts w:ascii="Calibri" w:hAnsi="Calibri" w:cs="Calibri"/>
        </w:rPr>
      </w:pPr>
      <w:r w:rsidRPr="00A935B6">
        <w:rPr>
          <w:rFonts w:ascii="Calibri" w:hAnsi="Calibri" w:cs="Calibri"/>
          <w:b/>
          <w:bCs/>
        </w:rPr>
        <w:t>Accumulating snapshot tables</w:t>
      </w:r>
      <w:r w:rsidRPr="00A935B6">
        <w:rPr>
          <w:rFonts w:ascii="Calibri" w:hAnsi="Calibri" w:cs="Calibri"/>
        </w:rPr>
        <w:t xml:space="preserve"> (FactReplenishment, FactProcurement, FactContactHistory, FactSupplierContract) require a MERGE statement, matched on each table's declared unique constraint. When a match is found, the existing row's stage/status and duration columns are updated in place; when no match is found, a new row is inserted.</w:t>
      </w:r>
    </w:p>
    <w:p w14:paraId="66F7D0D9" w14:textId="0547ED76" w:rsidR="00A935B6" w:rsidRPr="00BA5C7B" w:rsidRDefault="00A935B6" w:rsidP="00A935B6">
      <w:pPr>
        <w:tabs>
          <w:tab w:val="left" w:pos="1791"/>
        </w:tabs>
        <w:rPr>
          <w:rFonts w:ascii="Calibri" w:hAnsi="Calibri" w:cs="Calibri"/>
          <w:b/>
          <w:bCs/>
        </w:rPr>
      </w:pPr>
      <w:r w:rsidRPr="00BA5C7B">
        <w:rPr>
          <w:rFonts w:ascii="Calibri" w:hAnsi="Calibri" w:cs="Calibri"/>
          <w:b/>
          <w:bCs/>
        </w:rPr>
        <w:t>Dimension loading – three distinct patterns:</w:t>
      </w:r>
    </w:p>
    <w:p w14:paraId="6E572832" w14:textId="77777777" w:rsidR="00BA5C7B" w:rsidRDefault="00BA5C7B" w:rsidP="00A935B6">
      <w:pPr>
        <w:pStyle w:val="ListParagraph"/>
        <w:numPr>
          <w:ilvl w:val="0"/>
          <w:numId w:val="18"/>
        </w:numPr>
        <w:tabs>
          <w:tab w:val="left" w:pos="1791"/>
        </w:tabs>
        <w:rPr>
          <w:rFonts w:ascii="Calibri" w:hAnsi="Calibri" w:cs="Calibri"/>
        </w:rPr>
      </w:pPr>
      <w:r w:rsidRPr="00BA5C7B">
        <w:rPr>
          <w:rFonts w:ascii="Calibri" w:hAnsi="Calibri" w:cs="Calibri"/>
          <w:b/>
          <w:bCs/>
        </w:rPr>
        <w:t>SCD Type 2</w:t>
      </w:r>
      <w:r w:rsidRPr="00BA5C7B">
        <w:rPr>
          <w:rFonts w:ascii="Calibri" w:hAnsi="Calibri" w:cs="Calibri"/>
        </w:rPr>
        <w:t xml:space="preserve"> (DimProduct, DimCustomer, DimStore, DimEmployee, DimSupplier, DimAccount): when a tracked attribute changes, the existing row must </w:t>
      </w:r>
      <w:r w:rsidRPr="00BA5C7B">
        <w:rPr>
          <w:rFonts w:ascii="Calibri" w:hAnsi="Calibri" w:cs="Calibri"/>
          <w:b/>
          <w:bCs/>
        </w:rPr>
        <w:t>not</w:t>
      </w:r>
      <w:r w:rsidRPr="00BA5C7B">
        <w:rPr>
          <w:rFonts w:ascii="Calibri" w:hAnsi="Calibri" w:cs="Calibri"/>
        </w:rPr>
        <w:t xml:space="preserve"> be overwritten — doing so would silently rewrite history for every fact row that referenced it. Instead, loading requires two steps: first, the existing current row is closed out (is_current = 0, effective_end_date set); second, a new row is inserted with the updated attribute values (is_current = 1, effective_start_date set, effective_end_date defaulted forward). A single MERGE cannot both update and insert against the same matched row, so this is implemented as two coordinated statements, not one. In practice, this pattern is commonly automated using </w:t>
      </w:r>
      <w:proofErr w:type="spellStart"/>
      <w:r w:rsidRPr="00BA5C7B">
        <w:rPr>
          <w:rFonts w:ascii="Calibri" w:hAnsi="Calibri" w:cs="Calibri"/>
        </w:rPr>
        <w:t>dbt's</w:t>
      </w:r>
      <w:proofErr w:type="spellEnd"/>
      <w:r w:rsidRPr="00BA5C7B">
        <w:rPr>
          <w:rFonts w:ascii="Calibri" w:hAnsi="Calibri" w:cs="Calibri"/>
        </w:rPr>
        <w:t xml:space="preserve"> built-in </w:t>
      </w:r>
      <w:r w:rsidRPr="00BA5C7B">
        <w:rPr>
          <w:rFonts w:ascii="Calibri" w:hAnsi="Calibri" w:cs="Calibri"/>
          <w:b/>
          <w:bCs/>
        </w:rPr>
        <w:t>snapshot</w:t>
      </w:r>
      <w:r w:rsidRPr="00BA5C7B">
        <w:rPr>
          <w:rFonts w:ascii="Calibri" w:hAnsi="Calibri" w:cs="Calibri"/>
        </w:rPr>
        <w:t xml:space="preserve"> feature, which handles the close-out/insert-new logic natively rather than requiring hand-written MERGE logic — the exact implementation is a Step 14 build decision, but the two-step mechanic described here is what any implementation must achieve.</w:t>
      </w:r>
    </w:p>
    <w:p w14:paraId="7BDD6D6B" w14:textId="77777777" w:rsidR="00BA5C7B" w:rsidRDefault="00BA5C7B" w:rsidP="00A935B6">
      <w:pPr>
        <w:pStyle w:val="ListParagraph"/>
        <w:numPr>
          <w:ilvl w:val="0"/>
          <w:numId w:val="18"/>
        </w:numPr>
        <w:tabs>
          <w:tab w:val="left" w:pos="1791"/>
        </w:tabs>
        <w:rPr>
          <w:rFonts w:ascii="Calibri" w:hAnsi="Calibri" w:cs="Calibri"/>
        </w:rPr>
      </w:pPr>
      <w:r w:rsidRPr="00BA5C7B">
        <w:rPr>
          <w:rFonts w:ascii="Calibri" w:hAnsi="Calibri" w:cs="Calibri"/>
          <w:b/>
          <w:bCs/>
        </w:rPr>
        <w:t>SCD Type 1</w:t>
      </w:r>
      <w:r w:rsidRPr="00BA5C7B">
        <w:rPr>
          <w:rFonts w:ascii="Calibri" w:hAnsi="Calibri" w:cs="Calibri"/>
        </w:rPr>
        <w:t xml:space="preserve"> (DimCampaign): straightforward overwrite-in-place via MERGE, no history preserved. Appropriate here because a campaign's attributes are fixed once launched — an actual change in campaign dates or budget creates an entirely new campaign row, not a revision of the old one, so there is nothing SCD Type 2 would meaningfully protect.</w:t>
      </w:r>
    </w:p>
    <w:p w14:paraId="06085051" w14:textId="77777777" w:rsidR="00BA5C7B" w:rsidRDefault="00BA5C7B" w:rsidP="00A935B6">
      <w:pPr>
        <w:pStyle w:val="ListParagraph"/>
        <w:numPr>
          <w:ilvl w:val="0"/>
          <w:numId w:val="18"/>
        </w:numPr>
        <w:tabs>
          <w:tab w:val="left" w:pos="1791"/>
        </w:tabs>
        <w:rPr>
          <w:rFonts w:ascii="Calibri" w:hAnsi="Calibri" w:cs="Calibri"/>
        </w:rPr>
      </w:pPr>
      <w:r w:rsidRPr="00BA5C7B">
        <w:rPr>
          <w:rFonts w:ascii="Calibri" w:hAnsi="Calibri" w:cs="Calibri"/>
          <w:b/>
          <w:bCs/>
        </w:rPr>
        <w:t>Static / load-once</w:t>
      </w:r>
      <w:r w:rsidRPr="00BA5C7B">
        <w:rPr>
          <w:rFonts w:ascii="Calibri" w:hAnsi="Calibri" w:cs="Calibri"/>
        </w:rPr>
        <w:t xml:space="preserve"> (DimDate, DimChannel): no ongoing extraction pipeline. DimDate is generated once as a full calendar range at platform setup; DimChannel (~7 rows) is manually maintained and updated only when a new channel is introduced. Neither requires a scheduled </w:t>
      </w:r>
      <w:proofErr w:type="gramStart"/>
      <w:r w:rsidRPr="00BA5C7B">
        <w:rPr>
          <w:rFonts w:ascii="Calibri" w:hAnsi="Calibri" w:cs="Calibri"/>
        </w:rPr>
        <w:t>Gold</w:t>
      </w:r>
      <w:proofErr w:type="gramEnd"/>
      <w:r w:rsidRPr="00BA5C7B">
        <w:rPr>
          <w:rFonts w:ascii="Calibri" w:hAnsi="Calibri" w:cs="Calibri"/>
        </w:rPr>
        <w:t xml:space="preserve"> load job.</w:t>
      </w:r>
    </w:p>
    <w:p w14:paraId="3D4E1BB7" w14:textId="77777777" w:rsidR="00BA5C7B" w:rsidRDefault="00BA5C7B" w:rsidP="00BA5C7B">
      <w:pPr>
        <w:tabs>
          <w:tab w:val="left" w:pos="1791"/>
        </w:tabs>
        <w:rPr>
          <w:rFonts w:ascii="Calibri" w:hAnsi="Calibri" w:cs="Calibri"/>
        </w:rPr>
      </w:pPr>
    </w:p>
    <w:p w14:paraId="501EDB04" w14:textId="41D902D2" w:rsidR="00A935B6" w:rsidRPr="00BA5C7B" w:rsidRDefault="00A935B6" w:rsidP="00BA5C7B">
      <w:pPr>
        <w:tabs>
          <w:tab w:val="left" w:pos="1791"/>
        </w:tabs>
        <w:rPr>
          <w:rFonts w:ascii="Calibri" w:hAnsi="Calibri" w:cs="Calibri"/>
        </w:rPr>
      </w:pPr>
      <w:r w:rsidRPr="00BA5C7B">
        <w:rPr>
          <w:rFonts w:ascii="Calibri" w:hAnsi="Calibri" w:cs="Calibri"/>
        </w:rPr>
        <w:br/>
      </w:r>
    </w:p>
    <w:p w14:paraId="3C062B04" w14:textId="77777777" w:rsidR="00A935B6" w:rsidRDefault="00A935B6" w:rsidP="00A935B6">
      <w:pPr>
        <w:tabs>
          <w:tab w:val="left" w:pos="1791"/>
        </w:tabs>
        <w:jc w:val="both"/>
        <w:rPr>
          <w:rFonts w:ascii="Calibri" w:hAnsi="Calibri" w:cs="Calibri"/>
        </w:rPr>
      </w:pPr>
    </w:p>
    <w:p w14:paraId="2F2575A1" w14:textId="77777777" w:rsidR="00A935B6" w:rsidRDefault="00A935B6" w:rsidP="00A935B6">
      <w:pPr>
        <w:tabs>
          <w:tab w:val="left" w:pos="1791"/>
        </w:tabs>
        <w:jc w:val="both"/>
        <w:rPr>
          <w:rFonts w:ascii="Calibri" w:hAnsi="Calibri" w:cs="Calibri"/>
        </w:rPr>
      </w:pPr>
    </w:p>
    <w:p w14:paraId="49D1132D" w14:textId="77777777" w:rsidR="00F7656A" w:rsidRDefault="00F7656A" w:rsidP="00A935B6">
      <w:pPr>
        <w:tabs>
          <w:tab w:val="left" w:pos="1791"/>
        </w:tabs>
        <w:jc w:val="both"/>
        <w:rPr>
          <w:rFonts w:ascii="Calibri" w:hAnsi="Calibri" w:cs="Calibri"/>
        </w:rPr>
      </w:pPr>
    </w:p>
    <w:p w14:paraId="56810B27" w14:textId="77777777" w:rsidR="00F7656A" w:rsidRDefault="00F7656A" w:rsidP="00A935B6">
      <w:pPr>
        <w:tabs>
          <w:tab w:val="left" w:pos="1791"/>
        </w:tabs>
        <w:jc w:val="both"/>
        <w:rPr>
          <w:rFonts w:ascii="Calibri" w:hAnsi="Calibri" w:cs="Calibri"/>
        </w:rPr>
      </w:pPr>
    </w:p>
    <w:p w14:paraId="1DBCDF81" w14:textId="77777777" w:rsidR="00F7656A" w:rsidRDefault="00F7656A" w:rsidP="00A935B6">
      <w:pPr>
        <w:tabs>
          <w:tab w:val="left" w:pos="1791"/>
        </w:tabs>
        <w:jc w:val="both"/>
        <w:rPr>
          <w:rFonts w:ascii="Calibri" w:hAnsi="Calibri" w:cs="Calibri"/>
        </w:rPr>
      </w:pPr>
    </w:p>
    <w:p w14:paraId="2F0A5740" w14:textId="77777777" w:rsidR="00F7656A" w:rsidRDefault="00F7656A" w:rsidP="00A935B6">
      <w:pPr>
        <w:tabs>
          <w:tab w:val="left" w:pos="1791"/>
        </w:tabs>
        <w:jc w:val="both"/>
        <w:rPr>
          <w:rFonts w:ascii="Calibri" w:hAnsi="Calibri" w:cs="Calibri"/>
        </w:rPr>
      </w:pPr>
    </w:p>
    <w:p w14:paraId="3F79757F" w14:textId="77777777" w:rsidR="00F7656A" w:rsidRDefault="00F7656A" w:rsidP="00A935B6">
      <w:pPr>
        <w:tabs>
          <w:tab w:val="left" w:pos="1791"/>
        </w:tabs>
        <w:jc w:val="both"/>
        <w:rPr>
          <w:rFonts w:ascii="Calibri" w:hAnsi="Calibri" w:cs="Calibri"/>
        </w:rPr>
      </w:pPr>
    </w:p>
    <w:p w14:paraId="786A41B6" w14:textId="2A188FF9" w:rsidR="00A935B6" w:rsidRPr="00430476" w:rsidRDefault="00F7656A" w:rsidP="00A935B6">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Error Handling and Alerting</w:t>
      </w:r>
    </w:p>
    <w:p w14:paraId="3D20FD9E" w14:textId="42D3A21C" w:rsidR="001830D7" w:rsidRDefault="00F41E85" w:rsidP="00674D58">
      <w:pPr>
        <w:tabs>
          <w:tab w:val="left" w:pos="1791"/>
        </w:tabs>
        <w:rPr>
          <w:rFonts w:ascii="Calibri" w:hAnsi="Calibri" w:cs="Calibri"/>
        </w:rPr>
      </w:pPr>
      <w:r w:rsidRPr="00F41E85">
        <w:rPr>
          <w:rFonts w:ascii="Calibri" w:hAnsi="Calibri" w:cs="Calibri"/>
        </w:rPr>
        <w:t>Satisfies FR-CCR-006: no silent failures — every pipeline error is detected, logged, and alerted with what failed, where, what data is affected, and recommended next steps, linked to a troubleshooting runbook.</w:t>
      </w:r>
    </w:p>
    <w:p w14:paraId="70DCF1F1" w14:textId="2F88BBC0" w:rsidR="00F41E85" w:rsidRDefault="00F41E85" w:rsidP="00674D58">
      <w:pPr>
        <w:tabs>
          <w:tab w:val="left" w:pos="1791"/>
        </w:tabs>
        <w:rPr>
          <w:rFonts w:ascii="Calibri" w:hAnsi="Calibri" w:cs="Calibri"/>
          <w:i/>
          <w:iCs/>
        </w:rPr>
      </w:pPr>
      <w:r w:rsidRPr="00F41E85">
        <w:rPr>
          <w:rFonts w:ascii="Calibri" w:hAnsi="Calibri" w:cs="Calibri"/>
          <w:b/>
          <w:bCs/>
        </w:rPr>
        <w:t>Routing:</w:t>
      </w:r>
      <w:r w:rsidRPr="00F41E85">
        <w:rPr>
          <w:rFonts w:ascii="Calibri" w:hAnsi="Calibri" w:cs="Calibri"/>
        </w:rPr>
        <w:t xml:space="preserve"> All pipeline failures alert the data engineering team first — the team positioned to diagnose and resolve the technical fault. Domain owners (Sipho, Zanele, Rethabile, Priya, Johan) are not first-line recipients of routine pipeline alerts; they are escalated to when a failure meets defined escalation criteria — specifically, when a failure is not resolved within its layer's expected recovery window, or when a failure directly affects </w:t>
      </w:r>
      <w:r w:rsidR="00186089" w:rsidRPr="00F41E85">
        <w:rPr>
          <w:rFonts w:ascii="Calibri" w:hAnsi="Calibri" w:cs="Calibri"/>
        </w:rPr>
        <w:t>data,</w:t>
      </w:r>
      <w:r w:rsidRPr="00F41E85">
        <w:rPr>
          <w:rFonts w:ascii="Calibri" w:hAnsi="Calibri" w:cs="Calibri"/>
        </w:rPr>
        <w:t xml:space="preserve"> those owners are actively relying on for a time-sensitive decision. </w:t>
      </w:r>
      <w:r w:rsidRPr="00F41E85">
        <w:rPr>
          <w:rFonts w:ascii="Calibri" w:hAnsi="Calibri" w:cs="Calibri"/>
          <w:i/>
          <w:iCs/>
        </w:rPr>
        <w:t xml:space="preserve">Exact escalation thresholds (time-based, domain-based, or both) are a Step 14 build </w:t>
      </w:r>
      <w:r w:rsidR="00186089" w:rsidRPr="00F41E85">
        <w:rPr>
          <w:rFonts w:ascii="Calibri" w:hAnsi="Calibri" w:cs="Calibri"/>
          <w:i/>
          <w:iCs/>
        </w:rPr>
        <w:t>decision;</w:t>
      </w:r>
      <w:r w:rsidRPr="00F41E85">
        <w:rPr>
          <w:rFonts w:ascii="Calibri" w:hAnsi="Calibri" w:cs="Calibri"/>
          <w:i/>
          <w:iCs/>
        </w:rPr>
        <w:t xml:space="preserve"> to be confirmed once real failure patterns are observed during testing.</w:t>
      </w:r>
    </w:p>
    <w:p w14:paraId="768A55E5" w14:textId="2313620B" w:rsidR="00F41E85" w:rsidRDefault="00F41E85" w:rsidP="00674D58">
      <w:pPr>
        <w:tabs>
          <w:tab w:val="left" w:pos="1791"/>
        </w:tabs>
        <w:rPr>
          <w:rFonts w:ascii="Calibri" w:hAnsi="Calibri" w:cs="Calibri"/>
        </w:rPr>
      </w:pPr>
      <w:r w:rsidRPr="00F41E85">
        <w:rPr>
          <w:rFonts w:ascii="Calibri" w:hAnsi="Calibri" w:cs="Calibri"/>
          <w:b/>
          <w:bCs/>
        </w:rPr>
        <w:t>FR-FIN-005 exception — backdated posting alerts:</w:t>
      </w:r>
      <w:r w:rsidRPr="00F41E85">
        <w:rPr>
          <w:rFonts w:ascii="Calibri" w:hAnsi="Calibri" w:cs="Calibri"/>
        </w:rPr>
        <w:t xml:space="preserve"> This requirement carries a stricter, named SLA distinct from FR-CCR-006's general pattern: backdated GL postings must alert </w:t>
      </w:r>
      <w:r w:rsidRPr="00F41E85">
        <w:rPr>
          <w:rFonts w:ascii="Calibri" w:hAnsi="Calibri" w:cs="Calibri"/>
          <w:b/>
          <w:bCs/>
        </w:rPr>
        <w:t>within 1 hour</w:t>
      </w:r>
      <w:r w:rsidRPr="00F41E85">
        <w:rPr>
          <w:rFonts w:ascii="Calibri" w:hAnsi="Calibri" w:cs="Calibri"/>
        </w:rPr>
        <w:t>, routed directly to Johan's team rather than following the standard engineer-first routing above, since this is a business-rule alert (a compliance/audit concern) rather than a technical pipeline failure. This exception must be demonstrated and explicitly approved by Johan during Step 14 testing before being considered satisfied — not just built and assumed correct.</w:t>
      </w:r>
    </w:p>
    <w:p w14:paraId="111DB71F" w14:textId="26526CBB" w:rsidR="00F41E85" w:rsidRDefault="00F41E85" w:rsidP="00674D58">
      <w:pPr>
        <w:tabs>
          <w:tab w:val="left" w:pos="1791"/>
        </w:tabs>
        <w:rPr>
          <w:rFonts w:ascii="Calibri" w:hAnsi="Calibri" w:cs="Calibri"/>
        </w:rPr>
      </w:pPr>
      <w:r w:rsidRPr="00F41E85">
        <w:rPr>
          <w:rFonts w:ascii="Calibri" w:hAnsi="Calibri" w:cs="Calibri"/>
          <w:b/>
          <w:bCs/>
        </w:rPr>
        <w:t>Runbook:</w:t>
      </w:r>
      <w:r w:rsidRPr="00F41E85">
        <w:rPr>
          <w:rFonts w:ascii="Calibri" w:hAnsi="Calibri" w:cs="Calibri"/>
        </w:rPr>
        <w:t xml:space="preserve"> FR-CCR-006 requires every alert to link to a troubleshooting runbook. The runbook itself is not authored in this document — the specific failure modes it needs to cover are not yet known, and premature authoring risks documenting scenarios that don't match what testing actually surfaces. The runbook is a required Step 14 build artifact, developed iteratively as real failures are encountered and diagnosed during pipeline build and testing.</w:t>
      </w:r>
    </w:p>
    <w:p w14:paraId="28E2F27C" w14:textId="77777777" w:rsidR="00EA3B59" w:rsidRDefault="00EA3B59" w:rsidP="00674D58">
      <w:pPr>
        <w:tabs>
          <w:tab w:val="left" w:pos="1791"/>
        </w:tabs>
        <w:rPr>
          <w:rFonts w:ascii="Calibri" w:hAnsi="Calibri" w:cs="Calibri"/>
        </w:rPr>
      </w:pPr>
    </w:p>
    <w:p w14:paraId="06D4B730" w14:textId="77777777" w:rsidR="00F41E85" w:rsidRDefault="00F41E85" w:rsidP="00674D58">
      <w:pPr>
        <w:tabs>
          <w:tab w:val="left" w:pos="1791"/>
        </w:tabs>
        <w:rPr>
          <w:rFonts w:ascii="Calibri" w:hAnsi="Calibri" w:cs="Calibri"/>
          <w:lang w:val="en-US"/>
        </w:rPr>
      </w:pPr>
    </w:p>
    <w:p w14:paraId="267340E2" w14:textId="768FE7A7" w:rsidR="008C5969" w:rsidRPr="00F96720" w:rsidRDefault="00EA3B59" w:rsidP="008C5969">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Reconciliation Framework</w:t>
      </w:r>
    </w:p>
    <w:p w14:paraId="758606B2" w14:textId="0027DCB8" w:rsidR="00D539B5" w:rsidRDefault="00F96720" w:rsidP="006174BD">
      <w:pPr>
        <w:tabs>
          <w:tab w:val="left" w:pos="1791"/>
        </w:tabs>
        <w:rPr>
          <w:rFonts w:ascii="Calibri" w:hAnsi="Calibri" w:cs="Calibri"/>
        </w:rPr>
      </w:pPr>
      <w:r w:rsidRPr="00F96720">
        <w:rPr>
          <w:rFonts w:ascii="Calibri" w:hAnsi="Calibri" w:cs="Calibri"/>
        </w:rPr>
        <w:t>Satisfies FR-CCR-005: automated reconciliation checks at every layer boundary, daily variance reports, pipeline stops on failure.</w:t>
      </w:r>
    </w:p>
    <w:p w14:paraId="677CF5D2" w14:textId="42C29FF6" w:rsidR="00F96720" w:rsidRDefault="00E5115D" w:rsidP="006174BD">
      <w:pPr>
        <w:tabs>
          <w:tab w:val="left" w:pos="1791"/>
        </w:tabs>
        <w:rPr>
          <w:rFonts w:ascii="Calibri" w:hAnsi="Calibri" w:cs="Calibri"/>
        </w:rPr>
      </w:pPr>
      <w:r w:rsidRPr="00E5115D">
        <w:rPr>
          <w:rFonts w:ascii="Calibri" w:hAnsi="Calibri" w:cs="Calibri"/>
        </w:rPr>
        <w:t xml:space="preserve">Reconciliation runs at each layer boundary. </w:t>
      </w:r>
      <w:r w:rsidRPr="00E5115D">
        <w:rPr>
          <w:rFonts w:ascii="Calibri" w:hAnsi="Calibri" w:cs="Calibri"/>
          <w:b/>
          <w:bCs/>
        </w:rPr>
        <w:t>Bronze to Silver:</w:t>
      </w:r>
      <w:r w:rsidRPr="00E5115D">
        <w:rPr>
          <w:rFonts w:ascii="Calibri" w:hAnsi="Calibri" w:cs="Calibri"/>
        </w:rPr>
        <w:t xml:space="preserve"> Bronze count = Silver count + logged rejected rows (rejected rows are written to a reject table with a reason, never dropped silently). </w:t>
      </w:r>
      <w:r w:rsidRPr="00E5115D">
        <w:rPr>
          <w:rFonts w:ascii="Calibri" w:hAnsi="Calibri" w:cs="Calibri"/>
          <w:b/>
          <w:bCs/>
        </w:rPr>
        <w:t>Silver to Gold:</w:t>
      </w:r>
      <w:r w:rsidRPr="00E5115D">
        <w:rPr>
          <w:rFonts w:ascii="Calibri" w:hAnsi="Calibri" w:cs="Calibri"/>
        </w:rPr>
        <w:t xml:space="preserve"> the method varies by table type, not row counts alone:</w:t>
      </w:r>
    </w:p>
    <w:p w14:paraId="5C1B41BC" w14:textId="1F8036F3" w:rsidR="00F96720" w:rsidRPr="00F96720" w:rsidRDefault="00F96720" w:rsidP="00F96720">
      <w:pPr>
        <w:pStyle w:val="ListParagraph"/>
        <w:numPr>
          <w:ilvl w:val="0"/>
          <w:numId w:val="19"/>
        </w:numPr>
        <w:tabs>
          <w:tab w:val="left" w:pos="1791"/>
        </w:tabs>
        <w:rPr>
          <w:rFonts w:ascii="Calibri" w:hAnsi="Calibri" w:cs="Calibri"/>
          <w:lang w:val="en-US"/>
        </w:rPr>
      </w:pPr>
      <w:r w:rsidRPr="00F96720">
        <w:rPr>
          <w:rFonts w:ascii="Calibri" w:hAnsi="Calibri" w:cs="Calibri"/>
          <w:b/>
          <w:bCs/>
        </w:rPr>
        <w:t>Insert-only tables</w:t>
      </w:r>
      <w:r w:rsidRPr="00F96720">
        <w:rPr>
          <w:rFonts w:ascii="Calibri" w:hAnsi="Calibri" w:cs="Calibri"/>
        </w:rPr>
        <w:t xml:space="preserve"> (FactSales, FactInventorySnapshot): row-count reconciliation </w:t>
      </w:r>
      <w:r w:rsidR="00E5115D" w:rsidRPr="00E5115D">
        <w:rPr>
          <w:rFonts w:ascii="Calibri" w:hAnsi="Calibri" w:cs="Calibri"/>
        </w:rPr>
        <w:t>between Silver and Gold</w:t>
      </w:r>
      <w:r w:rsidR="00E5115D">
        <w:rPr>
          <w:rFonts w:ascii="Calibri" w:hAnsi="Calibri" w:cs="Calibri"/>
        </w:rPr>
        <w:t xml:space="preserve"> </w:t>
      </w:r>
      <w:r w:rsidRPr="00F96720">
        <w:rPr>
          <w:rFonts w:ascii="Calibri" w:hAnsi="Calibri" w:cs="Calibri"/>
        </w:rPr>
        <w:t xml:space="preserve">is a valid first check, since </w:t>
      </w:r>
      <w:r w:rsidR="00E5115D" w:rsidRPr="00E5115D">
        <w:rPr>
          <w:rFonts w:ascii="Calibri" w:hAnsi="Calibri" w:cs="Calibri"/>
        </w:rPr>
        <w:t>each Silver row loads to exactly one Gold row</w:t>
      </w:r>
      <w:r w:rsidRPr="00F96720">
        <w:rPr>
          <w:rFonts w:ascii="Calibri" w:hAnsi="Calibri" w:cs="Calibri"/>
        </w:rPr>
        <w:t>.</w:t>
      </w:r>
    </w:p>
    <w:p w14:paraId="52AE47B5" w14:textId="186AE187" w:rsidR="00F96720" w:rsidRPr="00F96720" w:rsidRDefault="00F96720" w:rsidP="00F96720">
      <w:pPr>
        <w:pStyle w:val="ListParagraph"/>
        <w:numPr>
          <w:ilvl w:val="0"/>
          <w:numId w:val="19"/>
        </w:numPr>
        <w:tabs>
          <w:tab w:val="left" w:pos="1791"/>
        </w:tabs>
        <w:rPr>
          <w:rFonts w:ascii="Calibri" w:hAnsi="Calibri" w:cs="Calibri"/>
          <w:lang w:val="en-US"/>
        </w:rPr>
      </w:pPr>
      <w:r w:rsidRPr="00F96720">
        <w:rPr>
          <w:rFonts w:ascii="Calibri" w:hAnsi="Calibri" w:cs="Calibri"/>
          <w:b/>
          <w:bCs/>
        </w:rPr>
        <w:t>FactFinance and other monetary tables:</w:t>
      </w:r>
      <w:r w:rsidRPr="00F96720">
        <w:rPr>
          <w:rFonts w:ascii="Calibri" w:hAnsi="Calibri" w:cs="Calibri"/>
        </w:rPr>
        <w:t xml:space="preserve"> row counts are insufficient for audit purposes. Reconciliation compares </w:t>
      </w:r>
      <w:r w:rsidRPr="00F96720">
        <w:rPr>
          <w:rFonts w:ascii="Calibri" w:hAnsi="Calibri" w:cs="Calibri"/>
          <w:b/>
          <w:bCs/>
        </w:rPr>
        <w:t>control totals</w:t>
      </w:r>
      <w:r w:rsidRPr="00F96720">
        <w:rPr>
          <w:rFonts w:ascii="Calibri" w:hAnsi="Calibri" w:cs="Calibri"/>
        </w:rPr>
        <w:t xml:space="preserve"> — e.g. sum of </w:t>
      </w:r>
      <w:proofErr w:type="spellStart"/>
      <w:r w:rsidRPr="00CD345A">
        <w:rPr>
          <w:rFonts w:ascii="Calibri" w:hAnsi="Calibri" w:cs="Calibri"/>
          <w:b/>
          <w:bCs/>
        </w:rPr>
        <w:t>debit_amount</w:t>
      </w:r>
      <w:proofErr w:type="spellEnd"/>
      <w:r w:rsidRPr="00F96720">
        <w:rPr>
          <w:rFonts w:ascii="Calibri" w:hAnsi="Calibri" w:cs="Calibri"/>
        </w:rPr>
        <w:t xml:space="preserve"> in </w:t>
      </w:r>
      <w:r w:rsidR="00E5115D">
        <w:rPr>
          <w:rFonts w:ascii="Calibri" w:hAnsi="Calibri" w:cs="Calibri"/>
        </w:rPr>
        <w:t>Silver</w:t>
      </w:r>
      <w:r w:rsidRPr="00F96720">
        <w:rPr>
          <w:rFonts w:ascii="Calibri" w:hAnsi="Calibri" w:cs="Calibri"/>
        </w:rPr>
        <w:t xml:space="preserve"> versus sum of </w:t>
      </w:r>
      <w:proofErr w:type="spellStart"/>
      <w:r w:rsidRPr="00CD345A">
        <w:rPr>
          <w:rFonts w:ascii="Calibri" w:hAnsi="Calibri" w:cs="Calibri"/>
          <w:b/>
          <w:bCs/>
        </w:rPr>
        <w:t>debit_amount</w:t>
      </w:r>
      <w:proofErr w:type="spellEnd"/>
      <w:r w:rsidRPr="00F96720">
        <w:rPr>
          <w:rFonts w:ascii="Calibri" w:hAnsi="Calibri" w:cs="Calibri"/>
        </w:rPr>
        <w:t xml:space="preserve"> in Gold for the same period — not individual row values. This satisfies the audit trail requirement (every reported number traceable to source, FR-CCR-001) without the performance cost of comparing every value cell-by-cell.</w:t>
      </w:r>
    </w:p>
    <w:p w14:paraId="2CE9A62B" w14:textId="4BB86C9E" w:rsidR="00F96720" w:rsidRPr="00CD345A" w:rsidRDefault="00CD345A" w:rsidP="00F96720">
      <w:pPr>
        <w:pStyle w:val="ListParagraph"/>
        <w:numPr>
          <w:ilvl w:val="0"/>
          <w:numId w:val="19"/>
        </w:numPr>
        <w:tabs>
          <w:tab w:val="left" w:pos="1791"/>
        </w:tabs>
        <w:rPr>
          <w:rFonts w:ascii="Calibri" w:hAnsi="Calibri" w:cs="Calibri"/>
          <w:lang w:val="en-US"/>
        </w:rPr>
      </w:pPr>
      <w:r w:rsidRPr="00CD345A">
        <w:rPr>
          <w:rFonts w:ascii="Calibri" w:hAnsi="Calibri" w:cs="Calibri"/>
          <w:b/>
          <w:bCs/>
        </w:rPr>
        <w:t>Accumulating snapshot tables</w:t>
      </w:r>
      <w:r w:rsidRPr="00CD345A">
        <w:rPr>
          <w:rFonts w:ascii="Calibri" w:hAnsi="Calibri" w:cs="Calibri"/>
        </w:rPr>
        <w:t xml:space="preserve"> (FactReplenishment, FactProcurement, FactContactHistory, FactSupplierContract): row-count reconciliation is not meaningful here — a single business key (e.g. one purchase order) may generate multiple </w:t>
      </w:r>
      <w:proofErr w:type="gramStart"/>
      <w:r w:rsidRPr="00CD345A">
        <w:rPr>
          <w:rFonts w:ascii="Calibri" w:hAnsi="Calibri" w:cs="Calibri"/>
        </w:rPr>
        <w:t>Bronze</w:t>
      </w:r>
      <w:proofErr w:type="gramEnd"/>
      <w:r w:rsidRPr="00CD345A">
        <w:rPr>
          <w:rFonts w:ascii="Calibri" w:hAnsi="Calibri" w:cs="Calibri"/>
        </w:rPr>
        <w:t xml:space="preserve"> extracts across its lifecycle but only one current </w:t>
      </w:r>
      <w:proofErr w:type="gramStart"/>
      <w:r w:rsidRPr="00CD345A">
        <w:rPr>
          <w:rFonts w:ascii="Calibri" w:hAnsi="Calibri" w:cs="Calibri"/>
        </w:rPr>
        <w:t>Gold</w:t>
      </w:r>
      <w:proofErr w:type="gramEnd"/>
      <w:r w:rsidRPr="00CD345A">
        <w:rPr>
          <w:rFonts w:ascii="Calibri" w:hAnsi="Calibri" w:cs="Calibri"/>
        </w:rPr>
        <w:t xml:space="preserve"> row. Reconciliation instead confirms that Gold's current state matches the </w:t>
      </w:r>
      <w:r w:rsidR="00E5115D" w:rsidRPr="00E5115D">
        <w:rPr>
          <w:rFonts w:ascii="Calibri" w:hAnsi="Calibri" w:cs="Calibri"/>
          <w:b/>
          <w:bCs/>
        </w:rPr>
        <w:t xml:space="preserve">most recent </w:t>
      </w:r>
      <w:proofErr w:type="gramStart"/>
      <w:r w:rsidR="00E5115D" w:rsidRPr="00E5115D">
        <w:rPr>
          <w:rFonts w:ascii="Calibri" w:hAnsi="Calibri" w:cs="Calibri"/>
          <w:b/>
          <w:bCs/>
        </w:rPr>
        <w:t>Silver</w:t>
      </w:r>
      <w:proofErr w:type="gramEnd"/>
      <w:r w:rsidR="00E5115D" w:rsidRPr="00E5115D">
        <w:rPr>
          <w:rFonts w:ascii="Calibri" w:hAnsi="Calibri" w:cs="Calibri"/>
          <w:b/>
          <w:bCs/>
        </w:rPr>
        <w:t xml:space="preserve"> state per business key</w:t>
      </w:r>
      <w:r w:rsidRPr="00CD345A">
        <w:rPr>
          <w:rFonts w:ascii="Calibri" w:hAnsi="Calibri" w:cs="Calibri"/>
        </w:rPr>
        <w:t xml:space="preserve">, validated via control totals (e.g. sum of </w:t>
      </w:r>
      <w:proofErr w:type="spellStart"/>
      <w:r w:rsidRPr="00E24DCE">
        <w:rPr>
          <w:rFonts w:ascii="Calibri" w:hAnsi="Calibri" w:cs="Calibri"/>
          <w:b/>
          <w:bCs/>
        </w:rPr>
        <w:t>total_order_value</w:t>
      </w:r>
      <w:proofErr w:type="spellEnd"/>
      <w:r w:rsidRPr="00CD345A">
        <w:rPr>
          <w:rFonts w:ascii="Calibri" w:hAnsi="Calibri" w:cs="Calibri"/>
        </w:rPr>
        <w:t xml:space="preserve"> across all currently open orders) rather than per-key inspection.</w:t>
      </w:r>
    </w:p>
    <w:p w14:paraId="3DA92884" w14:textId="0C180C41" w:rsidR="00CD345A" w:rsidRDefault="00CD345A" w:rsidP="00CD345A">
      <w:pPr>
        <w:tabs>
          <w:tab w:val="left" w:pos="1791"/>
        </w:tabs>
        <w:rPr>
          <w:rFonts w:ascii="Calibri" w:hAnsi="Calibri" w:cs="Calibri"/>
        </w:rPr>
      </w:pPr>
      <w:r w:rsidRPr="00CD345A">
        <w:rPr>
          <w:rFonts w:ascii="Calibri" w:hAnsi="Calibri" w:cs="Calibri"/>
          <w:b/>
          <w:bCs/>
        </w:rPr>
        <w:t>Failure isolation:</w:t>
      </w:r>
      <w:r w:rsidRPr="00CD345A">
        <w:rPr>
          <w:rFonts w:ascii="Calibri" w:hAnsi="Calibri" w:cs="Calibri"/>
        </w:rPr>
        <w:t xml:space="preserve"> Each of the six business domains runs as an independently orchestrated ADF pipeline. A reconciliation failure halts only the affected domain's </w:t>
      </w:r>
      <w:proofErr w:type="gramStart"/>
      <w:r w:rsidRPr="00CD345A">
        <w:rPr>
          <w:rFonts w:ascii="Calibri" w:hAnsi="Calibri" w:cs="Calibri"/>
        </w:rPr>
        <w:t>Gold</w:t>
      </w:r>
      <w:proofErr w:type="gramEnd"/>
      <w:r w:rsidRPr="00CD345A">
        <w:rPr>
          <w:rFonts w:ascii="Calibri" w:hAnsi="Calibri" w:cs="Calibri"/>
        </w:rPr>
        <w:t xml:space="preserve"> load — it does not stop the platform's other five domains </w:t>
      </w:r>
      <w:r w:rsidRPr="00CD345A">
        <w:rPr>
          <w:rFonts w:ascii="Calibri" w:hAnsi="Calibri" w:cs="Calibri"/>
        </w:rPr>
        <w:lastRenderedPageBreak/>
        <w:t>from loading normally. This contains the blast radius of any single failure and allows unaffected domains' reporting to continue while the failing domain is investigated.</w:t>
      </w:r>
    </w:p>
    <w:p w14:paraId="75CC6A5B" w14:textId="30D3A2AF" w:rsidR="00CD345A" w:rsidRDefault="00CD345A" w:rsidP="00CD345A">
      <w:pPr>
        <w:tabs>
          <w:tab w:val="left" w:pos="1791"/>
        </w:tabs>
        <w:rPr>
          <w:rFonts w:ascii="Calibri" w:hAnsi="Calibri" w:cs="Calibri"/>
        </w:rPr>
      </w:pPr>
      <w:r w:rsidRPr="00CD345A">
        <w:rPr>
          <w:rFonts w:ascii="Calibri" w:hAnsi="Calibri" w:cs="Calibri"/>
          <w:b/>
          <w:bCs/>
        </w:rPr>
        <w:t>Variance reporting:</w:t>
      </w:r>
      <w:r w:rsidRPr="00CD345A">
        <w:rPr>
          <w:rFonts w:ascii="Calibri" w:hAnsi="Calibri" w:cs="Calibri"/>
        </w:rPr>
        <w:t xml:space="preserve"> Daily variance reports are generated regardless of pass/fail outcome, giving Johan's team (and other domain owners) visibility into reconciliation health over time, not just at the moment of failure.</w:t>
      </w:r>
      <w:r w:rsidR="006E640A">
        <w:rPr>
          <w:rFonts w:ascii="Calibri" w:hAnsi="Calibri" w:cs="Calibri"/>
        </w:rPr>
        <w:t xml:space="preserve"> </w:t>
      </w:r>
      <w:r w:rsidR="006E640A" w:rsidRPr="006E640A">
        <w:rPr>
          <w:rFonts w:ascii="Calibri" w:hAnsi="Calibri" w:cs="Calibri"/>
        </w:rPr>
        <w:t>Sales-to-Finance reconciliation specifically depends on both domains' pipelines having completed for the day — SAP ECC's GL revenue entries arrive independently of RetailSphere's own Sales pipeline (BDR-001 confirms no source-system interface connects them), so the comparison itself, not either pipeline's load, is what requires both to finish first. The daily variance report for this specific comparison is timed accordingly, evaluated only after both domains report complete.</w:t>
      </w:r>
    </w:p>
    <w:p w14:paraId="3B85C622" w14:textId="77777777" w:rsidR="00E24DCE" w:rsidRPr="00CD345A" w:rsidRDefault="00E24DCE" w:rsidP="00CD345A">
      <w:pPr>
        <w:tabs>
          <w:tab w:val="left" w:pos="1791"/>
        </w:tabs>
        <w:rPr>
          <w:rFonts w:ascii="Calibri" w:hAnsi="Calibri" w:cs="Calibri"/>
          <w:lang w:val="en-US"/>
        </w:rPr>
      </w:pPr>
    </w:p>
    <w:p w14:paraId="499AD312" w14:textId="77777777" w:rsidR="00F96720" w:rsidRDefault="00F96720" w:rsidP="006174BD">
      <w:pPr>
        <w:tabs>
          <w:tab w:val="left" w:pos="1791"/>
        </w:tabs>
        <w:rPr>
          <w:rFonts w:ascii="Calibri" w:hAnsi="Calibri" w:cs="Calibri"/>
          <w:lang w:val="en-US"/>
        </w:rPr>
      </w:pPr>
    </w:p>
    <w:p w14:paraId="4353083F" w14:textId="77777777" w:rsidR="00F96720" w:rsidRDefault="00F96720" w:rsidP="006174BD">
      <w:pPr>
        <w:tabs>
          <w:tab w:val="left" w:pos="1791"/>
        </w:tabs>
        <w:rPr>
          <w:rFonts w:ascii="Calibri" w:hAnsi="Calibri" w:cs="Calibri"/>
          <w:lang w:val="en-US"/>
        </w:rPr>
      </w:pPr>
    </w:p>
    <w:p w14:paraId="19D5B2A2" w14:textId="103BE131" w:rsidR="00EA3B59" w:rsidRPr="00442AB6" w:rsidRDefault="00EA3B59" w:rsidP="00EA3B59">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POPIA Opt-out Propagation</w:t>
      </w:r>
    </w:p>
    <w:p w14:paraId="0D49F9AD" w14:textId="375D1F48" w:rsidR="00D539B5" w:rsidRDefault="00A3235C" w:rsidP="006174BD">
      <w:pPr>
        <w:tabs>
          <w:tab w:val="left" w:pos="1791"/>
        </w:tabs>
        <w:rPr>
          <w:rFonts w:ascii="Calibri" w:hAnsi="Calibri" w:cs="Calibri"/>
        </w:rPr>
      </w:pPr>
      <w:r w:rsidRPr="00A3235C">
        <w:rPr>
          <w:rFonts w:ascii="Calibri" w:hAnsi="Calibri" w:cs="Calibri"/>
        </w:rPr>
        <w:t>Satisfies FR-CUS-002 / FR-CCR-008: opt-out events propagated across all four marketing systems within four hours of the opt-out occurring — a non-negotiable POPIA legal obligation, distinct from Priya's Rule 4 same-day breach alert (Section 3), which addresses contact-cap breaches, not opt-out status.</w:t>
      </w:r>
    </w:p>
    <w:p w14:paraId="33F40043" w14:textId="5F3BD58B" w:rsidR="00A3235C" w:rsidRDefault="00A3235C" w:rsidP="006174BD">
      <w:pPr>
        <w:tabs>
          <w:tab w:val="left" w:pos="1791"/>
        </w:tabs>
        <w:rPr>
          <w:rFonts w:ascii="Calibri" w:hAnsi="Calibri" w:cs="Calibri"/>
        </w:rPr>
      </w:pPr>
      <w:r w:rsidRPr="00A3235C">
        <w:rPr>
          <w:rFonts w:ascii="Calibri" w:hAnsi="Calibri" w:cs="Calibri"/>
        </w:rPr>
        <w:t>Correction: Section 3's earlier reference to "FR-CUS-008" was an error — that requirement does not exist. The same-day breach alert reasoning in Section 3 correctly applies to Priya's Rule 4 (tied to FR-CUS-001's contact cap enforcement), not to opt-out propagation. This section addresses the separate FR-CUS-002/FR-CCR-008 requirement.</w:t>
      </w:r>
    </w:p>
    <w:p w14:paraId="0BDCACD5" w14:textId="024A80EA" w:rsidR="00A3235C" w:rsidRDefault="00A3235C" w:rsidP="006174BD">
      <w:pPr>
        <w:tabs>
          <w:tab w:val="left" w:pos="1791"/>
        </w:tabs>
        <w:rPr>
          <w:rFonts w:ascii="Calibri" w:hAnsi="Calibri" w:cs="Calibri"/>
        </w:rPr>
      </w:pPr>
      <w:r w:rsidRPr="00A3235C">
        <w:rPr>
          <w:rFonts w:ascii="Calibri" w:hAnsi="Calibri" w:cs="Calibri"/>
          <w:b/>
          <w:bCs/>
        </w:rPr>
        <w:t>Detection and propagation:</w:t>
      </w:r>
      <w:r w:rsidRPr="00A3235C">
        <w:rPr>
          <w:rFonts w:ascii="Calibri" w:hAnsi="Calibri" w:cs="Calibri"/>
        </w:rPr>
        <w:t xml:space="preserve"> An opt-out can originate in any of the four systems — a Marketing Cloud unsubscribe link, a Salesforce CRM call </w:t>
      </w:r>
      <w:proofErr w:type="spellStart"/>
      <w:r w:rsidRPr="00A3235C">
        <w:rPr>
          <w:rFonts w:ascii="Calibri" w:hAnsi="Calibri" w:cs="Calibri"/>
        </w:rPr>
        <w:t>center</w:t>
      </w:r>
      <w:proofErr w:type="spellEnd"/>
      <w:r w:rsidRPr="00A3235C">
        <w:rPr>
          <w:rFonts w:ascii="Calibri" w:hAnsi="Calibri" w:cs="Calibri"/>
        </w:rPr>
        <w:t xml:space="preserve"> entry, a Meta ad preference change, or a GA4/website preference update. Rather than tracking origin and propagating only to the remaining three, the pipeline checks all four systems for new opt-out events and writes the opt-out status to all four — including the system where it originated — guaranteeing consistency without requiring origin-detection logic.</w:t>
      </w:r>
    </w:p>
    <w:p w14:paraId="2F1AB9D9" w14:textId="19D0EC4B" w:rsidR="00A3235C" w:rsidRDefault="00A3235C" w:rsidP="006174BD">
      <w:pPr>
        <w:tabs>
          <w:tab w:val="left" w:pos="1791"/>
        </w:tabs>
        <w:rPr>
          <w:rFonts w:ascii="Calibri" w:hAnsi="Calibri" w:cs="Calibri"/>
        </w:rPr>
      </w:pPr>
      <w:r w:rsidRPr="00A3235C">
        <w:rPr>
          <w:rFonts w:ascii="Calibri" w:hAnsi="Calibri" w:cs="Calibri"/>
          <w:b/>
          <w:bCs/>
        </w:rPr>
        <w:t>Schedule:</w:t>
      </w:r>
      <w:r w:rsidRPr="00A3235C">
        <w:rPr>
          <w:rFonts w:ascii="Calibri" w:hAnsi="Calibri" w:cs="Calibri"/>
        </w:rPr>
        <w:t xml:space="preserve"> This runs on its own dedicated hourly schedule, separate from the 4-hourly Meta/GA4 ingestion job established in Section 3. Hourly detection leaves sufficient time budget within the 4-hour maximum to confirm propagation across all four systems, satisfying FR-CUS-002's stated "hourly batch minimum" frequency requirement.</w:t>
      </w:r>
    </w:p>
    <w:p w14:paraId="7BC5EA9F" w14:textId="00CE8ACF" w:rsidR="00A3235C" w:rsidRDefault="00A3235C" w:rsidP="006174BD">
      <w:pPr>
        <w:tabs>
          <w:tab w:val="left" w:pos="1791"/>
        </w:tabs>
        <w:rPr>
          <w:rFonts w:ascii="Calibri" w:hAnsi="Calibri" w:cs="Calibri"/>
        </w:rPr>
      </w:pPr>
      <w:r w:rsidRPr="00A3235C">
        <w:rPr>
          <w:rFonts w:ascii="Calibri" w:hAnsi="Calibri" w:cs="Calibri"/>
          <w:b/>
          <w:bCs/>
        </w:rPr>
        <w:t>Confirmation alerting:</w:t>
      </w:r>
      <w:r w:rsidRPr="00A3235C">
        <w:rPr>
          <w:rFonts w:ascii="Calibri" w:hAnsi="Calibri" w:cs="Calibri"/>
        </w:rPr>
        <w:t xml:space="preserve"> Once propagation across all four systems is confirmed complete for a given opt-out event, a confirmation alert is sent to both Priya's team (as direct compliance evidence supporting her own POPIA audit trail) and the data engineering team (since an expected confirmation that fails to arrive is itself a signal of a pipeline issue, distinct from Section 6's failure-alert routing). This dual-routing differs deliberately from Section 6's standard pattern, where routine failures go to engineering first — here, the business owner is a first-class recipient because the alert itself is required regulatory evidence, not just operational status.</w:t>
      </w:r>
    </w:p>
    <w:p w14:paraId="4D1A9600" w14:textId="77777777" w:rsidR="00A3235C" w:rsidRDefault="00A3235C" w:rsidP="006174BD">
      <w:pPr>
        <w:tabs>
          <w:tab w:val="left" w:pos="1791"/>
        </w:tabs>
        <w:rPr>
          <w:rFonts w:ascii="Calibri" w:hAnsi="Calibri" w:cs="Calibri"/>
          <w:lang w:val="en-US"/>
        </w:rPr>
      </w:pPr>
    </w:p>
    <w:p w14:paraId="028BDFD3" w14:textId="115C2189" w:rsidR="00EA3B59" w:rsidRPr="00442AB6" w:rsidRDefault="00EA3B59" w:rsidP="00EA3B59">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Monitoring</w:t>
      </w:r>
    </w:p>
    <w:p w14:paraId="6C4DDFB4" w14:textId="78CC6D11" w:rsidR="00EA3B59" w:rsidRDefault="005278B1" w:rsidP="006174BD">
      <w:pPr>
        <w:tabs>
          <w:tab w:val="left" w:pos="1791"/>
        </w:tabs>
        <w:rPr>
          <w:rFonts w:ascii="Calibri" w:hAnsi="Calibri" w:cs="Calibri"/>
        </w:rPr>
      </w:pPr>
      <w:r w:rsidRPr="005278B1">
        <w:rPr>
          <w:rFonts w:ascii="Calibri" w:hAnsi="Calibri" w:cs="Calibri"/>
        </w:rPr>
        <w:t>Monitoring leverages Azure Data Factory's native pipeline monitoring (portal-based run history, success/failure status, duration per run) as the primary mechanism — no custom monitoring platform is built for v1.0. Each of the six domain pipelines (per Section 7's isolation model) reports independently.</w:t>
      </w:r>
    </w:p>
    <w:p w14:paraId="3DBDD1E4" w14:textId="5F3FB7A6" w:rsidR="005278B1" w:rsidRPr="005278B1" w:rsidRDefault="005278B1" w:rsidP="006174BD">
      <w:pPr>
        <w:tabs>
          <w:tab w:val="left" w:pos="1791"/>
        </w:tabs>
        <w:rPr>
          <w:rFonts w:ascii="Calibri" w:hAnsi="Calibri" w:cs="Calibri"/>
        </w:rPr>
      </w:pPr>
      <w:r w:rsidRPr="005278B1">
        <w:rPr>
          <w:rFonts w:ascii="Calibri" w:hAnsi="Calibri" w:cs="Calibri"/>
          <w:b/>
          <w:bCs/>
        </w:rPr>
        <w:t>Daily health check:</w:t>
      </w:r>
      <w:r w:rsidRPr="005278B1">
        <w:rPr>
          <w:rFonts w:ascii="Calibri" w:hAnsi="Calibri" w:cs="Calibri"/>
        </w:rPr>
        <w:t xml:space="preserve"> A single status metric — </w:t>
      </w:r>
      <w:r w:rsidRPr="005278B1">
        <w:rPr>
          <w:rFonts w:ascii="Calibri" w:hAnsi="Calibri" w:cs="Calibri"/>
          <w:b/>
          <w:bCs/>
        </w:rPr>
        <w:t>6/6 domain pipelines completed</w:t>
      </w:r>
      <w:r w:rsidRPr="005278B1">
        <w:rPr>
          <w:rFonts w:ascii="Calibri" w:hAnsi="Calibri" w:cs="Calibri"/>
        </w:rPr>
        <w:t xml:space="preserve"> — serves as the first-glance signal of platform health. Anything less than 6/6 triggers investigation into which specific domain failed and why, using ADF's </w:t>
      </w:r>
      <w:r w:rsidRPr="005278B1">
        <w:rPr>
          <w:rFonts w:ascii="Calibri" w:hAnsi="Calibri" w:cs="Calibri"/>
        </w:rPr>
        <w:lastRenderedPageBreak/>
        <w:t>native run history and the Section 6 alerting/runbook process to diagnose. This keeps the daily check simple and unambiguous: a partial success is still treated as requiring attention, not silently accepted as "mostly fine."</w:t>
      </w:r>
    </w:p>
    <w:p w14:paraId="6E0588B5" w14:textId="6504F010" w:rsidR="00D539B5" w:rsidRDefault="005278B1" w:rsidP="006174BD">
      <w:pPr>
        <w:tabs>
          <w:tab w:val="left" w:pos="1791"/>
        </w:tabs>
        <w:rPr>
          <w:rFonts w:ascii="Calibri" w:hAnsi="Calibri" w:cs="Calibri"/>
          <w:lang w:val="en-US"/>
        </w:rPr>
      </w:pPr>
      <w:r w:rsidRPr="005278B1">
        <w:rPr>
          <w:rFonts w:ascii="Calibri" w:hAnsi="Calibri" w:cs="Calibri"/>
        </w:rPr>
        <w:t>Note: this is a v1.0 baseline using native tooling only. As the platform matures past initial build (Steps 13+), a consolidated dashboard surfacing the 6/6 metric alongside reconciliation variance (Section 7) and alert volume (Section 6) may be worth building — flagged as a future enhancement, not a Step 10 design requirement.</w:t>
      </w:r>
    </w:p>
    <w:p w14:paraId="5AEB2D19" w14:textId="77777777" w:rsidR="00D539B5" w:rsidRDefault="00D539B5" w:rsidP="006174BD">
      <w:pPr>
        <w:tabs>
          <w:tab w:val="left" w:pos="1791"/>
        </w:tabs>
        <w:rPr>
          <w:rFonts w:ascii="Calibri" w:hAnsi="Calibri" w:cs="Calibri"/>
          <w:lang w:val="en-US"/>
        </w:rPr>
      </w:pPr>
    </w:p>
    <w:p w14:paraId="71CBCCD6" w14:textId="77777777" w:rsidR="005278B1" w:rsidRDefault="005278B1" w:rsidP="006174BD">
      <w:pPr>
        <w:tabs>
          <w:tab w:val="left" w:pos="1791"/>
        </w:tabs>
        <w:rPr>
          <w:rFonts w:ascii="Calibri" w:hAnsi="Calibri" w:cs="Calibri"/>
          <w:lang w:val="en-US"/>
        </w:rPr>
      </w:pPr>
    </w:p>
    <w:p w14:paraId="2E0E8ABA" w14:textId="77777777" w:rsidR="005278B1" w:rsidRPr="0045277B" w:rsidRDefault="005278B1" w:rsidP="006174BD">
      <w:pPr>
        <w:tabs>
          <w:tab w:val="left" w:pos="1791"/>
        </w:tabs>
        <w:rPr>
          <w:rFonts w:ascii="Calibri" w:hAnsi="Calibri" w:cs="Calibri"/>
          <w:lang w:val="en-US"/>
        </w:rPr>
      </w:pPr>
    </w:p>
    <w:p w14:paraId="77A287BA" w14:textId="4F4DAEAF" w:rsidR="00773829" w:rsidRPr="00442AB6" w:rsidRDefault="008C5969" w:rsidP="00442AB6">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Next Steps</w:t>
      </w:r>
    </w:p>
    <w:p w14:paraId="0587C4C2" w14:textId="77777777" w:rsidR="005278B1" w:rsidRDefault="005278B1" w:rsidP="00D539B5">
      <w:pPr>
        <w:rPr>
          <w:rFonts w:ascii="Calibri" w:hAnsi="Calibri" w:cs="Calibri"/>
        </w:rPr>
      </w:pPr>
      <w:r w:rsidRPr="005278B1">
        <w:rPr>
          <w:rFonts w:ascii="Calibri" w:hAnsi="Calibri" w:cs="Calibri"/>
        </w:rPr>
        <w:t>The completion of DID-001 marks the end of Step 10 — Data Integration Design. The following items carry forward:</w:t>
      </w:r>
    </w:p>
    <w:p w14:paraId="710D0FF9" w14:textId="69A54CFF" w:rsidR="00D539B5" w:rsidRPr="00D539B5" w:rsidRDefault="00D539B5" w:rsidP="00D539B5">
      <w:pPr>
        <w:rPr>
          <w:rFonts w:ascii="Calibri" w:hAnsi="Calibri" w:cs="Calibri"/>
          <w:lang w:val="en-US"/>
        </w:rPr>
      </w:pPr>
      <w:r w:rsidRPr="00D539B5">
        <w:rPr>
          <w:rFonts w:ascii="Calibri" w:hAnsi="Calibri" w:cs="Calibri"/>
          <w:lang w:val="en-US"/>
        </w:rPr>
        <w:t>Immediate:</w:t>
      </w:r>
    </w:p>
    <w:p w14:paraId="556FF3BC" w14:textId="77777777" w:rsidR="005278B1" w:rsidRDefault="005278B1" w:rsidP="00D539B5">
      <w:pPr>
        <w:pStyle w:val="ListParagraph"/>
        <w:numPr>
          <w:ilvl w:val="0"/>
          <w:numId w:val="12"/>
        </w:numPr>
        <w:rPr>
          <w:rFonts w:ascii="Calibri" w:hAnsi="Calibri" w:cs="Calibri"/>
        </w:rPr>
      </w:pPr>
      <w:r w:rsidRPr="005278B1">
        <w:rPr>
          <w:rFonts w:ascii="Calibri" w:hAnsi="Calibri" w:cs="Calibri"/>
        </w:rPr>
        <w:t xml:space="preserve">Publish DID-001, update Notion step tracker and README Step 10 status. </w:t>
      </w:r>
    </w:p>
    <w:p w14:paraId="4072E00E" w14:textId="77777777" w:rsidR="006E640A" w:rsidRDefault="006E640A" w:rsidP="00D539B5">
      <w:pPr>
        <w:rPr>
          <w:rFonts w:ascii="Calibri" w:hAnsi="Calibri" w:cs="Calibri"/>
          <w:b/>
          <w:bCs/>
        </w:rPr>
      </w:pPr>
    </w:p>
    <w:p w14:paraId="028EA01E" w14:textId="12902F4A" w:rsidR="005278B1" w:rsidRDefault="005278B1" w:rsidP="00D539B5">
      <w:pPr>
        <w:rPr>
          <w:rFonts w:ascii="Calibri" w:hAnsi="Calibri" w:cs="Calibri"/>
        </w:rPr>
      </w:pPr>
      <w:r w:rsidRPr="005278B1">
        <w:rPr>
          <w:rFonts w:ascii="Calibri" w:hAnsi="Calibri" w:cs="Calibri"/>
          <w:b/>
          <w:bCs/>
        </w:rPr>
        <w:t>Step 11 — Metadata Strategy:</w:t>
      </w:r>
      <w:r w:rsidRPr="005278B1">
        <w:rPr>
          <w:rFonts w:ascii="Calibri" w:hAnsi="Calibri" w:cs="Calibri"/>
        </w:rPr>
        <w:t xml:space="preserve"> Define how lineage (FR-CCR-001), data dictionary, and column-level documentation are captured and maintained across Bronze, Silver, and Gold.</w:t>
      </w:r>
    </w:p>
    <w:p w14:paraId="63103FA1" w14:textId="5969A3B1" w:rsidR="005278B1" w:rsidRDefault="005278B1" w:rsidP="00D539B5">
      <w:pPr>
        <w:rPr>
          <w:rFonts w:ascii="Calibri" w:hAnsi="Calibri" w:cs="Calibri"/>
        </w:rPr>
      </w:pPr>
      <w:r w:rsidRPr="005278B1">
        <w:rPr>
          <w:rFonts w:ascii="Calibri" w:hAnsi="Calibri" w:cs="Calibri"/>
        </w:rPr>
        <w:t>Outstanding items requiring resolution before build (Steps 13+)</w:t>
      </w:r>
    </w:p>
    <w:p w14:paraId="6221F1F3" w14:textId="383E589C" w:rsidR="005278B1" w:rsidRDefault="005278B1" w:rsidP="005278B1">
      <w:pPr>
        <w:pStyle w:val="ListParagraph"/>
        <w:numPr>
          <w:ilvl w:val="0"/>
          <w:numId w:val="20"/>
        </w:numPr>
        <w:rPr>
          <w:rFonts w:ascii="Calibri" w:hAnsi="Calibri" w:cs="Calibri"/>
        </w:rPr>
      </w:pPr>
      <w:r w:rsidRPr="005278B1">
        <w:rPr>
          <w:rFonts w:ascii="Calibri" w:hAnsi="Calibri" w:cs="Calibri"/>
          <w:b/>
          <w:bCs/>
        </w:rPr>
        <w:t>ADR-002 formal sign-off</w:t>
      </w:r>
      <w:r w:rsidRPr="005278B1">
        <w:rPr>
          <w:rFonts w:ascii="Calibri" w:hAnsi="Calibri" w:cs="Calibri"/>
        </w:rPr>
        <w:t xml:space="preserve"> (Priya's POPIA legal review) — identity resolution </w:t>
      </w:r>
      <w:r w:rsidRPr="005278B1">
        <w:rPr>
          <w:rFonts w:ascii="Calibri" w:hAnsi="Calibri" w:cs="Calibri"/>
          <w:i/>
          <w:iCs/>
        </w:rPr>
        <w:t>design</w:t>
      </w:r>
      <w:r w:rsidRPr="005278B1">
        <w:rPr>
          <w:rFonts w:ascii="Calibri" w:hAnsi="Calibri" w:cs="Calibri"/>
        </w:rPr>
        <w:t xml:space="preserve"> is fully specified (STM-001</w:t>
      </w:r>
      <w:r>
        <w:rPr>
          <w:rFonts w:ascii="Calibri" w:hAnsi="Calibri" w:cs="Calibri"/>
        </w:rPr>
        <w:t xml:space="preserve"> section 4.3) </w:t>
      </w:r>
      <w:r w:rsidRPr="005278B1">
        <w:rPr>
          <w:rFonts w:ascii="Calibri" w:hAnsi="Calibri" w:cs="Calibri"/>
        </w:rPr>
        <w:t>and safe to build against, but production use of real customer data is gated on this sign-off completing first.</w:t>
      </w:r>
    </w:p>
    <w:p w14:paraId="260B6293" w14:textId="02E2857A" w:rsidR="005278B1" w:rsidRDefault="005278B1" w:rsidP="005278B1">
      <w:pPr>
        <w:pStyle w:val="ListParagraph"/>
        <w:numPr>
          <w:ilvl w:val="0"/>
          <w:numId w:val="20"/>
        </w:numPr>
        <w:rPr>
          <w:rFonts w:ascii="Calibri" w:hAnsi="Calibri" w:cs="Calibri"/>
        </w:rPr>
      </w:pPr>
      <w:r w:rsidRPr="005278B1">
        <w:rPr>
          <w:rFonts w:ascii="Calibri" w:hAnsi="Calibri" w:cs="Calibri"/>
          <w:b/>
          <w:bCs/>
        </w:rPr>
        <w:t>ADR-003 formal sign-off</w:t>
      </w:r>
      <w:r w:rsidRPr="005278B1">
        <w:rPr>
          <w:rFonts w:ascii="Calibri" w:hAnsi="Calibri" w:cs="Calibri"/>
        </w:rPr>
        <w:t xml:space="preserve"> (Sipho) — Supplier Contract PDF extraction approach, tied to the human spot-check quality process flagged in Section 4.</w:t>
      </w:r>
    </w:p>
    <w:p w14:paraId="765A86FB" w14:textId="757F9D25" w:rsidR="005278B1" w:rsidRDefault="005278B1" w:rsidP="005278B1">
      <w:pPr>
        <w:pStyle w:val="ListParagraph"/>
        <w:numPr>
          <w:ilvl w:val="0"/>
          <w:numId w:val="20"/>
        </w:numPr>
        <w:rPr>
          <w:rFonts w:ascii="Calibri" w:hAnsi="Calibri" w:cs="Calibri"/>
        </w:rPr>
      </w:pPr>
      <w:r w:rsidRPr="005278B1">
        <w:rPr>
          <w:rFonts w:ascii="Calibri" w:hAnsi="Calibri" w:cs="Calibri"/>
          <w:b/>
          <w:bCs/>
        </w:rPr>
        <w:t>ADR-006 and ADR-007 sign-offs</w:t>
      </w:r>
      <w:r w:rsidRPr="005278B1">
        <w:rPr>
          <w:rFonts w:ascii="Calibri" w:hAnsi="Calibri" w:cs="Calibri"/>
        </w:rPr>
        <w:t xml:space="preserve"> — Marketing Attribution Logic and Contact Governance, both still IN PROGRESS per the ADR register; FR-MKT-002/003/004 and FR-CUS-001 depend on these before Marketing domain build.</w:t>
      </w:r>
    </w:p>
    <w:p w14:paraId="29436647" w14:textId="24C8A3D9" w:rsidR="005278B1" w:rsidRDefault="005278B1" w:rsidP="005278B1">
      <w:pPr>
        <w:pStyle w:val="ListParagraph"/>
        <w:numPr>
          <w:ilvl w:val="0"/>
          <w:numId w:val="20"/>
        </w:numPr>
        <w:rPr>
          <w:rFonts w:ascii="Calibri" w:hAnsi="Calibri" w:cs="Calibri"/>
        </w:rPr>
      </w:pPr>
      <w:r w:rsidRPr="005278B1">
        <w:rPr>
          <w:rFonts w:ascii="Calibri" w:hAnsi="Calibri" w:cs="Calibri"/>
          <w:b/>
          <w:bCs/>
        </w:rPr>
        <w:t>FactContactHistory attempt-sequencing validation</w:t>
      </w:r>
      <w:r w:rsidRPr="005278B1">
        <w:rPr>
          <w:rFonts w:ascii="Calibri" w:hAnsi="Calibri" w:cs="Calibri"/>
        </w:rPr>
        <w:t xml:space="preserve"> (Section 5.2.5, PDD-001) — confirm against real Marketing Cloud send behaviour before the unique constraint is considered final.</w:t>
      </w:r>
    </w:p>
    <w:p w14:paraId="4512CA10" w14:textId="08D8D971" w:rsidR="005278B1" w:rsidRDefault="00C63BEC" w:rsidP="005278B1">
      <w:pPr>
        <w:pStyle w:val="ListParagraph"/>
        <w:numPr>
          <w:ilvl w:val="0"/>
          <w:numId w:val="20"/>
        </w:numPr>
        <w:rPr>
          <w:rFonts w:ascii="Calibri" w:hAnsi="Calibri" w:cs="Calibri"/>
        </w:rPr>
      </w:pPr>
      <w:r w:rsidRPr="00C63BEC">
        <w:rPr>
          <w:rFonts w:ascii="Calibri" w:hAnsi="Calibri" w:cs="Calibri"/>
          <w:b/>
          <w:bCs/>
        </w:rPr>
        <w:t>Escalation criteria for pipeline failures</w:t>
      </w:r>
      <w:r w:rsidRPr="00C63BEC">
        <w:rPr>
          <w:rFonts w:ascii="Calibri" w:hAnsi="Calibri" w:cs="Calibri"/>
        </w:rPr>
        <w:t xml:space="preserve"> (Section 6) — exact thresholds (time-based, domain-based) for when a failure escalates beyond data engineering to domain owners; deferred to Step 14 once real failure patterns are observed.</w:t>
      </w:r>
    </w:p>
    <w:p w14:paraId="3651F471" w14:textId="377C766F" w:rsidR="00C63BEC" w:rsidRDefault="00C63BEC" w:rsidP="005278B1">
      <w:pPr>
        <w:pStyle w:val="ListParagraph"/>
        <w:numPr>
          <w:ilvl w:val="0"/>
          <w:numId w:val="20"/>
        </w:numPr>
        <w:rPr>
          <w:rFonts w:ascii="Calibri" w:hAnsi="Calibri" w:cs="Calibri"/>
        </w:rPr>
      </w:pPr>
      <w:r w:rsidRPr="00C63BEC">
        <w:rPr>
          <w:rFonts w:ascii="Calibri" w:hAnsi="Calibri" w:cs="Calibri"/>
          <w:b/>
          <w:bCs/>
        </w:rPr>
        <w:t>Troubleshooting runbook</w:t>
      </w:r>
      <w:r w:rsidRPr="00C63BEC">
        <w:rPr>
          <w:rFonts w:ascii="Calibri" w:hAnsi="Calibri" w:cs="Calibri"/>
        </w:rPr>
        <w:t xml:space="preserve"> (Section 6) — authored iteratively during Step 14 build as real failure modes are encountered, not pre-written.</w:t>
      </w:r>
    </w:p>
    <w:p w14:paraId="7FBBE4D2" w14:textId="77E679FE" w:rsidR="00C63BEC" w:rsidRDefault="00C63BEC" w:rsidP="005278B1">
      <w:pPr>
        <w:pStyle w:val="ListParagraph"/>
        <w:numPr>
          <w:ilvl w:val="0"/>
          <w:numId w:val="20"/>
        </w:numPr>
        <w:rPr>
          <w:rFonts w:ascii="Calibri" w:hAnsi="Calibri" w:cs="Calibri"/>
        </w:rPr>
      </w:pPr>
      <w:r w:rsidRPr="00C63BEC">
        <w:rPr>
          <w:rFonts w:ascii="Calibri" w:hAnsi="Calibri" w:cs="Calibri"/>
          <w:b/>
          <w:bCs/>
        </w:rPr>
        <w:t xml:space="preserve">PDF extraction </w:t>
      </w:r>
      <w:proofErr w:type="gramStart"/>
      <w:r w:rsidRPr="00C63BEC">
        <w:rPr>
          <w:rFonts w:ascii="Calibri" w:hAnsi="Calibri" w:cs="Calibri"/>
          <w:b/>
          <w:bCs/>
        </w:rPr>
        <w:t>spot-check</w:t>
      </w:r>
      <w:proofErr w:type="gramEnd"/>
      <w:r w:rsidRPr="00C63BEC">
        <w:rPr>
          <w:rFonts w:ascii="Calibri" w:hAnsi="Calibri" w:cs="Calibri"/>
          <w:b/>
          <w:bCs/>
        </w:rPr>
        <w:t xml:space="preserve"> process</w:t>
      </w:r>
      <w:r w:rsidRPr="00C63BEC">
        <w:rPr>
          <w:rFonts w:ascii="Calibri" w:hAnsi="Calibri" w:cs="Calibri"/>
        </w:rPr>
        <w:t xml:space="preserve"> (Section 4) — human validation sampling approach for LLM-structured contract data needs to be designed before Step 14 build of that specific pipeline.</w:t>
      </w:r>
    </w:p>
    <w:p w14:paraId="7DE4DAB8" w14:textId="73B8B15D" w:rsidR="00C63BEC" w:rsidRPr="005278B1" w:rsidRDefault="00C63BEC" w:rsidP="005278B1">
      <w:pPr>
        <w:pStyle w:val="ListParagraph"/>
        <w:numPr>
          <w:ilvl w:val="0"/>
          <w:numId w:val="20"/>
        </w:numPr>
        <w:rPr>
          <w:rFonts w:ascii="Calibri" w:hAnsi="Calibri" w:cs="Calibri"/>
        </w:rPr>
      </w:pPr>
      <w:r w:rsidRPr="00C63BEC">
        <w:rPr>
          <w:rFonts w:ascii="Calibri" w:hAnsi="Calibri" w:cs="Calibri"/>
          <w:b/>
          <w:bCs/>
        </w:rPr>
        <w:t>Monitoring dashboard</w:t>
      </w:r>
      <w:r w:rsidRPr="00C63BEC">
        <w:rPr>
          <w:rFonts w:ascii="Calibri" w:hAnsi="Calibri" w:cs="Calibri"/>
        </w:rPr>
        <w:t xml:space="preserve"> (Section 9) — native ADF monitoring is sufficient for v1.0; a consolidated dashboard is a future enhancement, not a current build requirement.</w:t>
      </w:r>
    </w:p>
    <w:p w14:paraId="4498A56D" w14:textId="77777777" w:rsidR="003D3B2C" w:rsidRDefault="003D3B2C" w:rsidP="003D3B2C">
      <w:pPr>
        <w:rPr>
          <w:rFonts w:ascii="Calibri" w:hAnsi="Calibri" w:cs="Calibri"/>
          <w:lang w:val="en-US"/>
        </w:rPr>
      </w:pPr>
    </w:p>
    <w:p w14:paraId="52791623" w14:textId="77777777" w:rsidR="003D3B2C" w:rsidRDefault="003D3B2C" w:rsidP="003D3B2C">
      <w:pPr>
        <w:rPr>
          <w:rFonts w:ascii="Calibri" w:hAnsi="Calibri" w:cs="Calibri"/>
          <w:lang w:val="en-US"/>
        </w:rPr>
      </w:pPr>
    </w:p>
    <w:p w14:paraId="6A495F7D" w14:textId="77777777" w:rsidR="00871317" w:rsidRDefault="00871317" w:rsidP="003D3B2C">
      <w:pPr>
        <w:rPr>
          <w:rFonts w:ascii="Calibri" w:hAnsi="Calibri" w:cs="Calibri"/>
          <w:lang w:val="en-US"/>
        </w:rPr>
      </w:pPr>
    </w:p>
    <w:p w14:paraId="28F59830" w14:textId="77777777" w:rsidR="00871317" w:rsidRDefault="00871317" w:rsidP="003D3B2C">
      <w:pPr>
        <w:rPr>
          <w:rFonts w:ascii="Calibri" w:hAnsi="Calibri" w:cs="Calibri"/>
          <w:lang w:val="en-US"/>
        </w:rPr>
      </w:pPr>
    </w:p>
    <w:p w14:paraId="482B64B9" w14:textId="77777777" w:rsidR="00871317" w:rsidRDefault="00871317" w:rsidP="003D3B2C">
      <w:pPr>
        <w:rPr>
          <w:rFonts w:ascii="Calibri" w:hAnsi="Calibri" w:cs="Calibri"/>
          <w:lang w:val="en-US"/>
        </w:rPr>
      </w:pPr>
    </w:p>
    <w:p w14:paraId="4BE59BA7" w14:textId="77777777" w:rsidR="00871317" w:rsidRPr="003D3B2C" w:rsidRDefault="00871317" w:rsidP="003D3B2C">
      <w:pPr>
        <w:rPr>
          <w:rFonts w:ascii="Calibri" w:hAnsi="Calibri" w:cs="Calibri"/>
          <w:lang w:val="en-US"/>
        </w:rPr>
      </w:pPr>
    </w:p>
    <w:p w14:paraId="01BF5876" w14:textId="77777777" w:rsidR="008B6400" w:rsidRDefault="008B6400" w:rsidP="008B6400">
      <w:pPr>
        <w:tabs>
          <w:tab w:val="left" w:pos="1791"/>
        </w:tabs>
        <w:rPr>
          <w:rFonts w:ascii="Calibri" w:hAnsi="Calibri" w:cs="Calibri"/>
          <w:lang w:val="en-US"/>
        </w:rPr>
      </w:pPr>
    </w:p>
    <w:p w14:paraId="456D338B" w14:textId="77777777" w:rsidR="003D3B2C" w:rsidRPr="008B6400" w:rsidRDefault="003D3B2C" w:rsidP="008B6400">
      <w:pPr>
        <w:tabs>
          <w:tab w:val="left" w:pos="1791"/>
        </w:tabs>
        <w:rPr>
          <w:rFonts w:ascii="Calibri" w:hAnsi="Calibri" w:cs="Calibri"/>
          <w:lang w:val="en-US"/>
        </w:rPr>
      </w:pPr>
    </w:p>
    <w:p w14:paraId="1AA0183A" w14:textId="11EF59B9" w:rsidR="00CE4E2C" w:rsidRPr="00442AB6" w:rsidRDefault="00CE4E2C" w:rsidP="00442AB6">
      <w:pPr>
        <w:pStyle w:val="Heading1"/>
        <w:numPr>
          <w:ilvl w:val="0"/>
          <w:numId w:val="3"/>
        </w:numPr>
        <w:pBdr>
          <w:bottom w:val="single" w:sz="4" w:space="1" w:color="C8A96E"/>
        </w:pBdr>
        <w:rPr>
          <w:rFonts w:ascii="Calibri" w:hAnsi="Calibri" w:cs="Calibri"/>
          <w:b/>
          <w:bCs/>
          <w:color w:val="1A2E5A"/>
          <w:sz w:val="32"/>
          <w:szCs w:val="32"/>
          <w:lang w:val="en-US"/>
        </w:rPr>
      </w:pPr>
      <w:r w:rsidRPr="00442AB6">
        <w:rPr>
          <w:rFonts w:ascii="Calibri" w:hAnsi="Calibri" w:cs="Calibri"/>
          <w:b/>
          <w:bCs/>
          <w:color w:val="1A2E5A"/>
          <w:sz w:val="32"/>
          <w:szCs w:val="32"/>
          <w:lang w:val="en-US"/>
        </w:rPr>
        <w:t>Document Change Log</w:t>
      </w:r>
    </w:p>
    <w:p w14:paraId="73122D5F" w14:textId="77777777" w:rsidR="00CE4E2C" w:rsidRDefault="00CE4E2C" w:rsidP="00CE4E2C">
      <w:pPr>
        <w:pStyle w:val="ListParagraph"/>
        <w:ind w:left="360"/>
      </w:pP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1134"/>
        <w:gridCol w:w="1701"/>
        <w:gridCol w:w="2268"/>
        <w:gridCol w:w="3969"/>
      </w:tblGrid>
      <w:tr w:rsidR="00CE4E2C" w:rsidRPr="00303CF7" w14:paraId="64D18B90" w14:textId="77777777" w:rsidTr="00EF5256">
        <w:tc>
          <w:tcPr>
            <w:tcW w:w="1134" w:type="dxa"/>
            <w:shd w:val="clear" w:color="auto" w:fill="1A2E5A"/>
          </w:tcPr>
          <w:p w14:paraId="1B639498"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Version</w:t>
            </w:r>
          </w:p>
        </w:tc>
        <w:tc>
          <w:tcPr>
            <w:tcW w:w="1701" w:type="dxa"/>
            <w:shd w:val="clear" w:color="auto" w:fill="1A2E5A"/>
          </w:tcPr>
          <w:p w14:paraId="56484117"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Date</w:t>
            </w:r>
          </w:p>
        </w:tc>
        <w:tc>
          <w:tcPr>
            <w:tcW w:w="2268" w:type="dxa"/>
            <w:shd w:val="clear" w:color="auto" w:fill="1A2E5A"/>
          </w:tcPr>
          <w:p w14:paraId="2CF60033"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Author</w:t>
            </w:r>
          </w:p>
        </w:tc>
        <w:tc>
          <w:tcPr>
            <w:tcW w:w="3969" w:type="dxa"/>
            <w:shd w:val="clear" w:color="auto" w:fill="1A2E5A"/>
          </w:tcPr>
          <w:p w14:paraId="74726D21"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Description</w:t>
            </w:r>
          </w:p>
        </w:tc>
      </w:tr>
      <w:tr w:rsidR="00CE4E2C" w:rsidRPr="00303CF7" w14:paraId="0BDF1BE7" w14:textId="77777777" w:rsidTr="00EF5256">
        <w:tc>
          <w:tcPr>
            <w:tcW w:w="1134" w:type="dxa"/>
            <w:shd w:val="clear" w:color="auto" w:fill="F0FDF4"/>
          </w:tcPr>
          <w:p w14:paraId="55E407D3" w14:textId="2341330A" w:rsidR="00CE4E2C" w:rsidRPr="00303CF7" w:rsidRDefault="00CE4E2C" w:rsidP="00EF5256">
            <w:pPr>
              <w:rPr>
                <w:rFonts w:ascii="Calibri" w:hAnsi="Calibri" w:cs="Calibri"/>
                <w:color w:val="166534"/>
                <w:sz w:val="20"/>
                <w:szCs w:val="20"/>
              </w:rPr>
            </w:pPr>
            <w:r w:rsidRPr="00303CF7">
              <w:rPr>
                <w:rFonts w:ascii="Calibri" w:hAnsi="Calibri" w:cs="Calibri"/>
                <w:color w:val="166534"/>
                <w:sz w:val="20"/>
                <w:szCs w:val="20"/>
              </w:rPr>
              <w:t>1.0</w:t>
            </w:r>
            <w:r w:rsidR="005E4764">
              <w:rPr>
                <w:rFonts w:ascii="Calibri" w:hAnsi="Calibri" w:cs="Calibri"/>
                <w:color w:val="166534"/>
                <w:sz w:val="20"/>
                <w:szCs w:val="20"/>
              </w:rPr>
              <w:t xml:space="preserve"> - Draft</w:t>
            </w:r>
          </w:p>
        </w:tc>
        <w:tc>
          <w:tcPr>
            <w:tcW w:w="1701" w:type="dxa"/>
            <w:shd w:val="clear" w:color="auto" w:fill="F0FDF4"/>
          </w:tcPr>
          <w:p w14:paraId="280D14CD" w14:textId="4D558EA9" w:rsidR="00CE4E2C" w:rsidRPr="00303CF7" w:rsidRDefault="00C63BEC" w:rsidP="00EF5256">
            <w:pPr>
              <w:rPr>
                <w:rFonts w:ascii="Calibri" w:hAnsi="Calibri" w:cs="Calibri"/>
                <w:color w:val="166534"/>
                <w:sz w:val="20"/>
                <w:szCs w:val="20"/>
              </w:rPr>
            </w:pPr>
            <w:r w:rsidRPr="00C63BEC">
              <w:rPr>
                <w:rFonts w:ascii="Calibri" w:hAnsi="Calibri" w:cs="Calibri"/>
                <w:color w:val="166534"/>
                <w:sz w:val="20"/>
                <w:szCs w:val="20"/>
              </w:rPr>
              <w:t>4 September 2026</w:t>
            </w:r>
          </w:p>
        </w:tc>
        <w:tc>
          <w:tcPr>
            <w:tcW w:w="2268" w:type="dxa"/>
            <w:shd w:val="clear" w:color="auto" w:fill="F0FDF4"/>
          </w:tcPr>
          <w:p w14:paraId="18E3CC93" w14:textId="3F24E3D1" w:rsidR="00CE4E2C" w:rsidRPr="00303CF7" w:rsidRDefault="00CE4E2C" w:rsidP="00EF5256">
            <w:pPr>
              <w:rPr>
                <w:rFonts w:ascii="Calibri" w:hAnsi="Calibri" w:cs="Calibri"/>
                <w:color w:val="166534"/>
                <w:sz w:val="20"/>
                <w:szCs w:val="20"/>
              </w:rPr>
            </w:pPr>
            <w:r w:rsidRPr="00303CF7">
              <w:rPr>
                <w:rFonts w:ascii="Calibri" w:hAnsi="Calibri" w:cs="Calibri"/>
                <w:color w:val="166534"/>
                <w:sz w:val="20"/>
                <w:szCs w:val="20"/>
              </w:rPr>
              <w:t>T</w:t>
            </w:r>
            <w:r w:rsidR="008B6400">
              <w:rPr>
                <w:rFonts w:ascii="Calibri" w:hAnsi="Calibri" w:cs="Calibri"/>
                <w:color w:val="166534"/>
                <w:sz w:val="20"/>
                <w:szCs w:val="20"/>
              </w:rPr>
              <w:t>hozamile</w:t>
            </w:r>
            <w:r w:rsidRPr="00303CF7">
              <w:rPr>
                <w:rFonts w:ascii="Calibri" w:hAnsi="Calibri" w:cs="Calibri"/>
                <w:color w:val="166534"/>
                <w:sz w:val="20"/>
                <w:szCs w:val="20"/>
              </w:rPr>
              <w:t xml:space="preserve"> Mbalo</w:t>
            </w:r>
          </w:p>
        </w:tc>
        <w:tc>
          <w:tcPr>
            <w:tcW w:w="3969" w:type="dxa"/>
            <w:shd w:val="clear" w:color="auto" w:fill="F0FDF4"/>
          </w:tcPr>
          <w:p w14:paraId="762BDD8B" w14:textId="391B38F1" w:rsidR="00CE4E2C" w:rsidRPr="00303CF7" w:rsidRDefault="00C63BEC" w:rsidP="00EF5256">
            <w:pPr>
              <w:rPr>
                <w:rFonts w:ascii="Calibri" w:hAnsi="Calibri" w:cs="Calibri"/>
                <w:color w:val="166534"/>
                <w:sz w:val="20"/>
                <w:szCs w:val="20"/>
              </w:rPr>
            </w:pPr>
            <w:r w:rsidRPr="00C63BEC">
              <w:rPr>
                <w:rFonts w:ascii="Calibri" w:hAnsi="Calibri" w:cs="Calibri"/>
                <w:color w:val="166534"/>
                <w:sz w:val="20"/>
                <w:szCs w:val="20"/>
              </w:rPr>
              <w:t>Initial DID-001 draft. Defines Bronze/Silver/Gold pipeline architecture pattern operationalizing ADR-005 (ADF orchestration). Covers ingestion patterns for 10 source systems including three non-standard cases (Meta/GA4 late-arriving data, Supplier Contract PDF extraction, Legacy SQL Server DW discovery-only); Silver-layer identity resolution referencing STM-001</w:t>
            </w:r>
            <w:r>
              <w:rPr>
                <w:rFonts w:ascii="Calibri" w:hAnsi="Calibri" w:cs="Calibri"/>
                <w:color w:val="166534"/>
                <w:sz w:val="20"/>
                <w:szCs w:val="20"/>
              </w:rPr>
              <w:t xml:space="preserve"> section 4.3’s </w:t>
            </w:r>
            <w:r w:rsidRPr="00C63BEC">
              <w:rPr>
                <w:rFonts w:ascii="Calibri" w:hAnsi="Calibri" w:cs="Calibri"/>
                <w:color w:val="166534"/>
                <w:sz w:val="20"/>
                <w:szCs w:val="20"/>
              </w:rPr>
              <w:t>already-specified matching hierarchy; Gold-layer load mechanics split by fact table type (insert-only vs. accumulating snapshot) and dimension SCD pattern (Type 1, Type 2, static); error handling and alerting (FR-CCR-006) with a named exception for FR-FIN-005's 1-hour SLA; reconciliation framework (FR-CCR-005) using control totals rather than row counts for monetary and accumulating snapshot tables; POPIA opt-out propagation (FR-CUS-002/FR-CCR-008) on a dedicated hourly schedule, distinct from the general Meta/GA4 4-hourly cadence; and native ADF monitoring with a single 6/6 domain health metric. Corrects an internal error: Section 3's original reference to a non-existent "FR-CUS-008" requirement, corrected to properly attribute the same-day breach alert to Priya's Rule 4 / FR-CUS-001.</w:t>
            </w:r>
          </w:p>
        </w:tc>
      </w:tr>
      <w:tr w:rsidR="006E640A" w:rsidRPr="00303CF7" w14:paraId="687FCBB6" w14:textId="77777777" w:rsidTr="00EF5256">
        <w:tc>
          <w:tcPr>
            <w:tcW w:w="1134" w:type="dxa"/>
            <w:shd w:val="clear" w:color="auto" w:fill="F0FDF4"/>
          </w:tcPr>
          <w:p w14:paraId="612BDBCF" w14:textId="1617902E" w:rsidR="006E640A" w:rsidRPr="00303CF7" w:rsidRDefault="006E640A" w:rsidP="00EF5256">
            <w:pPr>
              <w:rPr>
                <w:rFonts w:ascii="Calibri" w:hAnsi="Calibri" w:cs="Calibri"/>
                <w:color w:val="166534"/>
                <w:sz w:val="20"/>
                <w:szCs w:val="20"/>
              </w:rPr>
            </w:pPr>
            <w:r w:rsidRPr="006E640A">
              <w:rPr>
                <w:rFonts w:ascii="Calibri" w:hAnsi="Calibri" w:cs="Calibri"/>
                <w:color w:val="166534"/>
                <w:sz w:val="20"/>
                <w:szCs w:val="20"/>
              </w:rPr>
              <w:t>1.0 – Approved</w:t>
            </w:r>
          </w:p>
        </w:tc>
        <w:tc>
          <w:tcPr>
            <w:tcW w:w="1701" w:type="dxa"/>
            <w:shd w:val="clear" w:color="auto" w:fill="F0FDF4"/>
          </w:tcPr>
          <w:p w14:paraId="6A9C6BCA" w14:textId="7B752E6D" w:rsidR="006E640A" w:rsidRPr="00C63BEC" w:rsidRDefault="006E640A" w:rsidP="00EF5256">
            <w:pPr>
              <w:rPr>
                <w:rFonts w:ascii="Calibri" w:hAnsi="Calibri" w:cs="Calibri"/>
                <w:color w:val="166534"/>
                <w:sz w:val="20"/>
                <w:szCs w:val="20"/>
              </w:rPr>
            </w:pPr>
            <w:r w:rsidRPr="006E640A">
              <w:rPr>
                <w:rFonts w:ascii="Calibri" w:hAnsi="Calibri" w:cs="Calibri"/>
                <w:color w:val="166534"/>
                <w:sz w:val="20"/>
                <w:szCs w:val="20"/>
              </w:rPr>
              <w:t>4 September 2026</w:t>
            </w:r>
          </w:p>
        </w:tc>
        <w:tc>
          <w:tcPr>
            <w:tcW w:w="2268" w:type="dxa"/>
            <w:shd w:val="clear" w:color="auto" w:fill="F0FDF4"/>
          </w:tcPr>
          <w:p w14:paraId="0DE00B30" w14:textId="282219CD" w:rsidR="006E640A" w:rsidRPr="00303CF7" w:rsidRDefault="006E640A" w:rsidP="00EF5256">
            <w:pPr>
              <w:rPr>
                <w:rFonts w:ascii="Calibri" w:hAnsi="Calibri" w:cs="Calibri"/>
                <w:color w:val="166534"/>
                <w:sz w:val="20"/>
                <w:szCs w:val="20"/>
              </w:rPr>
            </w:pPr>
            <w:r w:rsidRPr="006E640A">
              <w:rPr>
                <w:rFonts w:ascii="Calibri" w:hAnsi="Calibri" w:cs="Calibri"/>
                <w:color w:val="166534"/>
                <w:sz w:val="20"/>
                <w:szCs w:val="20"/>
              </w:rPr>
              <w:t>Reviewed by Nomvula Mahlangu, Chief Data Officer</w:t>
            </w:r>
          </w:p>
        </w:tc>
        <w:tc>
          <w:tcPr>
            <w:tcW w:w="3969" w:type="dxa"/>
            <w:shd w:val="clear" w:color="auto" w:fill="F0FDF4"/>
          </w:tcPr>
          <w:p w14:paraId="6719EC01" w14:textId="3EE0C4D7" w:rsidR="006E640A" w:rsidRPr="00C63BEC" w:rsidRDefault="006E640A" w:rsidP="00EF5256">
            <w:pPr>
              <w:rPr>
                <w:rFonts w:ascii="Calibri" w:hAnsi="Calibri" w:cs="Calibri"/>
                <w:color w:val="166534"/>
                <w:sz w:val="20"/>
                <w:szCs w:val="20"/>
              </w:rPr>
            </w:pPr>
            <w:r w:rsidRPr="006E640A">
              <w:rPr>
                <w:rFonts w:ascii="Calibri" w:hAnsi="Calibri" w:cs="Calibri"/>
                <w:color w:val="166534"/>
                <w:sz w:val="20"/>
                <w:szCs w:val="20"/>
              </w:rPr>
              <w:t>Approved following review. Section 7 updated: clarified that Sales-to-Finance reconciliation timing (not pipeline execution) is what depends on both domains completing — confirmed via BDR-001's dependency map, which shows no source-system interface between POS/Shopify and SAP ECC's GL. Domain isolation model (Section 7) confirmed sound with no cross-domain execution dependency required.</w:t>
            </w:r>
          </w:p>
        </w:tc>
      </w:tr>
      <w:tr w:rsidR="0084517F" w:rsidRPr="00303CF7" w14:paraId="2CB719F1" w14:textId="77777777" w:rsidTr="00EF5256">
        <w:tc>
          <w:tcPr>
            <w:tcW w:w="1134" w:type="dxa"/>
            <w:shd w:val="clear" w:color="auto" w:fill="F0FDF4"/>
          </w:tcPr>
          <w:p w14:paraId="71BB6C20" w14:textId="5C26A83D" w:rsidR="0084517F" w:rsidRPr="006E640A" w:rsidRDefault="0084517F" w:rsidP="00EF5256">
            <w:pPr>
              <w:rPr>
                <w:rFonts w:ascii="Calibri" w:hAnsi="Calibri" w:cs="Calibri"/>
                <w:color w:val="166534"/>
                <w:sz w:val="20"/>
                <w:szCs w:val="20"/>
              </w:rPr>
            </w:pPr>
            <w:r>
              <w:rPr>
                <w:rFonts w:ascii="Calibri" w:hAnsi="Calibri" w:cs="Calibri"/>
                <w:color w:val="166534"/>
                <w:sz w:val="20"/>
                <w:szCs w:val="20"/>
              </w:rPr>
              <w:t>1.1</w:t>
            </w:r>
          </w:p>
        </w:tc>
        <w:tc>
          <w:tcPr>
            <w:tcW w:w="1701" w:type="dxa"/>
            <w:shd w:val="clear" w:color="auto" w:fill="F0FDF4"/>
          </w:tcPr>
          <w:p w14:paraId="3E2FF518" w14:textId="50BA431A" w:rsidR="0084517F" w:rsidRPr="006E640A" w:rsidRDefault="001974CF" w:rsidP="00EF5256">
            <w:pPr>
              <w:rPr>
                <w:rFonts w:ascii="Calibri" w:hAnsi="Calibri" w:cs="Calibri"/>
                <w:color w:val="166534"/>
                <w:sz w:val="20"/>
                <w:szCs w:val="20"/>
              </w:rPr>
            </w:pPr>
            <w:r>
              <w:rPr>
                <w:rFonts w:ascii="Calibri" w:hAnsi="Calibri" w:cs="Calibri"/>
                <w:color w:val="166534"/>
                <w:sz w:val="20"/>
                <w:szCs w:val="20"/>
              </w:rPr>
              <w:t>4 October 2026</w:t>
            </w:r>
          </w:p>
        </w:tc>
        <w:tc>
          <w:tcPr>
            <w:tcW w:w="2268" w:type="dxa"/>
            <w:shd w:val="clear" w:color="auto" w:fill="F0FDF4"/>
          </w:tcPr>
          <w:p w14:paraId="50DA8218" w14:textId="0E9B189A" w:rsidR="0084517F" w:rsidRPr="006E640A" w:rsidRDefault="001974CF" w:rsidP="00EF5256">
            <w:pPr>
              <w:rPr>
                <w:rFonts w:ascii="Calibri" w:hAnsi="Calibri" w:cs="Calibri"/>
                <w:color w:val="166534"/>
                <w:sz w:val="20"/>
                <w:szCs w:val="20"/>
              </w:rPr>
            </w:pPr>
            <w:r>
              <w:rPr>
                <w:rFonts w:ascii="Calibri" w:hAnsi="Calibri" w:cs="Calibri"/>
                <w:color w:val="166534"/>
                <w:sz w:val="20"/>
                <w:szCs w:val="20"/>
              </w:rPr>
              <w:t>Thozamile Mbalo</w:t>
            </w:r>
          </w:p>
        </w:tc>
        <w:tc>
          <w:tcPr>
            <w:tcW w:w="3969" w:type="dxa"/>
            <w:shd w:val="clear" w:color="auto" w:fill="F0FDF4"/>
          </w:tcPr>
          <w:p w14:paraId="69BDAD88" w14:textId="7BF048D9" w:rsidR="0084517F" w:rsidRPr="006E640A" w:rsidRDefault="001974CF" w:rsidP="00EF5256">
            <w:pPr>
              <w:rPr>
                <w:rFonts w:ascii="Calibri" w:hAnsi="Calibri" w:cs="Calibri"/>
                <w:color w:val="166534"/>
                <w:sz w:val="20"/>
                <w:szCs w:val="20"/>
              </w:rPr>
            </w:pPr>
            <w:r w:rsidRPr="001974CF">
              <w:rPr>
                <w:rFonts w:ascii="Calibri" w:hAnsi="Calibri" w:cs="Calibri"/>
                <w:color w:val="166534"/>
                <w:sz w:val="20"/>
                <w:szCs w:val="20"/>
              </w:rPr>
              <w:t>Section 7 aligned with FR-CCR-005: reconciliation now explicitly covers Bronze to Silver as well as Silver to Gold, with legitimately rejected rows accounted for via a logged reject table.</w:t>
            </w:r>
          </w:p>
        </w:tc>
      </w:tr>
    </w:tbl>
    <w:p w14:paraId="093E30E2" w14:textId="77777777" w:rsidR="00CE4E2C" w:rsidRDefault="00CE4E2C" w:rsidP="00CE4E2C">
      <w:pPr>
        <w:pStyle w:val="ListParagraph"/>
        <w:ind w:left="360"/>
      </w:pPr>
    </w:p>
    <w:p w14:paraId="31E5F7EA" w14:textId="77777777" w:rsidR="00CE4E2C" w:rsidRDefault="00CE4E2C" w:rsidP="00CE4E2C">
      <w:pPr>
        <w:pStyle w:val="ListParagraph"/>
        <w:ind w:left="360"/>
        <w:jc w:val="center"/>
      </w:pPr>
    </w:p>
    <w:p w14:paraId="5E648D1E" w14:textId="77777777" w:rsidR="00CE4E2C" w:rsidRPr="00CE4E2C" w:rsidRDefault="00CE4E2C" w:rsidP="00CE4E2C">
      <w:pPr>
        <w:pStyle w:val="ListParagraph"/>
        <w:ind w:left="360"/>
        <w:jc w:val="center"/>
        <w:rPr>
          <w:rFonts w:ascii="Calibri" w:hAnsi="Calibri" w:cs="Calibri"/>
          <w:i/>
          <w:iCs/>
          <w:color w:val="555555"/>
          <w:sz w:val="20"/>
          <w:szCs w:val="20"/>
        </w:rPr>
      </w:pPr>
      <w:r w:rsidRPr="00CE4E2C">
        <w:rPr>
          <w:rFonts w:ascii="Calibri" w:hAnsi="Calibri" w:cs="Calibri"/>
          <w:i/>
          <w:iCs/>
          <w:color w:val="555555"/>
          <w:sz w:val="20"/>
          <w:szCs w:val="20"/>
        </w:rPr>
        <w:t>— End of Document —</w:t>
      </w:r>
    </w:p>
    <w:p w14:paraId="42282F01" w14:textId="77777777" w:rsidR="00CE4E2C" w:rsidRPr="00674D58" w:rsidRDefault="00CE4E2C" w:rsidP="00674D58">
      <w:pPr>
        <w:tabs>
          <w:tab w:val="left" w:pos="1791"/>
        </w:tabs>
        <w:rPr>
          <w:lang w:val="en-US"/>
        </w:rPr>
      </w:pPr>
    </w:p>
    <w:sectPr w:rsidR="00CE4E2C" w:rsidRPr="00674D58" w:rsidSect="00E74F73">
      <w:headerReference w:type="default"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2E3E4" w14:textId="77777777" w:rsidR="00075019" w:rsidRDefault="00075019" w:rsidP="00E74F73">
      <w:pPr>
        <w:spacing w:after="0" w:line="240" w:lineRule="auto"/>
      </w:pPr>
      <w:r>
        <w:separator/>
      </w:r>
    </w:p>
  </w:endnote>
  <w:endnote w:type="continuationSeparator" w:id="0">
    <w:p w14:paraId="05652C11" w14:textId="77777777" w:rsidR="00075019" w:rsidRDefault="00075019" w:rsidP="00E74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F0C07" w14:textId="301DCA95" w:rsidR="0053707D" w:rsidRDefault="004B1973" w:rsidP="006C1B5E">
    <w:pPr>
      <w:pStyle w:val="Footer"/>
      <w:pBdr>
        <w:top w:val="single" w:sz="4" w:space="1" w:color="D0D8EC"/>
      </w:pBdr>
    </w:pPr>
    <w:r>
      <w:rPr>
        <w:rFonts w:ascii="Calibri" w:hAnsi="Calibri" w:cs="Calibri"/>
        <w:color w:val="555555"/>
        <w:sz w:val="16"/>
        <w:szCs w:val="16"/>
      </w:rPr>
      <w:t>D</w:t>
    </w:r>
    <w:r w:rsidR="00EA3B59">
      <w:rPr>
        <w:rFonts w:ascii="Calibri" w:hAnsi="Calibri" w:cs="Calibri"/>
        <w:color w:val="555555"/>
        <w:sz w:val="16"/>
        <w:szCs w:val="16"/>
      </w:rPr>
      <w:t>I</w:t>
    </w:r>
    <w:r w:rsidR="00643CDC">
      <w:rPr>
        <w:rFonts w:ascii="Calibri" w:hAnsi="Calibri" w:cs="Calibri"/>
        <w:color w:val="555555"/>
        <w:sz w:val="16"/>
        <w:szCs w:val="16"/>
      </w:rPr>
      <w:t>D</w:t>
    </w:r>
    <w:r w:rsidR="0053707D" w:rsidRPr="001D0227">
      <w:rPr>
        <w:rFonts w:ascii="Calibri" w:hAnsi="Calibri" w:cs="Calibri"/>
        <w:color w:val="555555"/>
        <w:sz w:val="16"/>
        <w:szCs w:val="16"/>
      </w:rPr>
      <w:t xml:space="preserve">-001 | </w:t>
    </w:r>
    <w:r w:rsidR="00EA3B59">
      <w:rPr>
        <w:rFonts w:ascii="Calibri" w:hAnsi="Calibri" w:cs="Calibri"/>
        <w:color w:val="555555"/>
        <w:sz w:val="16"/>
        <w:szCs w:val="16"/>
      </w:rPr>
      <w:t>Data Integration Design</w:t>
    </w:r>
    <w:r w:rsidR="0053707D" w:rsidRPr="001D0227">
      <w:rPr>
        <w:rFonts w:ascii="Calibri" w:hAnsi="Calibri" w:cs="Calibri"/>
        <w:color w:val="555555"/>
        <w:sz w:val="16"/>
        <w:szCs w:val="16"/>
      </w:rPr>
      <w:t xml:space="preserve"> | Step </w:t>
    </w:r>
    <w:r w:rsidR="00EA3B59">
      <w:rPr>
        <w:rFonts w:ascii="Calibri" w:hAnsi="Calibri" w:cs="Calibri"/>
        <w:color w:val="555555"/>
        <w:sz w:val="16"/>
        <w:szCs w:val="16"/>
      </w:rPr>
      <w:t>10</w:t>
    </w:r>
    <w:r w:rsidR="0053707D" w:rsidRPr="001D0227">
      <w:rPr>
        <w:rFonts w:ascii="Calibri" w:hAnsi="Calibri" w:cs="Calibri"/>
        <w:color w:val="555555"/>
        <w:sz w:val="16"/>
        <w:szCs w:val="16"/>
      </w:rPr>
      <w:t xml:space="preserve"> </w:t>
    </w:r>
    <w:r w:rsidR="0053707D" w:rsidRPr="006C1B5E">
      <w:rPr>
        <w:rFonts w:ascii="Calibri" w:hAnsi="Calibri" w:cs="Calibri"/>
        <w:color w:val="555555"/>
        <w:sz w:val="16"/>
        <w:szCs w:val="16"/>
      </w:rPr>
      <w:t>Deliverable</w:t>
    </w:r>
    <w:r w:rsidR="0053707D" w:rsidRPr="006C1B5E">
      <w:rPr>
        <w:rFonts w:ascii="Calibri" w:hAnsi="Calibri" w:cs="Calibri"/>
        <w:color w:val="555555"/>
        <w:sz w:val="16"/>
        <w:szCs w:val="16"/>
      </w:rPr>
      <w:ptab w:relativeTo="margin" w:alignment="center" w:leader="none"/>
    </w:r>
    <w:r w:rsidR="0053707D" w:rsidRPr="006C1B5E">
      <w:rPr>
        <w:rFonts w:ascii="Calibri" w:hAnsi="Calibri" w:cs="Calibri"/>
        <w:color w:val="555555"/>
        <w:sz w:val="16"/>
        <w:szCs w:val="16"/>
      </w:rPr>
      <w:ptab w:relativeTo="margin" w:alignment="right" w:leader="none"/>
    </w:r>
    <w:r w:rsidR="0053707D" w:rsidRPr="006C1B5E">
      <w:rPr>
        <w:rFonts w:ascii="Calibri" w:hAnsi="Calibri" w:cs="Calibri"/>
        <w:color w:val="555555"/>
        <w:sz w:val="16"/>
        <w:szCs w:val="16"/>
      </w:rPr>
      <w:t>Page</w:t>
    </w:r>
    <w:r w:rsidR="0053707D" w:rsidRPr="0053707D">
      <w:t xml:space="preserve"> </w:t>
    </w:r>
    <w:r w:rsidR="0053707D" w:rsidRPr="006C1B5E">
      <w:rPr>
        <w:rFonts w:ascii="Calibri" w:hAnsi="Calibri" w:cs="Calibri"/>
        <w:b/>
        <w:bCs/>
        <w:color w:val="555555"/>
        <w:sz w:val="16"/>
        <w:szCs w:val="16"/>
      </w:rPr>
      <w:fldChar w:fldCharType="begin"/>
    </w:r>
    <w:r w:rsidR="0053707D" w:rsidRPr="006C1B5E">
      <w:rPr>
        <w:rFonts w:ascii="Calibri" w:hAnsi="Calibri" w:cs="Calibri"/>
        <w:b/>
        <w:bCs/>
        <w:color w:val="555555"/>
        <w:sz w:val="16"/>
        <w:szCs w:val="16"/>
      </w:rPr>
      <w:instrText xml:space="preserve"> PAGE  \* Arabic  \* MERGEFORMAT </w:instrText>
    </w:r>
    <w:r w:rsidR="0053707D" w:rsidRPr="006C1B5E">
      <w:rPr>
        <w:rFonts w:ascii="Calibri" w:hAnsi="Calibri" w:cs="Calibri"/>
        <w:b/>
        <w:bCs/>
        <w:color w:val="555555"/>
        <w:sz w:val="16"/>
        <w:szCs w:val="16"/>
      </w:rPr>
      <w:fldChar w:fldCharType="separate"/>
    </w:r>
    <w:r w:rsidR="0053707D" w:rsidRPr="006C1B5E">
      <w:rPr>
        <w:rFonts w:ascii="Calibri" w:hAnsi="Calibri" w:cs="Calibri"/>
        <w:b/>
        <w:bCs/>
        <w:noProof/>
        <w:color w:val="555555"/>
        <w:sz w:val="16"/>
        <w:szCs w:val="16"/>
      </w:rPr>
      <w:t>1</w:t>
    </w:r>
    <w:r w:rsidR="0053707D" w:rsidRPr="006C1B5E">
      <w:rPr>
        <w:rFonts w:ascii="Calibri" w:hAnsi="Calibri" w:cs="Calibri"/>
        <w:b/>
        <w:bCs/>
        <w:color w:val="555555"/>
        <w:sz w:val="16"/>
        <w:szCs w:val="16"/>
      </w:rPr>
      <w:fldChar w:fldCharType="end"/>
    </w:r>
    <w:r w:rsidR="0053707D" w:rsidRPr="006C1B5E">
      <w:rPr>
        <w:rFonts w:ascii="Calibri" w:hAnsi="Calibri" w:cs="Calibri"/>
        <w:color w:val="555555"/>
        <w:sz w:val="16"/>
        <w:szCs w:val="16"/>
      </w:rPr>
      <w:t xml:space="preserve"> of </w:t>
    </w:r>
    <w:r w:rsidR="0053707D" w:rsidRPr="006C1B5E">
      <w:rPr>
        <w:rFonts w:ascii="Calibri" w:hAnsi="Calibri" w:cs="Calibri"/>
        <w:b/>
        <w:bCs/>
        <w:color w:val="555555"/>
        <w:sz w:val="16"/>
        <w:szCs w:val="16"/>
      </w:rPr>
      <w:fldChar w:fldCharType="begin"/>
    </w:r>
    <w:r w:rsidR="0053707D" w:rsidRPr="006C1B5E">
      <w:rPr>
        <w:rFonts w:ascii="Calibri" w:hAnsi="Calibri" w:cs="Calibri"/>
        <w:b/>
        <w:bCs/>
        <w:color w:val="555555"/>
        <w:sz w:val="16"/>
        <w:szCs w:val="16"/>
      </w:rPr>
      <w:instrText xml:space="preserve"> NUMPAGES  \* Arabic  \* MERGEFORMAT </w:instrText>
    </w:r>
    <w:r w:rsidR="0053707D" w:rsidRPr="006C1B5E">
      <w:rPr>
        <w:rFonts w:ascii="Calibri" w:hAnsi="Calibri" w:cs="Calibri"/>
        <w:b/>
        <w:bCs/>
        <w:color w:val="555555"/>
        <w:sz w:val="16"/>
        <w:szCs w:val="16"/>
      </w:rPr>
      <w:fldChar w:fldCharType="separate"/>
    </w:r>
    <w:r w:rsidR="0053707D" w:rsidRPr="006C1B5E">
      <w:rPr>
        <w:rFonts w:ascii="Calibri" w:hAnsi="Calibri" w:cs="Calibri"/>
        <w:b/>
        <w:bCs/>
        <w:noProof/>
        <w:color w:val="555555"/>
        <w:sz w:val="16"/>
        <w:szCs w:val="16"/>
      </w:rPr>
      <w:t>2</w:t>
    </w:r>
    <w:r w:rsidR="0053707D" w:rsidRPr="006C1B5E">
      <w:rPr>
        <w:rFonts w:ascii="Calibri" w:hAnsi="Calibri" w:cs="Calibri"/>
        <w:b/>
        <w:bCs/>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8FCED" w14:textId="77777777" w:rsidR="00075019" w:rsidRDefault="00075019" w:rsidP="00E74F73">
      <w:pPr>
        <w:spacing w:after="0" w:line="240" w:lineRule="auto"/>
      </w:pPr>
      <w:r>
        <w:separator/>
      </w:r>
    </w:p>
  </w:footnote>
  <w:footnote w:type="continuationSeparator" w:id="0">
    <w:p w14:paraId="3DB9DCAD" w14:textId="77777777" w:rsidR="00075019" w:rsidRDefault="00075019" w:rsidP="00E74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8A59C" w14:textId="6F109304" w:rsidR="00E74F73" w:rsidRDefault="00E74F73" w:rsidP="00E74F73">
    <w:pPr>
      <w:pStyle w:val="Header"/>
      <w:pBdr>
        <w:bottom w:val="single" w:sz="4" w:space="1" w:color="C8A96E"/>
      </w:pBdr>
    </w:pPr>
    <w:r w:rsidRPr="00E74F73">
      <w:rPr>
        <w:rFonts w:ascii="Calibri" w:hAnsi="Calibri" w:cs="Calibri"/>
        <w:color w:val="1A2E5A"/>
        <w:sz w:val="18"/>
        <w:szCs w:val="18"/>
      </w:rPr>
      <w:t>RetailSphere (Pty) Ltd– Data Platform Programme</w:t>
    </w:r>
    <w:r w:rsidRPr="00E74F73">
      <w:rPr>
        <w:rFonts w:ascii="Calibri" w:hAnsi="Calibri" w:cs="Calibri"/>
        <w:b/>
        <w:bCs/>
        <w:color w:val="1A2E5A"/>
        <w:sz w:val="18"/>
        <w:szCs w:val="18"/>
      </w:rPr>
      <w:ptab w:relativeTo="margin" w:alignment="center" w:leader="none"/>
    </w:r>
    <w:r w:rsidRPr="00E74F73">
      <w:rPr>
        <w:rFonts w:ascii="Calibri" w:hAnsi="Calibri" w:cs="Calibri"/>
        <w:color w:val="555555"/>
        <w:sz w:val="16"/>
        <w:szCs w:val="16"/>
      </w:rPr>
      <w:ptab w:relativeTo="margin" w:alignment="right" w:leader="none"/>
    </w:r>
    <w:r w:rsidRPr="00E74F73">
      <w:rPr>
        <w:rFonts w:ascii="Calibri" w:hAnsi="Calibri" w:cs="Calibri"/>
        <w:color w:val="555555"/>
        <w:sz w:val="16"/>
        <w:szCs w:val="16"/>
      </w:rPr>
      <w:t xml:space="preserve">CONFIDENTIAL | </w:t>
    </w:r>
    <w:r w:rsidR="004B1973">
      <w:rPr>
        <w:rFonts w:ascii="Calibri" w:hAnsi="Calibri" w:cs="Calibri"/>
        <w:color w:val="555555"/>
        <w:sz w:val="16"/>
        <w:szCs w:val="16"/>
      </w:rPr>
      <w:t>D</w:t>
    </w:r>
    <w:r w:rsidR="00EA3B59">
      <w:rPr>
        <w:rFonts w:ascii="Calibri" w:hAnsi="Calibri" w:cs="Calibri"/>
        <w:color w:val="555555"/>
        <w:sz w:val="16"/>
        <w:szCs w:val="16"/>
      </w:rPr>
      <w:t>I</w:t>
    </w:r>
    <w:r w:rsidR="00B723C7">
      <w:rPr>
        <w:rFonts w:ascii="Calibri" w:hAnsi="Calibri" w:cs="Calibri"/>
        <w:color w:val="555555"/>
        <w:sz w:val="16"/>
        <w:szCs w:val="16"/>
      </w:rPr>
      <w:t>D</w:t>
    </w:r>
    <w:r w:rsidRPr="00E74F73">
      <w:rPr>
        <w:rFonts w:ascii="Calibri" w:hAnsi="Calibri" w:cs="Calibri"/>
        <w:color w:val="555555"/>
        <w:sz w:val="16"/>
        <w:szCs w:val="16"/>
      </w:rPr>
      <w:t>-001 v1.</w:t>
    </w:r>
    <w:r w:rsidR="00E5115D">
      <w:rPr>
        <w:rFonts w:ascii="Calibri" w:hAnsi="Calibri" w:cs="Calibri"/>
        <w:color w:val="555555"/>
        <w:sz w:val="16"/>
        <w:szCs w:val="16"/>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1642D"/>
    <w:multiLevelType w:val="hybridMultilevel"/>
    <w:tmpl w:val="CA5A71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D593B54"/>
    <w:multiLevelType w:val="hybridMultilevel"/>
    <w:tmpl w:val="7496F8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0A119A7"/>
    <w:multiLevelType w:val="hybridMultilevel"/>
    <w:tmpl w:val="18ACFD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5EB1947"/>
    <w:multiLevelType w:val="hybridMultilevel"/>
    <w:tmpl w:val="F3F496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6A862CA"/>
    <w:multiLevelType w:val="hybridMultilevel"/>
    <w:tmpl w:val="3AAC57B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1F680C4C"/>
    <w:multiLevelType w:val="hybridMultilevel"/>
    <w:tmpl w:val="E08E45C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097799F"/>
    <w:multiLevelType w:val="hybridMultilevel"/>
    <w:tmpl w:val="4458399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C44730A"/>
    <w:multiLevelType w:val="hybridMultilevel"/>
    <w:tmpl w:val="61BAA680"/>
    <w:lvl w:ilvl="0" w:tplc="896A29F8">
      <w:start w:val="1"/>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07D4EDB"/>
    <w:multiLevelType w:val="hybridMultilevel"/>
    <w:tmpl w:val="DC88E9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2463112"/>
    <w:multiLevelType w:val="multilevel"/>
    <w:tmpl w:val="087E3B44"/>
    <w:lvl w:ilvl="0">
      <w:start w:val="1"/>
      <w:numFmt w:val="decimal"/>
      <w:lvlText w:val="%1."/>
      <w:lvlJc w:val="left"/>
      <w:pPr>
        <w:ind w:left="360" w:hanging="360"/>
      </w:pPr>
      <w:rPr>
        <w:rFonts w:hint="default"/>
      </w:rPr>
    </w:lvl>
    <w:lvl w:ilvl="1">
      <w:start w:val="1"/>
      <w:numFmt w:val="decimal"/>
      <w:isLgl/>
      <w:lvlText w:val="%1.%2"/>
      <w:lvlJc w:val="left"/>
      <w:pPr>
        <w:ind w:left="195" w:hanging="555"/>
      </w:pPr>
      <w:rPr>
        <w:rFonts w:eastAsiaTheme="majorEastAsia" w:hint="default"/>
        <w:b/>
        <w:color w:val="1A2E5A"/>
        <w:sz w:val="24"/>
        <w:szCs w:val="24"/>
      </w:rPr>
    </w:lvl>
    <w:lvl w:ilvl="2">
      <w:start w:val="1"/>
      <w:numFmt w:val="decimal"/>
      <w:isLgl/>
      <w:lvlText w:val="%1.%2.%3"/>
      <w:lvlJc w:val="left"/>
      <w:pPr>
        <w:ind w:left="360" w:hanging="720"/>
      </w:pPr>
      <w:rPr>
        <w:rFonts w:eastAsiaTheme="majorEastAsia" w:hint="default"/>
        <w:b/>
        <w:color w:val="1A2E5A"/>
        <w:sz w:val="24"/>
      </w:rPr>
    </w:lvl>
    <w:lvl w:ilvl="3">
      <w:start w:val="1"/>
      <w:numFmt w:val="decimal"/>
      <w:isLgl/>
      <w:lvlText w:val="%1.%2.%3.%4"/>
      <w:lvlJc w:val="left"/>
      <w:pPr>
        <w:ind w:left="720" w:hanging="720"/>
      </w:pPr>
      <w:rPr>
        <w:rFonts w:eastAsiaTheme="majorEastAsia" w:hint="default"/>
        <w:b/>
        <w:color w:val="1A2E5A"/>
        <w:sz w:val="24"/>
      </w:rPr>
    </w:lvl>
    <w:lvl w:ilvl="4">
      <w:start w:val="1"/>
      <w:numFmt w:val="decimal"/>
      <w:isLgl/>
      <w:lvlText w:val="%1.%2.%3.%4.%5"/>
      <w:lvlJc w:val="left"/>
      <w:pPr>
        <w:ind w:left="1080" w:hanging="1080"/>
      </w:pPr>
      <w:rPr>
        <w:rFonts w:eastAsiaTheme="majorEastAsia" w:hint="default"/>
        <w:b/>
        <w:color w:val="1A2E5A"/>
        <w:sz w:val="24"/>
      </w:rPr>
    </w:lvl>
    <w:lvl w:ilvl="5">
      <w:start w:val="1"/>
      <w:numFmt w:val="decimal"/>
      <w:isLgl/>
      <w:lvlText w:val="%1.%2.%3.%4.%5.%6"/>
      <w:lvlJc w:val="left"/>
      <w:pPr>
        <w:ind w:left="1080" w:hanging="1080"/>
      </w:pPr>
      <w:rPr>
        <w:rFonts w:eastAsiaTheme="majorEastAsia" w:hint="default"/>
        <w:b/>
        <w:color w:val="1A2E5A"/>
        <w:sz w:val="24"/>
      </w:rPr>
    </w:lvl>
    <w:lvl w:ilvl="6">
      <w:start w:val="1"/>
      <w:numFmt w:val="decimal"/>
      <w:isLgl/>
      <w:lvlText w:val="%1.%2.%3.%4.%5.%6.%7"/>
      <w:lvlJc w:val="left"/>
      <w:pPr>
        <w:ind w:left="1440" w:hanging="1440"/>
      </w:pPr>
      <w:rPr>
        <w:rFonts w:eastAsiaTheme="majorEastAsia" w:hint="default"/>
        <w:b/>
        <w:color w:val="1A2E5A"/>
        <w:sz w:val="24"/>
      </w:rPr>
    </w:lvl>
    <w:lvl w:ilvl="7">
      <w:start w:val="1"/>
      <w:numFmt w:val="decimal"/>
      <w:isLgl/>
      <w:lvlText w:val="%1.%2.%3.%4.%5.%6.%7.%8"/>
      <w:lvlJc w:val="left"/>
      <w:pPr>
        <w:ind w:left="1440" w:hanging="1440"/>
      </w:pPr>
      <w:rPr>
        <w:rFonts w:eastAsiaTheme="majorEastAsia" w:hint="default"/>
        <w:b/>
        <w:color w:val="1A2E5A"/>
        <w:sz w:val="24"/>
      </w:rPr>
    </w:lvl>
    <w:lvl w:ilvl="8">
      <w:start w:val="1"/>
      <w:numFmt w:val="decimal"/>
      <w:isLgl/>
      <w:lvlText w:val="%1.%2.%3.%4.%5.%6.%7.%8.%9"/>
      <w:lvlJc w:val="left"/>
      <w:pPr>
        <w:ind w:left="1800" w:hanging="1800"/>
      </w:pPr>
      <w:rPr>
        <w:rFonts w:eastAsiaTheme="majorEastAsia" w:hint="default"/>
        <w:b/>
        <w:color w:val="1A2E5A"/>
        <w:sz w:val="24"/>
      </w:rPr>
    </w:lvl>
  </w:abstractNum>
  <w:abstractNum w:abstractNumId="10" w15:restartNumberingAfterBreak="0">
    <w:nsid w:val="44F94C46"/>
    <w:multiLevelType w:val="multilevel"/>
    <w:tmpl w:val="087E3B44"/>
    <w:lvl w:ilvl="0">
      <w:start w:val="1"/>
      <w:numFmt w:val="decimal"/>
      <w:lvlText w:val="%1."/>
      <w:lvlJc w:val="left"/>
      <w:pPr>
        <w:ind w:left="720" w:hanging="360"/>
      </w:pPr>
      <w:rPr>
        <w:rFonts w:hint="default"/>
      </w:rPr>
    </w:lvl>
    <w:lvl w:ilvl="1">
      <w:start w:val="1"/>
      <w:numFmt w:val="decimal"/>
      <w:isLgl/>
      <w:lvlText w:val="%1.%2"/>
      <w:lvlJc w:val="left"/>
      <w:pPr>
        <w:ind w:left="915" w:hanging="555"/>
      </w:pPr>
      <w:rPr>
        <w:rFonts w:eastAsiaTheme="majorEastAsia" w:hint="default"/>
        <w:sz w:val="24"/>
      </w:rPr>
    </w:lvl>
    <w:lvl w:ilvl="2">
      <w:start w:val="1"/>
      <w:numFmt w:val="decimal"/>
      <w:isLgl/>
      <w:lvlText w:val="%1.%2.%3"/>
      <w:lvlJc w:val="left"/>
      <w:pPr>
        <w:ind w:left="1080" w:hanging="720"/>
      </w:pPr>
      <w:rPr>
        <w:rFonts w:eastAsiaTheme="majorEastAsia" w:hint="default"/>
        <w:sz w:val="24"/>
      </w:rPr>
    </w:lvl>
    <w:lvl w:ilvl="3">
      <w:start w:val="1"/>
      <w:numFmt w:val="decimal"/>
      <w:isLgl/>
      <w:lvlText w:val="%1.%2.%3.%4"/>
      <w:lvlJc w:val="left"/>
      <w:pPr>
        <w:ind w:left="1080" w:hanging="720"/>
      </w:pPr>
      <w:rPr>
        <w:rFonts w:eastAsiaTheme="majorEastAsia" w:hint="default"/>
        <w:sz w:val="24"/>
      </w:rPr>
    </w:lvl>
    <w:lvl w:ilvl="4">
      <w:start w:val="1"/>
      <w:numFmt w:val="decimal"/>
      <w:isLgl/>
      <w:lvlText w:val="%1.%2.%3.%4.%5"/>
      <w:lvlJc w:val="left"/>
      <w:pPr>
        <w:ind w:left="1440" w:hanging="1080"/>
      </w:pPr>
      <w:rPr>
        <w:rFonts w:eastAsiaTheme="majorEastAsia" w:hint="default"/>
        <w:sz w:val="24"/>
      </w:rPr>
    </w:lvl>
    <w:lvl w:ilvl="5">
      <w:start w:val="1"/>
      <w:numFmt w:val="decimal"/>
      <w:isLgl/>
      <w:lvlText w:val="%1.%2.%3.%4.%5.%6"/>
      <w:lvlJc w:val="left"/>
      <w:pPr>
        <w:ind w:left="1440" w:hanging="1080"/>
      </w:pPr>
      <w:rPr>
        <w:rFonts w:eastAsiaTheme="majorEastAsia" w:hint="default"/>
        <w:sz w:val="24"/>
      </w:rPr>
    </w:lvl>
    <w:lvl w:ilvl="6">
      <w:start w:val="1"/>
      <w:numFmt w:val="decimal"/>
      <w:isLgl/>
      <w:lvlText w:val="%1.%2.%3.%4.%5.%6.%7"/>
      <w:lvlJc w:val="left"/>
      <w:pPr>
        <w:ind w:left="1800" w:hanging="1440"/>
      </w:pPr>
      <w:rPr>
        <w:rFonts w:eastAsiaTheme="majorEastAsia" w:hint="default"/>
        <w:sz w:val="24"/>
      </w:rPr>
    </w:lvl>
    <w:lvl w:ilvl="7">
      <w:start w:val="1"/>
      <w:numFmt w:val="decimal"/>
      <w:isLgl/>
      <w:lvlText w:val="%1.%2.%3.%4.%5.%6.%7.%8"/>
      <w:lvlJc w:val="left"/>
      <w:pPr>
        <w:ind w:left="1800" w:hanging="1440"/>
      </w:pPr>
      <w:rPr>
        <w:rFonts w:eastAsiaTheme="majorEastAsia" w:hint="default"/>
        <w:sz w:val="24"/>
      </w:rPr>
    </w:lvl>
    <w:lvl w:ilvl="8">
      <w:start w:val="1"/>
      <w:numFmt w:val="decimal"/>
      <w:isLgl/>
      <w:lvlText w:val="%1.%2.%3.%4.%5.%6.%7.%8.%9"/>
      <w:lvlJc w:val="left"/>
      <w:pPr>
        <w:ind w:left="2160" w:hanging="1800"/>
      </w:pPr>
      <w:rPr>
        <w:rFonts w:eastAsiaTheme="majorEastAsia" w:hint="default"/>
        <w:sz w:val="24"/>
      </w:rPr>
    </w:lvl>
  </w:abstractNum>
  <w:abstractNum w:abstractNumId="11" w15:restartNumberingAfterBreak="0">
    <w:nsid w:val="4AB3716D"/>
    <w:multiLevelType w:val="multilevel"/>
    <w:tmpl w:val="406CFA8C"/>
    <w:lvl w:ilvl="0">
      <w:start w:val="2024"/>
      <w:numFmt w:val="decimal"/>
      <w:lvlText w:val="%1"/>
      <w:lvlJc w:val="left"/>
      <w:pPr>
        <w:ind w:left="840" w:hanging="840"/>
      </w:pPr>
      <w:rPr>
        <w:rFonts w:hint="default"/>
      </w:rPr>
    </w:lvl>
    <w:lvl w:ilvl="1">
      <w:start w:val="1"/>
      <w:numFmt w:val="decimalZero"/>
      <w:lvlText w:val="%1-%2"/>
      <w:lvlJc w:val="left"/>
      <w:pPr>
        <w:ind w:left="840" w:hanging="840"/>
      </w:pPr>
      <w:rPr>
        <w:rFonts w:hint="default"/>
      </w:rPr>
    </w:lvl>
    <w:lvl w:ilvl="2">
      <w:start w:val="1"/>
      <w:numFmt w:val="decimalZero"/>
      <w:lvlText w:val="%1-%2-%3"/>
      <w:lvlJc w:val="left"/>
      <w:pPr>
        <w:ind w:left="840" w:hanging="840"/>
      </w:pPr>
      <w:rPr>
        <w:rFonts w:hint="default"/>
      </w:rPr>
    </w:lvl>
    <w:lvl w:ilvl="3">
      <w:start w:val="1"/>
      <w:numFmt w:val="decimal"/>
      <w:lvlText w:val="%1-%2-%3.%4"/>
      <w:lvlJc w:val="left"/>
      <w:pPr>
        <w:ind w:left="840" w:hanging="84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ED21C4A"/>
    <w:multiLevelType w:val="multilevel"/>
    <w:tmpl w:val="3DEE474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534705EB"/>
    <w:multiLevelType w:val="hybridMultilevel"/>
    <w:tmpl w:val="7D4C65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AFC4623"/>
    <w:multiLevelType w:val="hybridMultilevel"/>
    <w:tmpl w:val="CC08D5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65E53D3A"/>
    <w:multiLevelType w:val="hybridMultilevel"/>
    <w:tmpl w:val="FD8C6AE8"/>
    <w:lvl w:ilvl="0" w:tplc="B884419A">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6AD52F73"/>
    <w:multiLevelType w:val="hybridMultilevel"/>
    <w:tmpl w:val="0A886C4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778D2E13"/>
    <w:multiLevelType w:val="hybridMultilevel"/>
    <w:tmpl w:val="86C0F5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7CE77FDA"/>
    <w:multiLevelType w:val="hybridMultilevel"/>
    <w:tmpl w:val="43E61A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7DAD2AEB"/>
    <w:multiLevelType w:val="hybridMultilevel"/>
    <w:tmpl w:val="7F0463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33341489">
    <w:abstractNumId w:val="12"/>
  </w:num>
  <w:num w:numId="2" w16cid:durableId="61801767">
    <w:abstractNumId w:val="15"/>
  </w:num>
  <w:num w:numId="3" w16cid:durableId="261035166">
    <w:abstractNumId w:val="9"/>
  </w:num>
  <w:num w:numId="4" w16cid:durableId="726105237">
    <w:abstractNumId w:val="11"/>
  </w:num>
  <w:num w:numId="5" w16cid:durableId="851844755">
    <w:abstractNumId w:val="5"/>
  </w:num>
  <w:num w:numId="6" w16cid:durableId="1358582591">
    <w:abstractNumId w:val="16"/>
  </w:num>
  <w:num w:numId="7" w16cid:durableId="240414948">
    <w:abstractNumId w:val="10"/>
  </w:num>
  <w:num w:numId="8" w16cid:durableId="1518346777">
    <w:abstractNumId w:val="7"/>
  </w:num>
  <w:num w:numId="9" w16cid:durableId="2108653453">
    <w:abstractNumId w:val="4"/>
  </w:num>
  <w:num w:numId="10" w16cid:durableId="985280428">
    <w:abstractNumId w:val="6"/>
  </w:num>
  <w:num w:numId="11" w16cid:durableId="1318807528">
    <w:abstractNumId w:val="18"/>
  </w:num>
  <w:num w:numId="12" w16cid:durableId="2055885035">
    <w:abstractNumId w:val="2"/>
  </w:num>
  <w:num w:numId="13" w16cid:durableId="184832966">
    <w:abstractNumId w:val="1"/>
  </w:num>
  <w:num w:numId="14" w16cid:durableId="1984112682">
    <w:abstractNumId w:val="0"/>
  </w:num>
  <w:num w:numId="15" w16cid:durableId="1522275779">
    <w:abstractNumId w:val="3"/>
  </w:num>
  <w:num w:numId="16" w16cid:durableId="129059050">
    <w:abstractNumId w:val="19"/>
  </w:num>
  <w:num w:numId="17" w16cid:durableId="1435176202">
    <w:abstractNumId w:val="14"/>
  </w:num>
  <w:num w:numId="18" w16cid:durableId="550043869">
    <w:abstractNumId w:val="13"/>
  </w:num>
  <w:num w:numId="19" w16cid:durableId="1355619352">
    <w:abstractNumId w:val="17"/>
  </w:num>
  <w:num w:numId="20" w16cid:durableId="10437931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73"/>
    <w:rsid w:val="00005EBE"/>
    <w:rsid w:val="00006887"/>
    <w:rsid w:val="00013BD8"/>
    <w:rsid w:val="0002384B"/>
    <w:rsid w:val="000401B1"/>
    <w:rsid w:val="00075019"/>
    <w:rsid w:val="000A75B3"/>
    <w:rsid w:val="000B11C5"/>
    <w:rsid w:val="000D28FA"/>
    <w:rsid w:val="000E3CBC"/>
    <w:rsid w:val="000E5B1D"/>
    <w:rsid w:val="000F026C"/>
    <w:rsid w:val="001049E5"/>
    <w:rsid w:val="00136303"/>
    <w:rsid w:val="001619E8"/>
    <w:rsid w:val="00174D1F"/>
    <w:rsid w:val="001761AE"/>
    <w:rsid w:val="001830D7"/>
    <w:rsid w:val="00186089"/>
    <w:rsid w:val="001974CF"/>
    <w:rsid w:val="001A1675"/>
    <w:rsid w:val="001E7C49"/>
    <w:rsid w:val="002044A7"/>
    <w:rsid w:val="00260698"/>
    <w:rsid w:val="00262308"/>
    <w:rsid w:val="00277A63"/>
    <w:rsid w:val="00280422"/>
    <w:rsid w:val="00280F6B"/>
    <w:rsid w:val="002D14DA"/>
    <w:rsid w:val="002D69E4"/>
    <w:rsid w:val="00315E9E"/>
    <w:rsid w:val="003218A7"/>
    <w:rsid w:val="00325057"/>
    <w:rsid w:val="00326BFD"/>
    <w:rsid w:val="0039112D"/>
    <w:rsid w:val="003A591B"/>
    <w:rsid w:val="003A6A39"/>
    <w:rsid w:val="003A7AFD"/>
    <w:rsid w:val="003A7CBB"/>
    <w:rsid w:val="003C0BD2"/>
    <w:rsid w:val="003D29DA"/>
    <w:rsid w:val="003D3B2C"/>
    <w:rsid w:val="00406DB4"/>
    <w:rsid w:val="0040786F"/>
    <w:rsid w:val="004225CD"/>
    <w:rsid w:val="00430476"/>
    <w:rsid w:val="004413C2"/>
    <w:rsid w:val="00442AB6"/>
    <w:rsid w:val="0045277B"/>
    <w:rsid w:val="00464EE4"/>
    <w:rsid w:val="00471FCC"/>
    <w:rsid w:val="0048367F"/>
    <w:rsid w:val="004A40EE"/>
    <w:rsid w:val="004B1973"/>
    <w:rsid w:val="004B694C"/>
    <w:rsid w:val="004D1010"/>
    <w:rsid w:val="004E6A7C"/>
    <w:rsid w:val="004E7627"/>
    <w:rsid w:val="0050018C"/>
    <w:rsid w:val="0051797A"/>
    <w:rsid w:val="0052215A"/>
    <w:rsid w:val="00524490"/>
    <w:rsid w:val="005278B1"/>
    <w:rsid w:val="0053707D"/>
    <w:rsid w:val="00540085"/>
    <w:rsid w:val="005503B7"/>
    <w:rsid w:val="00560D6A"/>
    <w:rsid w:val="005812EB"/>
    <w:rsid w:val="00584694"/>
    <w:rsid w:val="005B760D"/>
    <w:rsid w:val="005C7E17"/>
    <w:rsid w:val="005D7EE4"/>
    <w:rsid w:val="005E0E47"/>
    <w:rsid w:val="005E4764"/>
    <w:rsid w:val="005E4D72"/>
    <w:rsid w:val="006130C1"/>
    <w:rsid w:val="006174BD"/>
    <w:rsid w:val="0062447A"/>
    <w:rsid w:val="00643CDC"/>
    <w:rsid w:val="00652921"/>
    <w:rsid w:val="00671E92"/>
    <w:rsid w:val="00674D58"/>
    <w:rsid w:val="006836F2"/>
    <w:rsid w:val="006B16CF"/>
    <w:rsid w:val="006B3604"/>
    <w:rsid w:val="006C1B5E"/>
    <w:rsid w:val="006E640A"/>
    <w:rsid w:val="00706126"/>
    <w:rsid w:val="007268C5"/>
    <w:rsid w:val="00760AC3"/>
    <w:rsid w:val="00766ED3"/>
    <w:rsid w:val="007674E1"/>
    <w:rsid w:val="00773829"/>
    <w:rsid w:val="007919C3"/>
    <w:rsid w:val="007C27E3"/>
    <w:rsid w:val="007C6396"/>
    <w:rsid w:val="007D4465"/>
    <w:rsid w:val="007D451C"/>
    <w:rsid w:val="007F46CC"/>
    <w:rsid w:val="00801172"/>
    <w:rsid w:val="00813C7D"/>
    <w:rsid w:val="00815960"/>
    <w:rsid w:val="008263F7"/>
    <w:rsid w:val="0083701F"/>
    <w:rsid w:val="0084517F"/>
    <w:rsid w:val="00871317"/>
    <w:rsid w:val="00885A6D"/>
    <w:rsid w:val="008977EF"/>
    <w:rsid w:val="008B36AA"/>
    <w:rsid w:val="008B6400"/>
    <w:rsid w:val="008B723D"/>
    <w:rsid w:val="008C2274"/>
    <w:rsid w:val="008C5969"/>
    <w:rsid w:val="008F5256"/>
    <w:rsid w:val="0091388D"/>
    <w:rsid w:val="00936D93"/>
    <w:rsid w:val="00941DE9"/>
    <w:rsid w:val="00963EB0"/>
    <w:rsid w:val="009656D3"/>
    <w:rsid w:val="00970988"/>
    <w:rsid w:val="00972B99"/>
    <w:rsid w:val="00974F67"/>
    <w:rsid w:val="009A04CC"/>
    <w:rsid w:val="009D241B"/>
    <w:rsid w:val="009D6EEA"/>
    <w:rsid w:val="009F77D0"/>
    <w:rsid w:val="00A0495F"/>
    <w:rsid w:val="00A3235C"/>
    <w:rsid w:val="00A402C3"/>
    <w:rsid w:val="00A45FF1"/>
    <w:rsid w:val="00A62F7A"/>
    <w:rsid w:val="00A935B6"/>
    <w:rsid w:val="00AA6063"/>
    <w:rsid w:val="00AE66C6"/>
    <w:rsid w:val="00AF0F02"/>
    <w:rsid w:val="00AF43F2"/>
    <w:rsid w:val="00AF4735"/>
    <w:rsid w:val="00AF526D"/>
    <w:rsid w:val="00B257E5"/>
    <w:rsid w:val="00B32BC9"/>
    <w:rsid w:val="00B53ED3"/>
    <w:rsid w:val="00B64179"/>
    <w:rsid w:val="00B723C7"/>
    <w:rsid w:val="00B769E0"/>
    <w:rsid w:val="00B86893"/>
    <w:rsid w:val="00BA5C7B"/>
    <w:rsid w:val="00BD1FC7"/>
    <w:rsid w:val="00BE62F7"/>
    <w:rsid w:val="00BF42AD"/>
    <w:rsid w:val="00C05373"/>
    <w:rsid w:val="00C21F48"/>
    <w:rsid w:val="00C26486"/>
    <w:rsid w:val="00C5098C"/>
    <w:rsid w:val="00C60F89"/>
    <w:rsid w:val="00C636E9"/>
    <w:rsid w:val="00C63BEC"/>
    <w:rsid w:val="00C650A6"/>
    <w:rsid w:val="00C65940"/>
    <w:rsid w:val="00C70F70"/>
    <w:rsid w:val="00C91067"/>
    <w:rsid w:val="00C96694"/>
    <w:rsid w:val="00CA5B5D"/>
    <w:rsid w:val="00CD345A"/>
    <w:rsid w:val="00CE0738"/>
    <w:rsid w:val="00CE4E2C"/>
    <w:rsid w:val="00CE6040"/>
    <w:rsid w:val="00CE746F"/>
    <w:rsid w:val="00D1777D"/>
    <w:rsid w:val="00D25489"/>
    <w:rsid w:val="00D539B5"/>
    <w:rsid w:val="00D61826"/>
    <w:rsid w:val="00D731A8"/>
    <w:rsid w:val="00D840AA"/>
    <w:rsid w:val="00DA51E7"/>
    <w:rsid w:val="00DA5767"/>
    <w:rsid w:val="00DC2565"/>
    <w:rsid w:val="00DD35A0"/>
    <w:rsid w:val="00DE4B56"/>
    <w:rsid w:val="00DF355A"/>
    <w:rsid w:val="00E03148"/>
    <w:rsid w:val="00E054A2"/>
    <w:rsid w:val="00E07FCF"/>
    <w:rsid w:val="00E11412"/>
    <w:rsid w:val="00E119EE"/>
    <w:rsid w:val="00E133BE"/>
    <w:rsid w:val="00E24DCE"/>
    <w:rsid w:val="00E32D76"/>
    <w:rsid w:val="00E5115D"/>
    <w:rsid w:val="00E55F9A"/>
    <w:rsid w:val="00E6311B"/>
    <w:rsid w:val="00E7125C"/>
    <w:rsid w:val="00E74F73"/>
    <w:rsid w:val="00E84136"/>
    <w:rsid w:val="00E90FB1"/>
    <w:rsid w:val="00E97B63"/>
    <w:rsid w:val="00EA3B59"/>
    <w:rsid w:val="00ED704C"/>
    <w:rsid w:val="00EF4656"/>
    <w:rsid w:val="00F2578E"/>
    <w:rsid w:val="00F41E85"/>
    <w:rsid w:val="00F43C7F"/>
    <w:rsid w:val="00F7656A"/>
    <w:rsid w:val="00F96720"/>
    <w:rsid w:val="00F97692"/>
    <w:rsid w:val="00FB6869"/>
    <w:rsid w:val="00FB7DA2"/>
    <w:rsid w:val="00FE79D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7DE50"/>
  <w15:chartTrackingRefBased/>
  <w15:docId w15:val="{E34AC684-F866-4AED-90CD-5A17708B2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4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4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4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4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F73"/>
    <w:rPr>
      <w:rFonts w:eastAsiaTheme="majorEastAsia" w:cstheme="majorBidi"/>
      <w:color w:val="272727" w:themeColor="text1" w:themeTint="D8"/>
    </w:rPr>
  </w:style>
  <w:style w:type="paragraph" w:styleId="Title">
    <w:name w:val="Title"/>
    <w:basedOn w:val="Normal"/>
    <w:next w:val="Normal"/>
    <w:link w:val="TitleChar"/>
    <w:uiPriority w:val="10"/>
    <w:qFormat/>
    <w:rsid w:val="00E74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F73"/>
    <w:pPr>
      <w:spacing w:before="160"/>
      <w:jc w:val="center"/>
    </w:pPr>
    <w:rPr>
      <w:i/>
      <w:iCs/>
      <w:color w:val="404040" w:themeColor="text1" w:themeTint="BF"/>
    </w:rPr>
  </w:style>
  <w:style w:type="character" w:customStyle="1" w:styleId="QuoteChar">
    <w:name w:val="Quote Char"/>
    <w:basedOn w:val="DefaultParagraphFont"/>
    <w:link w:val="Quote"/>
    <w:uiPriority w:val="29"/>
    <w:rsid w:val="00E74F73"/>
    <w:rPr>
      <w:i/>
      <w:iCs/>
      <w:color w:val="404040" w:themeColor="text1" w:themeTint="BF"/>
    </w:rPr>
  </w:style>
  <w:style w:type="paragraph" w:styleId="ListParagraph">
    <w:name w:val="List Paragraph"/>
    <w:basedOn w:val="Normal"/>
    <w:uiPriority w:val="34"/>
    <w:qFormat/>
    <w:rsid w:val="00E74F73"/>
    <w:pPr>
      <w:ind w:left="720"/>
      <w:contextualSpacing/>
    </w:pPr>
  </w:style>
  <w:style w:type="character" w:styleId="IntenseEmphasis">
    <w:name w:val="Intense Emphasis"/>
    <w:basedOn w:val="DefaultParagraphFont"/>
    <w:uiPriority w:val="21"/>
    <w:qFormat/>
    <w:rsid w:val="00E74F73"/>
    <w:rPr>
      <w:i/>
      <w:iCs/>
      <w:color w:val="0F4761" w:themeColor="accent1" w:themeShade="BF"/>
    </w:rPr>
  </w:style>
  <w:style w:type="paragraph" w:styleId="IntenseQuote">
    <w:name w:val="Intense Quote"/>
    <w:basedOn w:val="Normal"/>
    <w:next w:val="Normal"/>
    <w:link w:val="IntenseQuoteChar"/>
    <w:uiPriority w:val="30"/>
    <w:qFormat/>
    <w:rsid w:val="00E74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F73"/>
    <w:rPr>
      <w:i/>
      <w:iCs/>
      <w:color w:val="0F4761" w:themeColor="accent1" w:themeShade="BF"/>
    </w:rPr>
  </w:style>
  <w:style w:type="character" w:styleId="IntenseReference">
    <w:name w:val="Intense Reference"/>
    <w:basedOn w:val="DefaultParagraphFont"/>
    <w:uiPriority w:val="32"/>
    <w:qFormat/>
    <w:rsid w:val="00E74F73"/>
    <w:rPr>
      <w:b/>
      <w:bCs/>
      <w:smallCaps/>
      <w:color w:val="0F4761" w:themeColor="accent1" w:themeShade="BF"/>
      <w:spacing w:val="5"/>
    </w:rPr>
  </w:style>
  <w:style w:type="paragraph" w:styleId="Header">
    <w:name w:val="header"/>
    <w:basedOn w:val="Normal"/>
    <w:link w:val="HeaderChar"/>
    <w:uiPriority w:val="99"/>
    <w:unhideWhenUsed/>
    <w:rsid w:val="00E74F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4F73"/>
  </w:style>
  <w:style w:type="paragraph" w:styleId="Footer">
    <w:name w:val="footer"/>
    <w:basedOn w:val="Normal"/>
    <w:link w:val="FooterChar"/>
    <w:uiPriority w:val="99"/>
    <w:unhideWhenUsed/>
    <w:rsid w:val="00E74F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4F73"/>
  </w:style>
  <w:style w:type="table" w:styleId="TableGrid">
    <w:name w:val="Table Grid"/>
    <w:basedOn w:val="TableNormal"/>
    <w:uiPriority w:val="39"/>
    <w:rsid w:val="00537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1298</TotalTime>
  <Pages>8</Pages>
  <Words>3266</Words>
  <Characters>18617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Thozamile Mbalo</dc:creator>
  <cp:keywords/>
  <dc:description/>
  <cp:lastModifiedBy>Thozamile Thozi mbalo</cp:lastModifiedBy>
  <cp:revision>65</cp:revision>
  <cp:lastPrinted>2026-06-25T11:51:00Z</cp:lastPrinted>
  <dcterms:created xsi:type="dcterms:W3CDTF">2026-07-30T10:22:00Z</dcterms:created>
  <dcterms:modified xsi:type="dcterms:W3CDTF">2026-10-04T15:19:00Z</dcterms:modified>
</cp:coreProperties>
</file>