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CA83" w14:textId="77777777" w:rsidR="00CF155B" w:rsidRDefault="00CF155B">
      <w:pPr>
        <w:spacing w:before="400"/>
      </w:pPr>
    </w:p>
    <w:p w14:paraId="71E9CD04" w14:textId="77777777" w:rsidR="00CF155B" w:rsidRDefault="00000000">
      <w:pPr>
        <w:spacing w:after="80"/>
      </w:pPr>
      <w:r>
        <w:rPr>
          <w:b/>
          <w:bCs/>
          <w:color w:val="C8A96E"/>
          <w:spacing w:val="80"/>
        </w:rPr>
        <w:t>RETAILSPHERE (PTY) LTD</w:t>
      </w:r>
    </w:p>
    <w:p w14:paraId="316B12F5" w14:textId="77777777" w:rsidR="00CF155B" w:rsidRDefault="00000000">
      <w:pPr>
        <w:spacing w:after="120"/>
      </w:pPr>
      <w:r>
        <w:rPr>
          <w:color w:val="555555"/>
        </w:rPr>
        <w:t>Data Platform Programme</w:t>
      </w:r>
    </w:p>
    <w:p w14:paraId="73C30842" w14:textId="77777777" w:rsidR="00CF155B" w:rsidRDefault="00000000">
      <w:pPr>
        <w:spacing w:after="240"/>
      </w:pPr>
      <w:r>
        <w:rPr>
          <w:b/>
          <w:bCs/>
          <w:color w:val="1A2E5A"/>
          <w:sz w:val="56"/>
          <w:szCs w:val="56"/>
        </w:rPr>
        <w:t>Business Domain Register</w:t>
      </w:r>
    </w:p>
    <w:p w14:paraId="1C20C237" w14:textId="77777777" w:rsidR="00CF155B" w:rsidRDefault="00000000">
      <w:pPr>
        <w:pBdr>
          <w:bottom w:val="single" w:sz="6" w:space="8" w:color="C8A96E"/>
        </w:pBdr>
        <w:spacing w:after="400"/>
      </w:pPr>
      <w:r>
        <w:rPr>
          <w:i/>
          <w:iCs/>
          <w:color w:val="555555"/>
          <w:sz w:val="24"/>
          <w:szCs w:val="24"/>
        </w:rPr>
        <w:t>Step 1 Deliverable — Business Domain Identification</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tblGrid>
      <w:tr w:rsidR="00CF155B" w14:paraId="1A265151"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FC783BC" w14:textId="77777777" w:rsidR="00CF155B" w:rsidRDefault="00000000">
            <w:r>
              <w:rPr>
                <w:b/>
                <w:bCs/>
                <w:color w:val="1A2E5A"/>
                <w:sz w:val="18"/>
                <w:szCs w:val="18"/>
              </w:rPr>
              <w:t>Document ID</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4158F47" w14:textId="77777777" w:rsidR="00CF155B" w:rsidRDefault="00000000">
            <w:r>
              <w:rPr>
                <w:color w:val="1A1A1A"/>
                <w:sz w:val="18"/>
                <w:szCs w:val="18"/>
              </w:rPr>
              <w:t>BDR-001</w:t>
            </w:r>
          </w:p>
        </w:tc>
      </w:tr>
      <w:tr w:rsidR="00CF155B" w14:paraId="6BD70A01"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B0A3E95" w14:textId="77777777" w:rsidR="00CF155B" w:rsidRDefault="00000000">
            <w:r>
              <w:rPr>
                <w:b/>
                <w:bCs/>
                <w:color w:val="1A2E5A"/>
                <w:sz w:val="18"/>
                <w:szCs w:val="18"/>
              </w:rPr>
              <w:t>Version</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30FAFC5" w14:textId="77777777" w:rsidR="00CF155B" w:rsidRDefault="00000000">
            <w:r>
              <w:rPr>
                <w:color w:val="1A1A1A"/>
                <w:sz w:val="18"/>
                <w:szCs w:val="18"/>
              </w:rPr>
              <w:t>1.0 — Initial Release</w:t>
            </w:r>
          </w:p>
        </w:tc>
      </w:tr>
      <w:tr w:rsidR="00CF155B" w14:paraId="1962C760"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3A7C8B7" w14:textId="77777777" w:rsidR="00CF155B" w:rsidRDefault="00000000">
            <w:r>
              <w:rPr>
                <w:b/>
                <w:bCs/>
                <w:color w:val="1A2E5A"/>
                <w:sz w:val="18"/>
                <w:szCs w:val="18"/>
              </w:rPr>
              <w:t>Date</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6CBF42A" w14:textId="77777777" w:rsidR="00CF155B" w:rsidRDefault="00000000">
            <w:r>
              <w:rPr>
                <w:color w:val="1A1A1A"/>
                <w:sz w:val="18"/>
                <w:szCs w:val="18"/>
              </w:rPr>
              <w:t>14 April 2026</w:t>
            </w:r>
          </w:p>
        </w:tc>
      </w:tr>
      <w:tr w:rsidR="00CF155B" w14:paraId="21F67C94"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D8778BA" w14:textId="77777777" w:rsidR="00CF155B" w:rsidRDefault="00000000">
            <w:r>
              <w:rPr>
                <w:b/>
                <w:bCs/>
                <w:color w:val="1A2E5A"/>
                <w:sz w:val="18"/>
                <w:szCs w:val="18"/>
              </w:rPr>
              <w:t>Author</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12F6304" w14:textId="77777777" w:rsidR="00CF155B" w:rsidRDefault="00000000">
            <w:r>
              <w:rPr>
                <w:color w:val="1A1A1A"/>
                <w:sz w:val="18"/>
                <w:szCs w:val="18"/>
              </w:rPr>
              <w:t>Thozamile Mbalo — Data Solutions Architect</w:t>
            </w:r>
          </w:p>
        </w:tc>
      </w:tr>
      <w:tr w:rsidR="00CF155B" w14:paraId="4795588A"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815F15E" w14:textId="77777777" w:rsidR="00CF155B" w:rsidRDefault="00000000">
            <w:r>
              <w:rPr>
                <w:b/>
                <w:bCs/>
                <w:color w:val="1A2E5A"/>
                <w:sz w:val="18"/>
                <w:szCs w:val="18"/>
              </w:rPr>
              <w:t>Reviewed by</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CD94E15" w14:textId="77777777" w:rsidR="00CF155B" w:rsidRDefault="00000000">
            <w:r>
              <w:rPr>
                <w:color w:val="1A1A1A"/>
                <w:sz w:val="18"/>
                <w:szCs w:val="18"/>
              </w:rPr>
              <w:t>Nomvula Mahlangu — Chief Data Officer</w:t>
            </w:r>
          </w:p>
        </w:tc>
      </w:tr>
      <w:tr w:rsidR="00CF155B" w14:paraId="7FFE7F41"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77288F7" w14:textId="77777777" w:rsidR="00CF155B" w:rsidRDefault="00000000">
            <w:r>
              <w:rPr>
                <w:b/>
                <w:bCs/>
                <w:color w:val="1A2E5A"/>
                <w:sz w:val="18"/>
                <w:szCs w:val="18"/>
              </w:rPr>
              <w:t>Status</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FFD359D" w14:textId="77777777" w:rsidR="00CF155B" w:rsidRDefault="00000000">
            <w:r>
              <w:rPr>
                <w:color w:val="7A5C00"/>
                <w:sz w:val="18"/>
                <w:szCs w:val="18"/>
              </w:rPr>
              <w:t>Draft — Pending CDO Sign-off</w:t>
            </w:r>
          </w:p>
        </w:tc>
      </w:tr>
    </w:tbl>
    <w:p w14:paraId="6164DBCB" w14:textId="77777777" w:rsidR="00CF155B" w:rsidRDefault="00CF155B">
      <w:pPr>
        <w:spacing w:before="500"/>
      </w:pPr>
    </w:p>
    <w:p w14:paraId="7550EC42" w14:textId="77777777" w:rsidR="00CF155B" w:rsidRDefault="00000000">
      <w:pPr>
        <w:pBdr>
          <w:bottom w:val="single" w:sz="4" w:space="6" w:color="C8A96E"/>
        </w:pBdr>
        <w:spacing w:before="400" w:after="160"/>
      </w:pPr>
      <w:r>
        <w:rPr>
          <w:b/>
          <w:bCs/>
          <w:color w:val="1A2E5A"/>
          <w:sz w:val="32"/>
          <w:szCs w:val="32"/>
        </w:rPr>
        <w:t>1. Purpose</w:t>
      </w:r>
    </w:p>
    <w:p w14:paraId="3C84A74C" w14:textId="77777777" w:rsidR="00CF155B" w:rsidRDefault="00000000">
      <w:pPr>
        <w:spacing w:before="80" w:after="80"/>
        <w:jc w:val="both"/>
      </w:pPr>
      <w:r>
        <w:rPr>
          <w:color w:val="1A1A1A"/>
        </w:rPr>
        <w:t>This document defines the Business Domain Register for the RetailSphere (Pty) Ltd Data Platform Programme. It is the primary deliverable of Step 1 — Business Domain Identification — in the ten-step data platform design process.</w:t>
      </w:r>
    </w:p>
    <w:p w14:paraId="4812EA3F" w14:textId="77777777" w:rsidR="00CF155B" w:rsidRDefault="00CF155B">
      <w:pPr>
        <w:spacing w:before="80"/>
      </w:pPr>
    </w:p>
    <w:p w14:paraId="18B15259" w14:textId="77777777" w:rsidR="00CF155B" w:rsidRDefault="00000000">
      <w:pPr>
        <w:spacing w:before="80" w:after="80"/>
        <w:jc w:val="both"/>
      </w:pPr>
      <w:r>
        <w:rPr>
          <w:color w:val="1A1A1A"/>
        </w:rPr>
        <w:t>A business domain, as defined in this programme, is a distinct cluster of related business processes that share common data, rules, and stakeholders. Identifying domains before any technical design work begins ensures that the data platform is organised around how the business actually operates — not around the systems it currently uses or the departments on its organogram.</w:t>
      </w:r>
    </w:p>
    <w:p w14:paraId="65B0E38A" w14:textId="77777777" w:rsidR="00CF155B" w:rsidRDefault="00CF155B">
      <w:pPr>
        <w:spacing w:before="80"/>
      </w:pPr>
    </w:p>
    <w:p w14:paraId="4E1622B6" w14:textId="77777777" w:rsidR="00CF155B" w:rsidRDefault="00000000">
      <w:pPr>
        <w:spacing w:before="80" w:after="80"/>
        <w:jc w:val="both"/>
      </w:pPr>
      <w:r>
        <w:rPr>
          <w:color w:val="1A1A1A"/>
        </w:rPr>
        <w:t>This register serves three purposes for the programme:</w:t>
      </w:r>
    </w:p>
    <w:p w14:paraId="423E8A71" w14:textId="77777777" w:rsidR="00CF155B" w:rsidRDefault="00CF155B">
      <w:pPr>
        <w:spacing w:before="60"/>
      </w:pPr>
    </w:p>
    <w:p w14:paraId="7451E139" w14:textId="77777777" w:rsidR="00CF155B" w:rsidRDefault="00000000">
      <w:pPr>
        <w:spacing w:before="60" w:after="60"/>
      </w:pPr>
      <w:r>
        <w:rPr>
          <w:color w:val="1A1A1A"/>
        </w:rPr>
        <w:t>1.  It establishes the scope of the data platform — defining which business areas will be served and in what priority.</w:t>
      </w:r>
    </w:p>
    <w:p w14:paraId="043A2F30" w14:textId="77777777" w:rsidR="00CF155B" w:rsidRDefault="00000000">
      <w:pPr>
        <w:spacing w:before="60" w:after="60"/>
      </w:pPr>
      <w:r>
        <w:rPr>
          <w:color w:val="1A1A1A"/>
        </w:rPr>
        <w:t>2.  It identifies the source systems that feed each domain, establishing the foundation for source system investigation in Step 5.</w:t>
      </w:r>
    </w:p>
    <w:p w14:paraId="4730F212" w14:textId="77777777" w:rsidR="00CF155B" w:rsidRDefault="00000000">
      <w:pPr>
        <w:spacing w:before="60" w:after="60"/>
      </w:pPr>
      <w:r>
        <w:rPr>
          <w:color w:val="1A1A1A"/>
        </w:rPr>
        <w:t>3.  It surfaces cross-cutting risks — specifically the absence of a master product identifier and a unified customer identifier — that must be resolved by architecture decisions made later in the programme.</w:t>
      </w:r>
    </w:p>
    <w:p w14:paraId="3BC367C5" w14:textId="77777777" w:rsidR="00CF155B" w:rsidRDefault="00CF155B">
      <w:pPr>
        <w:spacing w:before="200"/>
      </w:pPr>
    </w:p>
    <w:p w14:paraId="5270B221" w14:textId="77777777" w:rsidR="00CF155B" w:rsidRDefault="00000000">
      <w:pPr>
        <w:pBdr>
          <w:bottom w:val="single" w:sz="4" w:space="6" w:color="C8A96E"/>
        </w:pBdr>
        <w:spacing w:before="400" w:after="160"/>
      </w:pPr>
      <w:r>
        <w:rPr>
          <w:b/>
          <w:bCs/>
          <w:color w:val="1A2E5A"/>
          <w:sz w:val="32"/>
          <w:szCs w:val="32"/>
        </w:rPr>
        <w:t>2. Company Context</w:t>
      </w:r>
    </w:p>
    <w:p w14:paraId="486E735B" w14:textId="77777777" w:rsidR="00CF155B" w:rsidRDefault="00000000">
      <w:pPr>
        <w:spacing w:before="80" w:after="80"/>
        <w:jc w:val="both"/>
      </w:pPr>
      <w:r>
        <w:rPr>
          <w:color w:val="1A1A1A"/>
        </w:rPr>
        <w:t>RetailSphere (Pty) Ltd is a South African multi-channel retail group with R4.2 billion in annual revenue, operating 87 stores nationally across clothing, homeware, and electronics categories. The business operates through two primary sales channels — physical retail stores and an e-commerce platform — supported by a loyalty programme with 2.1 million registered members.</w:t>
      </w:r>
    </w:p>
    <w:p w14:paraId="504C3BF4" w14:textId="77777777" w:rsidR="00CF155B" w:rsidRDefault="00CF155B">
      <w:pPr>
        <w:spacing w:before="80"/>
      </w:pPr>
    </w:p>
    <w:p w14:paraId="17A4EDF0" w14:textId="77777777" w:rsidR="00CF155B" w:rsidRDefault="00000000">
      <w:pPr>
        <w:spacing w:before="80" w:after="80"/>
        <w:jc w:val="both"/>
      </w:pPr>
      <w:r>
        <w:rPr>
          <w:color w:val="1A1A1A"/>
        </w:rPr>
        <w:t>The current technology landscape consists of six operational source systems of varying age, integration capability, and data quality. The data platform programme has been initiated to replace fragmented, unreliable reporting with a governed, integrated, and scalable data platform that serves all five business domains identified in this document.</w:t>
      </w:r>
    </w:p>
    <w:p w14:paraId="2D48D20D" w14:textId="77777777" w:rsidR="00CF155B" w:rsidRDefault="00CF155B">
      <w:pPr>
        <w:spacing w:before="200"/>
      </w:pPr>
    </w:p>
    <w:p w14:paraId="5DAF0999" w14:textId="77777777" w:rsidR="00CF155B" w:rsidRDefault="00000000">
      <w:pPr>
        <w:pBdr>
          <w:bottom w:val="single" w:sz="4" w:space="6" w:color="C8A96E"/>
        </w:pBdr>
        <w:spacing w:before="400" w:after="160"/>
      </w:pPr>
      <w:r>
        <w:rPr>
          <w:b/>
          <w:bCs/>
          <w:color w:val="1A2E5A"/>
          <w:sz w:val="32"/>
          <w:szCs w:val="32"/>
        </w:rPr>
        <w:t>3. Domain Identification Methodology</w:t>
      </w:r>
    </w:p>
    <w:p w14:paraId="1F101A5C" w14:textId="77777777" w:rsidR="00CF155B" w:rsidRDefault="00000000">
      <w:pPr>
        <w:spacing w:before="80" w:after="80"/>
        <w:jc w:val="both"/>
      </w:pPr>
      <w:r>
        <w:rPr>
          <w:color w:val="1A1A1A"/>
        </w:rPr>
        <w:t>Business domains were identified by analysing RetailSphere's end-to-end value chain — the sequence of business processes from supplier engagement through to customer retention. This approach, aligned with Kimball Group dimensional modelling methodology and the principles outlined in Rainardi (2008), ensures that domain boundaries reflect genuine business process separation rather than organisational structure.</w:t>
      </w:r>
    </w:p>
    <w:p w14:paraId="47D004DA" w14:textId="77777777" w:rsidR="00CF155B" w:rsidRDefault="00CF15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155B" w14:paraId="25CA6181" w14:textId="77777777">
        <w:tblPrEx>
          <w:tblCellMar>
            <w:top w:w="0" w:type="dxa"/>
            <w:bottom w:w="0" w:type="dxa"/>
          </w:tblCellMar>
        </w:tblPrEx>
        <w:tc>
          <w:tcPr>
            <w:tcW w:w="9360" w:type="dxa"/>
            <w:tcBorders>
              <w:top w:val="single" w:sz="3" w:space="0" w:color="1A2E5A"/>
              <w:left w:val="thick" w:sz="6" w:space="0" w:color="1A2E5A"/>
              <w:bottom w:val="single" w:sz="1" w:space="0" w:color="1A2E5A"/>
              <w:right w:val="single" w:sz="1" w:space="0" w:color="1A2E5A"/>
            </w:tcBorders>
            <w:shd w:val="clear" w:color="auto" w:fill="EEF1F8"/>
            <w:tcMar>
              <w:top w:w="120" w:type="dxa"/>
              <w:left w:w="180" w:type="dxa"/>
              <w:bottom w:w="120" w:type="dxa"/>
              <w:right w:w="180" w:type="dxa"/>
            </w:tcMar>
          </w:tcPr>
          <w:p w14:paraId="1256F956" w14:textId="77777777" w:rsidR="00CF155B" w:rsidRDefault="00000000">
            <w:pPr>
              <w:spacing w:before="40" w:after="40"/>
            </w:pPr>
            <w:r>
              <w:rPr>
                <w:b/>
                <w:bCs/>
                <w:color w:val="1A2E5A"/>
                <w:sz w:val="19"/>
                <w:szCs w:val="19"/>
              </w:rPr>
              <w:t>Key principle applied:</w:t>
            </w:r>
          </w:p>
          <w:p w14:paraId="2DA81F6D" w14:textId="77777777" w:rsidR="00CF155B" w:rsidRDefault="00000000">
            <w:pPr>
              <w:spacing w:before="40" w:after="40"/>
            </w:pPr>
            <w:r>
              <w:rPr>
                <w:color w:val="1A1A1A"/>
                <w:sz w:val="19"/>
                <w:szCs w:val="19"/>
              </w:rPr>
              <w:t>Departments ≠ Domains. A department is an organisational unit. A domain is a cluster of business processes. These do not always align. RetailSphere's Sales department, for example, spans two domains — Sales transactions and Customer Loyalty — because these represent fundamentally different processes with different data models, different rules, and different stakeholders.</w:t>
            </w:r>
          </w:p>
        </w:tc>
      </w:tr>
    </w:tbl>
    <w:p w14:paraId="600B6196" w14:textId="77777777" w:rsidR="00CF155B" w:rsidRDefault="00CF155B">
      <w:pPr>
        <w:spacing w:before="120"/>
      </w:pPr>
    </w:p>
    <w:p w14:paraId="2FAB9B86" w14:textId="77777777" w:rsidR="00CF155B" w:rsidRDefault="00000000">
      <w:pPr>
        <w:spacing w:before="80" w:after="80"/>
        <w:jc w:val="both"/>
      </w:pPr>
      <w:r>
        <w:rPr>
          <w:color w:val="1A1A1A"/>
        </w:rPr>
        <w:t>Five domains were identified by mapping each source system to its primary business process and then grouping processes by their shared data characteristics and natural business boundaries.</w:t>
      </w:r>
    </w:p>
    <w:p w14:paraId="657A29F6" w14:textId="77777777" w:rsidR="00CF155B" w:rsidRDefault="00CF155B">
      <w:pPr>
        <w:spacing w:before="200"/>
      </w:pPr>
    </w:p>
    <w:p w14:paraId="1AA8AABF" w14:textId="77777777" w:rsidR="00CF155B" w:rsidRDefault="00000000">
      <w:pPr>
        <w:pBdr>
          <w:bottom w:val="single" w:sz="4" w:space="6" w:color="C8A96E"/>
        </w:pBdr>
        <w:spacing w:before="400" w:after="160"/>
      </w:pPr>
      <w:r>
        <w:rPr>
          <w:b/>
          <w:bCs/>
          <w:color w:val="1A2E5A"/>
          <w:sz w:val="32"/>
          <w:szCs w:val="32"/>
        </w:rPr>
        <w:t>4. Business Domain Register</w:t>
      </w:r>
    </w:p>
    <w:p w14:paraId="53AB15D6" w14:textId="77777777" w:rsidR="00CF155B" w:rsidRDefault="00000000">
      <w:pPr>
        <w:spacing w:before="80" w:after="80"/>
      </w:pPr>
      <w:r>
        <w:rPr>
          <w:color w:val="1A1A1A"/>
        </w:rPr>
        <w:t>The table below defines each identified domain, its core business processes, the source systems that feed it, and the cross-cutting risks that affect it. Risk level reflects the severity of data integration challenges identified during initial source system review.</w:t>
      </w:r>
    </w:p>
    <w:p w14:paraId="65719246" w14:textId="77777777" w:rsidR="00CF155B" w:rsidRDefault="00CF15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860"/>
        <w:gridCol w:w="2200"/>
        <w:gridCol w:w="1300"/>
      </w:tblGrid>
      <w:tr w:rsidR="00CF155B" w14:paraId="25B4DEB0" w14:textId="77777777">
        <w:tblPrEx>
          <w:tblCellMar>
            <w:top w:w="0" w:type="dxa"/>
            <w:bottom w:w="0" w:type="dxa"/>
          </w:tblCellMar>
        </w:tblPrEx>
        <w:trPr>
          <w:tblHeader/>
        </w:trPr>
        <w:tc>
          <w:tcPr>
            <w:tcW w:w="15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10577F9" w14:textId="77777777" w:rsidR="00CF155B" w:rsidRDefault="00000000">
            <w:r>
              <w:rPr>
                <w:b/>
                <w:bCs/>
                <w:color w:val="FFFFFF"/>
              </w:rPr>
              <w:t>Domain</w:t>
            </w:r>
          </w:p>
        </w:tc>
        <w:tc>
          <w:tcPr>
            <w:tcW w:w="25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9D85E8D" w14:textId="77777777" w:rsidR="00CF155B" w:rsidRDefault="00000000">
            <w:r>
              <w:rPr>
                <w:b/>
                <w:bCs/>
                <w:color w:val="FFFFFF"/>
              </w:rPr>
              <w:t>Business Process</w:t>
            </w:r>
          </w:p>
        </w:tc>
        <w:tc>
          <w:tcPr>
            <w:tcW w:w="18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CB031EB" w14:textId="77777777" w:rsidR="00CF155B" w:rsidRDefault="00000000">
            <w:r>
              <w:rPr>
                <w:b/>
                <w:bCs/>
                <w:color w:val="FFFFFF"/>
              </w:rPr>
              <w:t>Source Systems</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E77F762" w14:textId="77777777" w:rsidR="00CF155B" w:rsidRDefault="00000000">
            <w:r>
              <w:rPr>
                <w:b/>
                <w:bCs/>
                <w:color w:val="FFFFFF"/>
              </w:rPr>
              <w:t>Cross-cutting Risk</w:t>
            </w:r>
          </w:p>
        </w:tc>
        <w:tc>
          <w:tcPr>
            <w:tcW w:w="13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B5A63D7" w14:textId="77777777" w:rsidR="00CF155B" w:rsidRDefault="00000000">
            <w:r>
              <w:rPr>
                <w:b/>
                <w:bCs/>
                <w:color w:val="FFFFFF"/>
              </w:rPr>
              <w:t>Risk Level</w:t>
            </w:r>
          </w:p>
        </w:tc>
      </w:tr>
      <w:tr w:rsidR="00CF155B" w14:paraId="45CB10B6" w14:textId="77777777">
        <w:tblPrEx>
          <w:tblCellMar>
            <w:top w:w="0" w:type="dxa"/>
            <w:bottom w:w="0" w:type="dxa"/>
          </w:tblCellMar>
        </w:tblPrEx>
        <w:tc>
          <w:tcPr>
            <w:tcW w:w="1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6CFC687" w14:textId="77777777" w:rsidR="00CF155B" w:rsidRDefault="00000000">
            <w:r>
              <w:rPr>
                <w:color w:val="1A2E5A"/>
                <w:sz w:val="19"/>
                <w:szCs w:val="19"/>
              </w:rPr>
              <w:t>Procurement</w:t>
            </w:r>
          </w:p>
        </w:tc>
        <w:tc>
          <w:tcPr>
            <w:tcW w:w="2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BFFF28D" w14:textId="77777777" w:rsidR="00CF155B" w:rsidRDefault="00000000">
            <w:r>
              <w:rPr>
                <w:color w:val="1A1A1A"/>
                <w:sz w:val="19"/>
                <w:szCs w:val="19"/>
              </w:rPr>
              <w:t>Supplier management, purchase order creation, goods receipt, invoice processing and supplier payment.</w:t>
            </w:r>
          </w:p>
        </w:tc>
        <w:tc>
          <w:tcPr>
            <w:tcW w:w="18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508C5F7" w14:textId="77777777" w:rsidR="00CF155B" w:rsidRDefault="00000000">
            <w:r>
              <w:rPr>
                <w:i/>
                <w:iCs/>
                <w:color w:val="555555"/>
                <w:sz w:val="19"/>
                <w:szCs w:val="19"/>
              </w:rPr>
              <w:t>SAP ECC 6.0</w:t>
            </w:r>
          </w:p>
        </w:tc>
        <w:tc>
          <w:tcPr>
            <w:tcW w:w="22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6C9F7E27" w14:textId="77777777" w:rsidR="00CF155B" w:rsidRDefault="00000000">
            <w:r>
              <w:rPr>
                <w:color w:val="8B1A1A"/>
                <w:sz w:val="19"/>
                <w:szCs w:val="19"/>
              </w:rPr>
              <w:t>SAP is a single point of failure across three domains. File-extract-only integration limits real-time data availability.</w:t>
            </w:r>
          </w:p>
        </w:tc>
        <w:tc>
          <w:tcPr>
            <w:tcW w:w="13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DB78DE3" w14:textId="77777777" w:rsidR="00CF155B" w:rsidRDefault="00000000">
            <w:r>
              <w:rPr>
                <w:color w:val="8B1A1A"/>
                <w:sz w:val="19"/>
                <w:szCs w:val="19"/>
              </w:rPr>
              <w:t>HIGH</w:t>
            </w:r>
          </w:p>
        </w:tc>
      </w:tr>
      <w:tr w:rsidR="00CF155B" w14:paraId="73FBA16B" w14:textId="77777777">
        <w:tblPrEx>
          <w:tblCellMar>
            <w:top w:w="0" w:type="dxa"/>
            <w:bottom w:w="0" w:type="dxa"/>
          </w:tblCellMar>
        </w:tblPrEx>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A4CE864" w14:textId="77777777" w:rsidR="00CF155B" w:rsidRDefault="00000000">
            <w:r>
              <w:rPr>
                <w:color w:val="1A2E5A"/>
                <w:sz w:val="19"/>
                <w:szCs w:val="19"/>
              </w:rPr>
              <w:t>Inventory Management</w:t>
            </w:r>
          </w:p>
        </w:tc>
        <w:tc>
          <w:tcPr>
            <w:tcW w:w="2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37C08BE" w14:textId="77777777" w:rsidR="00CF155B" w:rsidRDefault="00000000">
            <w:r>
              <w:rPr>
                <w:color w:val="1A1A1A"/>
                <w:sz w:val="19"/>
                <w:szCs w:val="19"/>
              </w:rPr>
              <w:t>Stock receipts, inter-location movements, replenishment triggers, real-time shelf availability and shrinkage tracking.</w:t>
            </w:r>
          </w:p>
        </w:tc>
        <w:tc>
          <w:tcPr>
            <w:tcW w:w="18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8680E48" w14:textId="77777777" w:rsidR="00CF155B" w:rsidRDefault="00000000">
            <w:r>
              <w:rPr>
                <w:i/>
                <w:iCs/>
                <w:color w:val="555555"/>
                <w:sz w:val="19"/>
                <w:szCs w:val="19"/>
              </w:rPr>
              <w:t>SAP ECC 6.0 Oracle MICROS POS</w:t>
            </w:r>
          </w:p>
        </w:tc>
        <w:tc>
          <w:tcPr>
            <w:tcW w:w="22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6AF8AEE7" w14:textId="77777777" w:rsidR="00CF155B" w:rsidRDefault="00000000">
            <w:r>
              <w:rPr>
                <w:color w:val="8B1A1A"/>
                <w:sz w:val="19"/>
                <w:szCs w:val="19"/>
              </w:rPr>
              <w:t>SAP single point of failure. POS schema varies per store (87 databases). Real-time stock decrements at POS must reconcile with central SAP inventory.</w:t>
            </w:r>
          </w:p>
        </w:tc>
        <w:tc>
          <w:tcPr>
            <w:tcW w:w="13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615AD072" w14:textId="77777777" w:rsidR="00CF155B" w:rsidRDefault="00000000">
            <w:r>
              <w:rPr>
                <w:color w:val="8B1A1A"/>
                <w:sz w:val="19"/>
                <w:szCs w:val="19"/>
              </w:rPr>
              <w:t>HIGH</w:t>
            </w:r>
          </w:p>
        </w:tc>
      </w:tr>
      <w:tr w:rsidR="00CF155B" w14:paraId="09C43AC4" w14:textId="77777777">
        <w:tblPrEx>
          <w:tblCellMar>
            <w:top w:w="0" w:type="dxa"/>
            <w:bottom w:w="0" w:type="dxa"/>
          </w:tblCellMar>
        </w:tblPrEx>
        <w:tc>
          <w:tcPr>
            <w:tcW w:w="1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76C7751" w14:textId="77777777" w:rsidR="00CF155B" w:rsidRDefault="00000000">
            <w:r>
              <w:rPr>
                <w:color w:val="1A2E5A"/>
                <w:sz w:val="19"/>
                <w:szCs w:val="19"/>
              </w:rPr>
              <w:t>Sales</w:t>
            </w:r>
          </w:p>
        </w:tc>
        <w:tc>
          <w:tcPr>
            <w:tcW w:w="2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72A1234" w14:textId="77777777" w:rsidR="00CF155B" w:rsidRDefault="00000000">
            <w:r>
              <w:rPr>
                <w:color w:val="1A1A1A"/>
                <w:sz w:val="19"/>
                <w:szCs w:val="19"/>
              </w:rPr>
              <w:t>In-store and online product transactions, returns processing, customer-linked sales capture across all channels.</w:t>
            </w:r>
          </w:p>
        </w:tc>
        <w:tc>
          <w:tcPr>
            <w:tcW w:w="18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4091C12" w14:textId="77777777" w:rsidR="00CF155B" w:rsidRDefault="00000000">
            <w:r>
              <w:rPr>
                <w:i/>
                <w:iCs/>
                <w:color w:val="555555"/>
                <w:sz w:val="19"/>
                <w:szCs w:val="19"/>
              </w:rPr>
              <w:t>Oracle MICROS POS Shopify Plus Salesforce CRM</w:t>
            </w:r>
          </w:p>
        </w:tc>
        <w:tc>
          <w:tcPr>
            <w:tcW w:w="22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4C86CDCF" w14:textId="77777777" w:rsidR="00CF155B" w:rsidRDefault="00000000">
            <w:r>
              <w:rPr>
                <w:color w:val="8B1A1A"/>
                <w:sz w:val="19"/>
                <w:szCs w:val="19"/>
              </w:rPr>
              <w:t>No master product ID — SAP code ≠ POS code ≠ Shopify SKU. No unified customer ID — loyalty ID ≠ Shopify ID ≠ POS receipt number.</w:t>
            </w:r>
          </w:p>
        </w:tc>
        <w:tc>
          <w:tcPr>
            <w:tcW w:w="13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6A924DEC" w14:textId="77777777" w:rsidR="00CF155B" w:rsidRDefault="00000000">
            <w:r>
              <w:rPr>
                <w:color w:val="8B1A1A"/>
                <w:sz w:val="19"/>
                <w:szCs w:val="19"/>
              </w:rPr>
              <w:t>HIGH</w:t>
            </w:r>
          </w:p>
        </w:tc>
      </w:tr>
      <w:tr w:rsidR="00CF155B" w14:paraId="4ADB2B7A" w14:textId="77777777">
        <w:tblPrEx>
          <w:tblCellMar>
            <w:top w:w="0" w:type="dxa"/>
            <w:bottom w:w="0" w:type="dxa"/>
          </w:tblCellMar>
        </w:tblPrEx>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80F377C" w14:textId="77777777" w:rsidR="00CF155B" w:rsidRDefault="00000000">
            <w:r>
              <w:rPr>
                <w:color w:val="1A2E5A"/>
                <w:sz w:val="19"/>
                <w:szCs w:val="19"/>
              </w:rPr>
              <w:lastRenderedPageBreak/>
              <w:t>Customer Loyalty</w:t>
            </w:r>
          </w:p>
        </w:tc>
        <w:tc>
          <w:tcPr>
            <w:tcW w:w="2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AD0786D" w14:textId="77777777" w:rsidR="00CF155B" w:rsidRDefault="00000000">
            <w:r>
              <w:rPr>
                <w:color w:val="1A1A1A"/>
                <w:sz w:val="19"/>
                <w:szCs w:val="19"/>
              </w:rPr>
              <w:t>Loyalty member enrolment and management, rewards accrual and redemption, customer engagement and retention.</w:t>
            </w:r>
          </w:p>
        </w:tc>
        <w:tc>
          <w:tcPr>
            <w:tcW w:w="18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AA8A20B" w14:textId="77777777" w:rsidR="00CF155B" w:rsidRDefault="00000000">
            <w:r>
              <w:rPr>
                <w:i/>
                <w:iCs/>
                <w:color w:val="555555"/>
                <w:sz w:val="19"/>
                <w:szCs w:val="19"/>
              </w:rPr>
              <w:t>Salesforce CRM</w:t>
            </w:r>
          </w:p>
        </w:tc>
        <w:tc>
          <w:tcPr>
            <w:tcW w:w="22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25D85E5" w14:textId="77777777" w:rsidR="00CF155B" w:rsidRDefault="00000000">
            <w:r>
              <w:rPr>
                <w:color w:val="8B1A1A"/>
                <w:sz w:val="19"/>
                <w:szCs w:val="19"/>
              </w:rPr>
              <w:t>No unified customer ID links loyalty members to in-store POS transactions or Shopify orders. 2.1M member records without cross-system resolution.</w:t>
            </w:r>
          </w:p>
        </w:tc>
        <w:tc>
          <w:tcPr>
            <w:tcW w:w="13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48E66C72" w14:textId="77777777" w:rsidR="00CF155B" w:rsidRDefault="00000000">
            <w:r>
              <w:rPr>
                <w:color w:val="8B1A1A"/>
                <w:sz w:val="19"/>
                <w:szCs w:val="19"/>
              </w:rPr>
              <w:t>HIGH</w:t>
            </w:r>
          </w:p>
        </w:tc>
      </w:tr>
      <w:tr w:rsidR="00CF155B" w14:paraId="4462520F" w14:textId="77777777">
        <w:tblPrEx>
          <w:tblCellMar>
            <w:top w:w="0" w:type="dxa"/>
            <w:bottom w:w="0" w:type="dxa"/>
          </w:tblCellMar>
        </w:tblPrEx>
        <w:tc>
          <w:tcPr>
            <w:tcW w:w="1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51FCDE5" w14:textId="77777777" w:rsidR="00CF155B" w:rsidRDefault="00000000">
            <w:r>
              <w:rPr>
                <w:color w:val="1A2E5A"/>
                <w:sz w:val="19"/>
                <w:szCs w:val="19"/>
              </w:rPr>
              <w:t>Finance</w:t>
            </w:r>
          </w:p>
        </w:tc>
        <w:tc>
          <w:tcPr>
            <w:tcW w:w="2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02ABD95" w14:textId="77777777" w:rsidR="00CF155B" w:rsidRDefault="00000000">
            <w:r>
              <w:rPr>
                <w:color w:val="1A1A1A"/>
                <w:sz w:val="19"/>
                <w:szCs w:val="19"/>
              </w:rPr>
              <w:t>General ledger management, cost centre accounting, month-end close, financial reporting and regulatory compliance.</w:t>
            </w:r>
          </w:p>
        </w:tc>
        <w:tc>
          <w:tcPr>
            <w:tcW w:w="18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2B7CC7A" w14:textId="77777777" w:rsidR="00CF155B" w:rsidRDefault="00000000">
            <w:r>
              <w:rPr>
                <w:i/>
                <w:iCs/>
                <w:color w:val="555555"/>
                <w:sz w:val="19"/>
                <w:szCs w:val="19"/>
              </w:rPr>
              <w:t>SAP ECC 6.0 Excel (140 workbooks — decommission target)</w:t>
            </w:r>
          </w:p>
        </w:tc>
        <w:tc>
          <w:tcPr>
            <w:tcW w:w="22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202C4BE0" w14:textId="77777777" w:rsidR="00CF155B" w:rsidRDefault="00000000">
            <w:r>
              <w:rPr>
                <w:color w:val="8B1A1A"/>
                <w:sz w:val="19"/>
                <w:szCs w:val="19"/>
              </w:rPr>
              <w:t>SAP single point of failure. Excel workbooks represent uncontrolled, undocumented data — highest data quality risk for financial reporting.</w:t>
            </w:r>
          </w:p>
        </w:tc>
        <w:tc>
          <w:tcPr>
            <w:tcW w:w="13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5E6784E6" w14:textId="77777777" w:rsidR="00CF155B" w:rsidRDefault="00000000">
            <w:r>
              <w:rPr>
                <w:color w:val="8B1A1A"/>
                <w:sz w:val="19"/>
                <w:szCs w:val="19"/>
              </w:rPr>
              <w:t>HIGH</w:t>
            </w:r>
          </w:p>
        </w:tc>
      </w:tr>
    </w:tbl>
    <w:p w14:paraId="0AF2CF83" w14:textId="77777777" w:rsidR="00CF155B" w:rsidRDefault="00CF155B">
      <w:pPr>
        <w:spacing w:before="120"/>
      </w:pPr>
    </w:p>
    <w:p w14:paraId="200F81B3" w14:textId="77777777" w:rsidR="00CF155B" w:rsidRDefault="00000000">
      <w:pPr>
        <w:spacing w:before="80" w:after="80"/>
      </w:pPr>
      <w:r>
        <w:rPr>
          <w:i/>
          <w:iCs/>
          <w:color w:val="555555"/>
        </w:rPr>
        <w:t>* Risk level reflects data integration complexity at source system boundary. All five domains are rated HIGH due to the absence of master identifier resolution across product and customer dimensions.</w:t>
      </w:r>
    </w:p>
    <w:p w14:paraId="0DEF70D8" w14:textId="77777777" w:rsidR="00CF155B" w:rsidRDefault="00CF155B">
      <w:pPr>
        <w:spacing w:before="200"/>
      </w:pPr>
    </w:p>
    <w:p w14:paraId="35C8C684" w14:textId="77777777" w:rsidR="00CF155B" w:rsidRDefault="00000000">
      <w:pPr>
        <w:pBdr>
          <w:bottom w:val="single" w:sz="4" w:space="6" w:color="C8A96E"/>
        </w:pBdr>
        <w:spacing w:before="400" w:after="160"/>
      </w:pPr>
      <w:r>
        <w:rPr>
          <w:b/>
          <w:bCs/>
          <w:color w:val="1A2E5A"/>
          <w:sz w:val="32"/>
          <w:szCs w:val="32"/>
        </w:rPr>
        <w:t>5. Critical Cross-cutting Problems</w:t>
      </w:r>
    </w:p>
    <w:p w14:paraId="72748AB2" w14:textId="77777777" w:rsidR="00CF155B" w:rsidRDefault="00000000">
      <w:pPr>
        <w:spacing w:before="80" w:after="80"/>
      </w:pPr>
      <w:r>
        <w:rPr>
          <w:color w:val="1A1A1A"/>
        </w:rPr>
        <w:t>Two cross-cutting problems were identified during domain mapping that affect multiple domains simultaneously. These are not domain-specific data quality issues — they are structural gaps in RetailSphere's operational systems that must be resolved at the architecture level before the data platform can deliver reliable integrated reporting.</w:t>
      </w:r>
    </w:p>
    <w:p w14:paraId="7BF9B935" w14:textId="77777777" w:rsidR="00CF155B" w:rsidRDefault="00CF155B">
      <w:pPr>
        <w:spacing w:before="120"/>
      </w:pPr>
    </w:p>
    <w:p w14:paraId="364331D9" w14:textId="03527FF3" w:rsidR="00CF155B" w:rsidRDefault="0046618E">
      <w:pPr>
        <w:spacing w:before="320" w:after="120"/>
      </w:pPr>
      <w:r>
        <w:rPr>
          <w:b/>
          <w:bCs/>
          <w:color w:val="1A2E5A"/>
          <w:sz w:val="24"/>
          <w:szCs w:val="24"/>
        </w:rPr>
        <w:t>5.1 No</w:t>
      </w:r>
      <w:r w:rsidR="00000000">
        <w:rPr>
          <w:b/>
          <w:bCs/>
          <w:color w:val="1A2E5A"/>
          <w:sz w:val="24"/>
          <w:szCs w:val="24"/>
        </w:rPr>
        <w:t xml:space="preserve"> Master Product Identifier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155B" w14:paraId="45A5EC6A" w14:textId="77777777">
        <w:tblPrEx>
          <w:tblCellMar>
            <w:top w:w="0" w:type="dxa"/>
            <w:bottom w:w="0" w:type="dxa"/>
          </w:tblCellMar>
        </w:tblPrEx>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4ADC1498" w14:textId="77777777" w:rsidR="00CF155B" w:rsidRDefault="00000000">
            <w:pPr>
              <w:spacing w:before="40" w:after="40"/>
            </w:pPr>
            <w:r>
              <w:rPr>
                <w:b/>
                <w:bCs/>
                <w:color w:val="8B1A1A"/>
                <w:sz w:val="19"/>
                <w:szCs w:val="19"/>
              </w:rPr>
              <w:t>Problem: SAP stock code ≠ Oracle MICROS POS product code ≠ Shopify SKU</w:t>
            </w:r>
          </w:p>
          <w:p w14:paraId="780EDEFC" w14:textId="77777777" w:rsidR="00CF155B" w:rsidRDefault="00000000">
            <w:pPr>
              <w:spacing w:before="40" w:after="40"/>
            </w:pPr>
            <w:r>
              <w:rPr>
                <w:color w:val="1A1A1A"/>
                <w:sz w:val="19"/>
                <w:szCs w:val="19"/>
              </w:rPr>
              <w:t>Domains affected: Procurement, Inventory Management, Sales</w:t>
            </w:r>
          </w:p>
          <w:p w14:paraId="6D8D6C98" w14:textId="77777777" w:rsidR="00CF155B" w:rsidRDefault="00000000">
            <w:pPr>
              <w:spacing w:before="40" w:after="40"/>
            </w:pPr>
            <w:r>
              <w:rPr>
                <w:color w:val="1A1A1A"/>
                <w:sz w:val="19"/>
                <w:szCs w:val="19"/>
              </w:rPr>
              <w:t>Impact: It is currently impossible to produce a single, trusted view of product performance across channels without manual reconciliation. A product sold in-store and online cannot be reliably linked in a single query.</w:t>
            </w:r>
          </w:p>
          <w:p w14:paraId="658BF795" w14:textId="77777777" w:rsidR="00CF155B" w:rsidRDefault="00000000">
            <w:pPr>
              <w:spacing w:before="40" w:after="40"/>
            </w:pPr>
            <w:r>
              <w:rPr>
                <w:i/>
                <w:iCs/>
                <w:color w:val="1A1A1A"/>
                <w:sz w:val="19"/>
                <w:szCs w:val="19"/>
              </w:rPr>
              <w:t>Architecture response required: A Product Master dimension with a surrogate key that resolves all three source identifiers. This will be addressed in Step 7 (Dimensional Model Design) and Step 8 (Source System Mapping).</w:t>
            </w:r>
          </w:p>
        </w:tc>
      </w:tr>
    </w:tbl>
    <w:p w14:paraId="096B7DD2" w14:textId="77777777" w:rsidR="00CF155B" w:rsidRDefault="00CF155B">
      <w:pPr>
        <w:spacing w:before="160"/>
      </w:pPr>
    </w:p>
    <w:p w14:paraId="7BC6968F" w14:textId="0A00677E" w:rsidR="00CF155B" w:rsidRDefault="0046618E">
      <w:pPr>
        <w:spacing w:before="320" w:after="120"/>
      </w:pPr>
      <w:r>
        <w:rPr>
          <w:b/>
          <w:bCs/>
          <w:color w:val="1A2E5A"/>
          <w:sz w:val="24"/>
          <w:szCs w:val="24"/>
        </w:rPr>
        <w:t>5.2 No</w:t>
      </w:r>
      <w:r w:rsidR="00000000">
        <w:rPr>
          <w:b/>
          <w:bCs/>
          <w:color w:val="1A2E5A"/>
          <w:sz w:val="24"/>
          <w:szCs w:val="24"/>
        </w:rPr>
        <w:t xml:space="preserve"> Unified Customer Identifier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155B" w14:paraId="7ADA849E" w14:textId="77777777">
        <w:tblPrEx>
          <w:tblCellMar>
            <w:top w:w="0" w:type="dxa"/>
            <w:bottom w:w="0" w:type="dxa"/>
          </w:tblCellMar>
        </w:tblPrEx>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0C8AF1C6" w14:textId="77777777" w:rsidR="00CF155B" w:rsidRDefault="00000000">
            <w:pPr>
              <w:spacing w:before="40" w:after="40"/>
            </w:pPr>
            <w:r>
              <w:rPr>
                <w:b/>
                <w:bCs/>
                <w:color w:val="8B1A1A"/>
                <w:sz w:val="19"/>
                <w:szCs w:val="19"/>
              </w:rPr>
              <w:t>Problem: Salesforce Loyalty ID ≠ Shopify Customer ID ≠ Oracle MICROS POS receipt number</w:t>
            </w:r>
          </w:p>
          <w:p w14:paraId="4969FC4A" w14:textId="77777777" w:rsidR="00CF155B" w:rsidRDefault="00000000">
            <w:pPr>
              <w:spacing w:before="40" w:after="40"/>
            </w:pPr>
            <w:r>
              <w:rPr>
                <w:color w:val="1A1A1A"/>
                <w:sz w:val="19"/>
                <w:szCs w:val="19"/>
              </w:rPr>
              <w:t>Domains affected: Sales, Customer Loyalty</w:t>
            </w:r>
          </w:p>
          <w:p w14:paraId="0200880A" w14:textId="77777777" w:rsidR="00CF155B" w:rsidRDefault="00000000">
            <w:pPr>
              <w:spacing w:before="40" w:after="40"/>
            </w:pPr>
            <w:r>
              <w:rPr>
                <w:color w:val="1A1A1A"/>
                <w:sz w:val="19"/>
                <w:szCs w:val="19"/>
              </w:rPr>
              <w:t>Impact: The 2.1 million loyalty member records in Salesforce CRM cannot be reliably linked to in-store purchase transactions or Shopify orders. Customer lifetime value, cross-channel behaviour, and loyalty ROI cannot be measured.</w:t>
            </w:r>
          </w:p>
          <w:p w14:paraId="696FA359" w14:textId="77777777" w:rsidR="00CF155B" w:rsidRDefault="00000000">
            <w:pPr>
              <w:spacing w:before="40" w:after="40"/>
            </w:pPr>
            <w:r>
              <w:rPr>
                <w:i/>
                <w:iCs/>
                <w:color w:val="1A1A1A"/>
                <w:sz w:val="19"/>
                <w:szCs w:val="19"/>
              </w:rPr>
              <w:t>Architecture response required: A Customer Master dimension with identity resolution logic that links loyalty, e-commerce, and POS identities to a single surrogate key. This will be addressed in Step 7 (Dimensional Model Design) and the identity resolution strategy will be documented as an Architecture Decision Record.</w:t>
            </w:r>
          </w:p>
        </w:tc>
      </w:tr>
    </w:tbl>
    <w:p w14:paraId="2C1E98D6" w14:textId="77777777" w:rsidR="00CF155B" w:rsidRDefault="00CF155B">
      <w:pPr>
        <w:spacing w:before="200"/>
      </w:pPr>
    </w:p>
    <w:p w14:paraId="2CDA11E6" w14:textId="77777777" w:rsidR="00CF155B" w:rsidRDefault="00000000">
      <w:pPr>
        <w:pBdr>
          <w:bottom w:val="single" w:sz="4" w:space="6" w:color="C8A96E"/>
        </w:pBdr>
        <w:spacing w:before="400" w:after="160"/>
      </w:pPr>
      <w:r>
        <w:rPr>
          <w:b/>
          <w:bCs/>
          <w:color w:val="1A2E5A"/>
          <w:sz w:val="32"/>
          <w:szCs w:val="32"/>
        </w:rPr>
        <w:lastRenderedPageBreak/>
        <w:t>6. Source System to Domain Dependency Map</w:t>
      </w:r>
    </w:p>
    <w:p w14:paraId="44ED7B52" w14:textId="77777777" w:rsidR="00CF155B" w:rsidRDefault="00000000">
      <w:pPr>
        <w:spacing w:before="80" w:after="80"/>
      </w:pPr>
      <w:r>
        <w:rPr>
          <w:color w:val="1A1A1A"/>
        </w:rPr>
        <w:t>The matrix below illustrates which source systems feed which domains. Systems appearing in multiple domains represent integration complexity and elevated programme risk.</w:t>
      </w:r>
    </w:p>
    <w:p w14:paraId="65A0DFAA" w14:textId="77777777" w:rsidR="00CF155B" w:rsidRDefault="00CF15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CF155B" w14:paraId="6F48AC3B" w14:textId="77777777">
        <w:tblPrEx>
          <w:tblCellMar>
            <w:top w:w="0" w:type="dxa"/>
            <w:bottom w:w="0" w:type="dxa"/>
          </w:tblCellMar>
        </w:tblPrEx>
        <w:trPr>
          <w:tblHeader/>
        </w:trPr>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7B165A8" w14:textId="77777777" w:rsidR="00CF155B" w:rsidRDefault="00000000">
            <w:r>
              <w:rPr>
                <w:b/>
                <w:bCs/>
                <w:color w:val="FFFFFF"/>
              </w:rPr>
              <w:t>Source System</w:t>
            </w:r>
          </w:p>
        </w:tc>
        <w:tc>
          <w:tcPr>
            <w:tcW w:w="1432"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B95C343" w14:textId="77777777" w:rsidR="00CF155B" w:rsidRDefault="00000000">
            <w:r>
              <w:rPr>
                <w:b/>
                <w:bCs/>
                <w:color w:val="FFFFFF"/>
              </w:rPr>
              <w:t>Procurement</w:t>
            </w:r>
          </w:p>
        </w:tc>
        <w:tc>
          <w:tcPr>
            <w:tcW w:w="1432"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B70A406" w14:textId="0EFBB707" w:rsidR="00CF155B" w:rsidRDefault="00000000">
            <w:r>
              <w:rPr>
                <w:b/>
                <w:bCs/>
                <w:color w:val="FFFFFF"/>
              </w:rPr>
              <w:t xml:space="preserve">Inventory </w:t>
            </w:r>
            <w:r w:rsidR="0046618E">
              <w:rPr>
                <w:b/>
                <w:bCs/>
                <w:color w:val="FFFFFF"/>
              </w:rPr>
              <w:t>Mgmt.</w:t>
            </w:r>
          </w:p>
        </w:tc>
        <w:tc>
          <w:tcPr>
            <w:tcW w:w="1432"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B516D59" w14:textId="77777777" w:rsidR="00CF155B" w:rsidRDefault="00000000">
            <w:r>
              <w:rPr>
                <w:b/>
                <w:bCs/>
                <w:color w:val="FFFFFF"/>
              </w:rPr>
              <w:t>Sales</w:t>
            </w:r>
          </w:p>
        </w:tc>
        <w:tc>
          <w:tcPr>
            <w:tcW w:w="1432"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4DDCA9C7" w14:textId="77777777" w:rsidR="00CF155B" w:rsidRDefault="00000000">
            <w:r>
              <w:rPr>
                <w:b/>
                <w:bCs/>
                <w:color w:val="FFFFFF"/>
              </w:rPr>
              <w:t>Cust. Loyalty</w:t>
            </w:r>
          </w:p>
        </w:tc>
        <w:tc>
          <w:tcPr>
            <w:tcW w:w="1432"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256A04D8" w14:textId="77777777" w:rsidR="00CF155B" w:rsidRDefault="00000000">
            <w:r>
              <w:rPr>
                <w:b/>
                <w:bCs/>
                <w:color w:val="FFFFFF"/>
              </w:rPr>
              <w:t>Finance</w:t>
            </w:r>
          </w:p>
        </w:tc>
      </w:tr>
      <w:tr w:rsidR="00CF155B" w14:paraId="222FB0C3" w14:textId="77777777">
        <w:tblPrEx>
          <w:tblCellMar>
            <w:top w:w="0" w:type="dxa"/>
            <w:bottom w:w="0" w:type="dxa"/>
          </w:tblCellMar>
        </w:tblPrEx>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52044480" w14:textId="77777777" w:rsidR="00CF155B" w:rsidRDefault="00000000">
            <w:r>
              <w:rPr>
                <w:color w:val="1A1A1A"/>
                <w:sz w:val="19"/>
                <w:szCs w:val="19"/>
              </w:rPr>
              <w:t>SAP ECC 6.0</w:t>
            </w:r>
          </w:p>
        </w:tc>
        <w:tc>
          <w:tcPr>
            <w:tcW w:w="1432"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08C4C017" w14:textId="77777777" w:rsidR="00CF155B" w:rsidRDefault="00000000">
            <w:pPr>
              <w:jc w:val="center"/>
            </w:pPr>
            <w:r>
              <w:rPr>
                <w:b/>
                <w:bCs/>
                <w:color w:val="2D6A4F"/>
                <w:sz w:val="22"/>
                <w:szCs w:val="22"/>
              </w:rPr>
              <w:t>✓</w:t>
            </w:r>
          </w:p>
        </w:tc>
        <w:tc>
          <w:tcPr>
            <w:tcW w:w="1432"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7F09E0CF" w14:textId="77777777" w:rsidR="00CF155B" w:rsidRDefault="00000000">
            <w:pPr>
              <w:jc w:val="center"/>
            </w:pPr>
            <w:r>
              <w:rPr>
                <w:b/>
                <w:bCs/>
                <w:color w:val="2D6A4F"/>
                <w:sz w:val="22"/>
                <w:szCs w:val="22"/>
              </w:rPr>
              <w:t>✓</w:t>
            </w:r>
          </w:p>
        </w:tc>
        <w:tc>
          <w:tcPr>
            <w:tcW w:w="143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390256B7"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29C58B84"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1A86030C" w14:textId="77777777" w:rsidR="00CF155B" w:rsidRDefault="00000000">
            <w:pPr>
              <w:jc w:val="center"/>
            </w:pPr>
            <w:r>
              <w:rPr>
                <w:b/>
                <w:bCs/>
                <w:color w:val="2D6A4F"/>
                <w:sz w:val="22"/>
                <w:szCs w:val="22"/>
              </w:rPr>
              <w:t>✓</w:t>
            </w:r>
          </w:p>
        </w:tc>
      </w:tr>
      <w:tr w:rsidR="00CF155B" w14:paraId="69DC981D" w14:textId="77777777">
        <w:tblPrEx>
          <w:tblCellMar>
            <w:top w:w="0" w:type="dxa"/>
            <w:bottom w:w="0" w:type="dxa"/>
          </w:tblCellMar>
        </w:tblPrEx>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1A9CF4AB" w14:textId="77777777" w:rsidR="00CF155B" w:rsidRDefault="00000000">
            <w:r>
              <w:rPr>
                <w:color w:val="1A1A1A"/>
                <w:sz w:val="19"/>
                <w:szCs w:val="19"/>
              </w:rPr>
              <w:t>Oracle MICROS POS</w:t>
            </w:r>
          </w:p>
        </w:tc>
        <w:tc>
          <w:tcPr>
            <w:tcW w:w="143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12631712"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7E78C3EF" w14:textId="77777777" w:rsidR="00CF155B" w:rsidRDefault="00000000">
            <w:pPr>
              <w:jc w:val="center"/>
            </w:pPr>
            <w:r>
              <w:rPr>
                <w:b/>
                <w:bCs/>
                <w:color w:val="2D6A4F"/>
                <w:sz w:val="22"/>
                <w:szCs w:val="22"/>
              </w:rPr>
              <w:t>✓</w:t>
            </w:r>
          </w:p>
        </w:tc>
        <w:tc>
          <w:tcPr>
            <w:tcW w:w="1432"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7A01A314" w14:textId="77777777" w:rsidR="00CF155B" w:rsidRDefault="00000000">
            <w:pPr>
              <w:jc w:val="center"/>
            </w:pPr>
            <w:r>
              <w:rPr>
                <w:b/>
                <w:bCs/>
                <w:color w:val="2D6A4F"/>
                <w:sz w:val="22"/>
                <w:szCs w:val="22"/>
              </w:rPr>
              <w:t>✓</w:t>
            </w:r>
          </w:p>
        </w:tc>
        <w:tc>
          <w:tcPr>
            <w:tcW w:w="143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2BDA2ED4"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6C433888" w14:textId="77777777" w:rsidR="00CF155B" w:rsidRDefault="00CF155B">
            <w:pPr>
              <w:jc w:val="center"/>
            </w:pPr>
          </w:p>
        </w:tc>
      </w:tr>
      <w:tr w:rsidR="00CF155B" w14:paraId="5FF67A72" w14:textId="77777777">
        <w:tblPrEx>
          <w:tblCellMar>
            <w:top w:w="0" w:type="dxa"/>
            <w:bottom w:w="0" w:type="dxa"/>
          </w:tblCellMar>
        </w:tblPrEx>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4EC48127" w14:textId="77777777" w:rsidR="00CF155B" w:rsidRDefault="00000000">
            <w:r>
              <w:rPr>
                <w:color w:val="1A1A1A"/>
                <w:sz w:val="19"/>
                <w:szCs w:val="19"/>
              </w:rPr>
              <w:t>Shopify Plus</w:t>
            </w:r>
          </w:p>
        </w:tc>
        <w:tc>
          <w:tcPr>
            <w:tcW w:w="143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639B8F3B"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61D2B102"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6ADD8D1D" w14:textId="77777777" w:rsidR="00CF155B" w:rsidRDefault="00000000">
            <w:pPr>
              <w:jc w:val="center"/>
            </w:pPr>
            <w:r>
              <w:rPr>
                <w:b/>
                <w:bCs/>
                <w:color w:val="2D6A4F"/>
                <w:sz w:val="22"/>
                <w:szCs w:val="22"/>
              </w:rPr>
              <w:t>✓</w:t>
            </w:r>
          </w:p>
        </w:tc>
        <w:tc>
          <w:tcPr>
            <w:tcW w:w="143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507B873F"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2E006384" w14:textId="77777777" w:rsidR="00CF155B" w:rsidRDefault="00CF155B">
            <w:pPr>
              <w:jc w:val="center"/>
            </w:pPr>
          </w:p>
        </w:tc>
      </w:tr>
      <w:tr w:rsidR="00CF155B" w14:paraId="7B04C933" w14:textId="77777777">
        <w:tblPrEx>
          <w:tblCellMar>
            <w:top w:w="0" w:type="dxa"/>
            <w:bottom w:w="0" w:type="dxa"/>
          </w:tblCellMar>
        </w:tblPrEx>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0DC449CC" w14:textId="77777777" w:rsidR="00CF155B" w:rsidRDefault="00000000">
            <w:r>
              <w:rPr>
                <w:color w:val="1A1A1A"/>
                <w:sz w:val="19"/>
                <w:szCs w:val="19"/>
              </w:rPr>
              <w:t>Salesforce CRM</w:t>
            </w:r>
          </w:p>
        </w:tc>
        <w:tc>
          <w:tcPr>
            <w:tcW w:w="143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3E4FDD8B"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18F2ED73"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3A8C00FC" w14:textId="77777777" w:rsidR="00CF155B" w:rsidRDefault="00000000">
            <w:pPr>
              <w:jc w:val="center"/>
            </w:pPr>
            <w:r>
              <w:rPr>
                <w:b/>
                <w:bCs/>
                <w:color w:val="2D6A4F"/>
                <w:sz w:val="22"/>
                <w:szCs w:val="22"/>
              </w:rPr>
              <w:t>✓</w:t>
            </w:r>
          </w:p>
        </w:tc>
        <w:tc>
          <w:tcPr>
            <w:tcW w:w="1432"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280EA3D5" w14:textId="77777777" w:rsidR="00CF155B" w:rsidRDefault="00000000">
            <w:pPr>
              <w:jc w:val="center"/>
            </w:pPr>
            <w:r>
              <w:rPr>
                <w:b/>
                <w:bCs/>
                <w:color w:val="2D6A4F"/>
                <w:sz w:val="22"/>
                <w:szCs w:val="22"/>
              </w:rPr>
              <w:t>✓</w:t>
            </w:r>
          </w:p>
        </w:tc>
        <w:tc>
          <w:tcPr>
            <w:tcW w:w="143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54AFE584" w14:textId="77777777" w:rsidR="00CF155B" w:rsidRDefault="00CF155B">
            <w:pPr>
              <w:jc w:val="center"/>
            </w:pPr>
          </w:p>
        </w:tc>
      </w:tr>
      <w:tr w:rsidR="00CF155B" w14:paraId="1A18D3E8" w14:textId="77777777">
        <w:tblPrEx>
          <w:tblCellMar>
            <w:top w:w="0" w:type="dxa"/>
            <w:bottom w:w="0" w:type="dxa"/>
          </w:tblCellMar>
        </w:tblPrEx>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01A797FA" w14:textId="77777777" w:rsidR="00CF155B" w:rsidRDefault="00000000">
            <w:r>
              <w:rPr>
                <w:color w:val="1A1A1A"/>
                <w:sz w:val="19"/>
                <w:szCs w:val="19"/>
              </w:rPr>
              <w:t>SQL Server Legacy DW</w:t>
            </w:r>
          </w:p>
        </w:tc>
        <w:tc>
          <w:tcPr>
            <w:tcW w:w="143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157DFB69"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1D22975B"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5315437B"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71CA9777"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0421A738" w14:textId="77777777" w:rsidR="00CF155B" w:rsidRDefault="00CF155B">
            <w:pPr>
              <w:jc w:val="center"/>
            </w:pPr>
          </w:p>
        </w:tc>
      </w:tr>
      <w:tr w:rsidR="00CF155B" w14:paraId="070CF92E" w14:textId="77777777">
        <w:tblPrEx>
          <w:tblCellMar>
            <w:top w:w="0" w:type="dxa"/>
            <w:bottom w:w="0" w:type="dxa"/>
          </w:tblCellMar>
        </w:tblPrEx>
        <w:tc>
          <w:tcPr>
            <w:tcW w:w="22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45862679" w14:textId="77777777" w:rsidR="00CF155B" w:rsidRDefault="00000000">
            <w:r>
              <w:rPr>
                <w:color w:val="1A1A1A"/>
                <w:sz w:val="19"/>
                <w:szCs w:val="19"/>
              </w:rPr>
              <w:t>Excel Workbooks</w:t>
            </w:r>
          </w:p>
        </w:tc>
        <w:tc>
          <w:tcPr>
            <w:tcW w:w="143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467EDCD4"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0BEA87F0"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3F6DAA46"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6D2A2016" w14:textId="77777777" w:rsidR="00CF155B" w:rsidRDefault="00CF155B">
            <w:pPr>
              <w:jc w:val="center"/>
            </w:pPr>
          </w:p>
        </w:tc>
        <w:tc>
          <w:tcPr>
            <w:tcW w:w="1432"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041DD1F9" w14:textId="77777777" w:rsidR="00CF155B" w:rsidRDefault="00000000">
            <w:pPr>
              <w:jc w:val="center"/>
            </w:pPr>
            <w:r>
              <w:rPr>
                <w:b/>
                <w:bCs/>
                <w:color w:val="2D6A4F"/>
                <w:sz w:val="22"/>
                <w:szCs w:val="22"/>
              </w:rPr>
              <w:t>✓</w:t>
            </w:r>
          </w:p>
        </w:tc>
      </w:tr>
    </w:tbl>
    <w:p w14:paraId="17C00446" w14:textId="77777777" w:rsidR="00CF155B" w:rsidRDefault="00CF155B">
      <w:pPr>
        <w:spacing w:before="120"/>
      </w:pPr>
    </w:p>
    <w:p w14:paraId="3C70AB80" w14:textId="77777777" w:rsidR="00CF155B" w:rsidRDefault="00000000">
      <w:pPr>
        <w:spacing w:before="80" w:after="80"/>
      </w:pPr>
      <w:r>
        <w:rPr>
          <w:i/>
          <w:iCs/>
          <w:color w:val="555555"/>
        </w:rPr>
        <w:t>SAP ECC 6.0 feeds three domains — Procurement, Inventory Management, and Finance — making it the highest-risk single point of failure in the platform. Any SAP outage or data quality issue propagates across the majority of the data platform.</w:t>
      </w:r>
    </w:p>
    <w:p w14:paraId="49701E92" w14:textId="77777777" w:rsidR="00CF155B" w:rsidRDefault="00CF155B">
      <w:pPr>
        <w:spacing w:before="200"/>
      </w:pPr>
    </w:p>
    <w:p w14:paraId="6D51B568" w14:textId="77777777" w:rsidR="00CF155B" w:rsidRDefault="00000000">
      <w:pPr>
        <w:pBdr>
          <w:bottom w:val="single" w:sz="4" w:space="6" w:color="C8A96E"/>
        </w:pBdr>
        <w:spacing w:before="400" w:after="160"/>
      </w:pPr>
      <w:r>
        <w:rPr>
          <w:b/>
          <w:bCs/>
          <w:color w:val="1A2E5A"/>
          <w:sz w:val="32"/>
          <w:szCs w:val="32"/>
        </w:rPr>
        <w:t>7. Next Steps</w:t>
      </w:r>
    </w:p>
    <w:p w14:paraId="72A945F9" w14:textId="77777777" w:rsidR="00CF155B" w:rsidRDefault="00000000">
      <w:pPr>
        <w:spacing w:before="80" w:after="80"/>
      </w:pPr>
      <w:r>
        <w:rPr>
          <w:color w:val="1A1A1A"/>
        </w:rPr>
        <w:t>Completion of this Business Domain Register marks the conclusion of Step 1 in the data platform design process. The following actions are required before Step 2 (Business Process Analysis) can commence:</w:t>
      </w:r>
    </w:p>
    <w:p w14:paraId="62EE5093" w14:textId="77777777" w:rsidR="00CF155B" w:rsidRDefault="00CF155B">
      <w:pPr>
        <w:spacing w:before="80"/>
      </w:pPr>
    </w:p>
    <w:p w14:paraId="6B95FFA0" w14:textId="77777777" w:rsidR="00CF155B" w:rsidRDefault="00000000">
      <w:pPr>
        <w:spacing w:before="80" w:after="80"/>
      </w:pPr>
      <w:r>
        <w:rPr>
          <w:color w:val="1A1A1A"/>
        </w:rPr>
        <w:t>1.  CDO sign-off on the five identified domains and their boundary definitions.</w:t>
      </w:r>
    </w:p>
    <w:p w14:paraId="747C905D" w14:textId="77777777" w:rsidR="00CF155B" w:rsidRDefault="00000000">
      <w:pPr>
        <w:spacing w:before="80" w:after="80"/>
      </w:pPr>
      <w:r>
        <w:rPr>
          <w:color w:val="1A1A1A"/>
        </w:rPr>
        <w:t>2.  Confirmation of domain process owners — the business stakeholders who will be interviewed in Step 2.</w:t>
      </w:r>
    </w:p>
    <w:p w14:paraId="69BB27B5" w14:textId="77777777" w:rsidR="00CF155B" w:rsidRDefault="00000000">
      <w:pPr>
        <w:spacing w:before="80" w:after="80"/>
      </w:pPr>
      <w:r>
        <w:rPr>
          <w:color w:val="1A1A1A"/>
        </w:rPr>
        <w:t>3.  Formal acknowledgement of the two critical cross-cutting problems (Sections 5.1 and 5.2) and executive commitment to architecture-level resolution.</w:t>
      </w:r>
    </w:p>
    <w:p w14:paraId="4BEF488F" w14:textId="77777777" w:rsidR="00CF155B" w:rsidRDefault="00000000">
      <w:pPr>
        <w:spacing w:before="80" w:after="80"/>
      </w:pPr>
      <w:r>
        <w:rPr>
          <w:color w:val="1A1A1A"/>
        </w:rPr>
        <w:t>4.  Creation of Architecture Decision Record ADR-001 — Master Product Identifier Strategy.</w:t>
      </w:r>
    </w:p>
    <w:p w14:paraId="35BF6ED1" w14:textId="77777777" w:rsidR="00CF155B" w:rsidRDefault="00000000">
      <w:pPr>
        <w:spacing w:before="80" w:after="80"/>
      </w:pPr>
      <w:r>
        <w:rPr>
          <w:color w:val="1A1A1A"/>
        </w:rPr>
        <w:t>5.  Creation of Architecture Decision Record ADR-002 — Unified Customer Identity Resolution Strategy.</w:t>
      </w:r>
    </w:p>
    <w:p w14:paraId="0C0B0BBD" w14:textId="77777777" w:rsidR="00CF155B" w:rsidRDefault="00CF155B">
      <w:pPr>
        <w:spacing w:before="200"/>
      </w:pPr>
    </w:p>
    <w:p w14:paraId="1ECE13E6" w14:textId="77777777" w:rsidR="00CF155B" w:rsidRDefault="00000000">
      <w:pPr>
        <w:pBdr>
          <w:bottom w:val="single" w:sz="4" w:space="6" w:color="C8A96E"/>
        </w:pBdr>
        <w:spacing w:before="400" w:after="160"/>
      </w:pPr>
      <w:r>
        <w:rPr>
          <w:b/>
          <w:bCs/>
          <w:color w:val="1A2E5A"/>
          <w:sz w:val="32"/>
          <w:szCs w:val="32"/>
        </w:rPr>
        <w:t>8. Document Change Log</w:t>
      </w:r>
    </w:p>
    <w:p w14:paraId="62DE27E8" w14:textId="77777777" w:rsidR="00CF155B" w:rsidRDefault="00CF15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160"/>
        <w:gridCol w:w="4200"/>
      </w:tblGrid>
      <w:tr w:rsidR="00CF155B" w14:paraId="468B40FB" w14:textId="77777777">
        <w:tblPrEx>
          <w:tblCellMar>
            <w:top w:w="0" w:type="dxa"/>
            <w:bottom w:w="0" w:type="dxa"/>
          </w:tblCellMar>
        </w:tblPrEx>
        <w:trPr>
          <w:tblHeader/>
        </w:trPr>
        <w:tc>
          <w:tcPr>
            <w:tcW w:w="1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7FADE8D0" w14:textId="77777777" w:rsidR="00CF155B" w:rsidRDefault="00000000">
            <w:r>
              <w:rPr>
                <w:b/>
                <w:bCs/>
                <w:color w:val="FFFFFF"/>
              </w:rPr>
              <w:t>Version</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4DC9653A" w14:textId="77777777" w:rsidR="00CF155B" w:rsidRDefault="00000000">
            <w:r>
              <w:rPr>
                <w:b/>
                <w:bCs/>
                <w:color w:val="FFFFFF"/>
              </w:rPr>
              <w:t>Date</w:t>
            </w:r>
          </w:p>
        </w:tc>
        <w:tc>
          <w:tcPr>
            <w:tcW w:w="21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423D510A" w14:textId="77777777" w:rsidR="00CF155B" w:rsidRDefault="00000000">
            <w:r>
              <w:rPr>
                <w:b/>
                <w:bCs/>
                <w:color w:val="FFFFFF"/>
              </w:rPr>
              <w:t>Author</w:t>
            </w:r>
          </w:p>
        </w:tc>
        <w:tc>
          <w:tcPr>
            <w:tcW w:w="4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455AC6D9" w14:textId="77777777" w:rsidR="00CF155B" w:rsidRDefault="00000000">
            <w:r>
              <w:rPr>
                <w:b/>
                <w:bCs/>
                <w:color w:val="FFFFFF"/>
              </w:rPr>
              <w:t>Description</w:t>
            </w:r>
          </w:p>
        </w:tc>
      </w:tr>
      <w:tr w:rsidR="00CF155B" w14:paraId="23377AD6" w14:textId="77777777">
        <w:tblPrEx>
          <w:tblCellMar>
            <w:top w:w="0" w:type="dxa"/>
            <w:bottom w:w="0" w:type="dxa"/>
          </w:tblCellMar>
        </w:tblPrEx>
        <w:tc>
          <w:tcPr>
            <w:tcW w:w="1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748C854" w14:textId="77777777" w:rsidR="00CF155B" w:rsidRDefault="00000000">
            <w:r>
              <w:rPr>
                <w:color w:val="1A1A1A"/>
                <w:sz w:val="19"/>
                <w:szCs w:val="19"/>
              </w:rPr>
              <w:t>1.0</w:t>
            </w:r>
          </w:p>
        </w:tc>
        <w:tc>
          <w:tcPr>
            <w:tcW w:w="1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E3A34FA" w14:textId="77777777" w:rsidR="00CF155B" w:rsidRDefault="00000000">
            <w:r>
              <w:rPr>
                <w:color w:val="1A1A1A"/>
                <w:sz w:val="19"/>
                <w:szCs w:val="19"/>
              </w:rPr>
              <w:t>14 April 2026</w:t>
            </w:r>
          </w:p>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A0F3B54" w14:textId="77777777" w:rsidR="00CF155B" w:rsidRDefault="00000000">
            <w:r>
              <w:rPr>
                <w:color w:val="1A1A1A"/>
                <w:sz w:val="19"/>
                <w:szCs w:val="19"/>
              </w:rPr>
              <w:t>T. Mbalo</w:t>
            </w:r>
          </w:p>
        </w:tc>
        <w:tc>
          <w:tcPr>
            <w:tcW w:w="4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563DD8E" w14:textId="77777777" w:rsidR="00CF155B" w:rsidRDefault="00000000">
            <w:r>
              <w:rPr>
                <w:color w:val="1A1A1A"/>
                <w:sz w:val="19"/>
                <w:szCs w:val="19"/>
              </w:rPr>
              <w:t>Initial document — Step 1 deliverable. Five domains identified, source system mapping completed, cross-cutting risks documented.</w:t>
            </w:r>
          </w:p>
        </w:tc>
      </w:tr>
      <w:tr w:rsidR="00CF155B" w14:paraId="1C62C494" w14:textId="77777777">
        <w:tblPrEx>
          <w:tblCellMar>
            <w:top w:w="0" w:type="dxa"/>
            <w:bottom w:w="0" w:type="dxa"/>
          </w:tblCellMar>
        </w:tblPrEx>
        <w:tc>
          <w:tcPr>
            <w:tcW w:w="1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2702CF3" w14:textId="77777777" w:rsidR="00CF155B" w:rsidRDefault="00CF155B"/>
        </w:tc>
        <w:tc>
          <w:tcPr>
            <w:tcW w:w="1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4792B83" w14:textId="77777777" w:rsidR="00CF155B" w:rsidRDefault="00CF155B"/>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7871422" w14:textId="77777777" w:rsidR="00CF155B" w:rsidRDefault="00CF155B"/>
        </w:tc>
        <w:tc>
          <w:tcPr>
            <w:tcW w:w="4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41C4A80" w14:textId="77777777" w:rsidR="00CF155B" w:rsidRDefault="00CF155B"/>
        </w:tc>
      </w:tr>
      <w:tr w:rsidR="00CF155B" w14:paraId="1DD512B4" w14:textId="77777777">
        <w:tblPrEx>
          <w:tblCellMar>
            <w:top w:w="0" w:type="dxa"/>
            <w:bottom w:w="0" w:type="dxa"/>
          </w:tblCellMar>
        </w:tblPrEx>
        <w:tc>
          <w:tcPr>
            <w:tcW w:w="1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41C1E76" w14:textId="77777777" w:rsidR="00CF155B" w:rsidRDefault="00CF155B"/>
        </w:tc>
        <w:tc>
          <w:tcPr>
            <w:tcW w:w="1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5C94D4B" w14:textId="77777777" w:rsidR="00CF155B" w:rsidRDefault="00CF155B"/>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6A6E11A" w14:textId="77777777" w:rsidR="00CF155B" w:rsidRDefault="00CF155B"/>
        </w:tc>
        <w:tc>
          <w:tcPr>
            <w:tcW w:w="4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B169EC1" w14:textId="77777777" w:rsidR="00CF155B" w:rsidRDefault="00CF155B"/>
        </w:tc>
      </w:tr>
    </w:tbl>
    <w:p w14:paraId="123B4CE6" w14:textId="77777777" w:rsidR="00CF155B" w:rsidRDefault="00CF155B">
      <w:pPr>
        <w:spacing w:before="300"/>
      </w:pPr>
    </w:p>
    <w:p w14:paraId="0801CE4D" w14:textId="77777777" w:rsidR="00CF155B" w:rsidRDefault="00000000">
      <w:pPr>
        <w:spacing w:before="80" w:after="80"/>
      </w:pPr>
      <w:r>
        <w:rPr>
          <w:i/>
          <w:iCs/>
          <w:color w:val="555555"/>
        </w:rPr>
        <w:t>— End of Document —</w:t>
      </w:r>
    </w:p>
    <w:p w14:paraId="48542309" w14:textId="77777777" w:rsidR="00CF155B" w:rsidRDefault="00000000">
      <w:pPr>
        <w:spacing w:before="60"/>
      </w:pPr>
      <w:r>
        <w:rPr>
          <w:i/>
          <w:iCs/>
          <w:color w:val="555555"/>
          <w:sz w:val="16"/>
          <w:szCs w:val="16"/>
        </w:rPr>
        <w:t>BDR-001 v1.0 | RetailSphere Data Platform Programme | Confidential</w:t>
      </w:r>
    </w:p>
    <w:sectPr w:rsidR="00CF155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4A4BD" w14:textId="77777777" w:rsidR="00B979D1" w:rsidRDefault="00B979D1">
      <w:r>
        <w:separator/>
      </w:r>
    </w:p>
  </w:endnote>
  <w:endnote w:type="continuationSeparator" w:id="0">
    <w:p w14:paraId="321E3446" w14:textId="77777777" w:rsidR="00B979D1" w:rsidRDefault="00B97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3" w:space="0" w:color="D0D8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CF155B" w14:paraId="36F60161" w14:textId="77777777">
      <w:tblPrEx>
        <w:tblCellMar>
          <w:top w:w="0" w:type="dxa"/>
          <w:bottom w:w="0" w:type="dxa"/>
        </w:tblCellMar>
      </w:tblPrEx>
      <w:tc>
        <w:tcPr>
          <w:tcW w:w="5000" w:type="dxa"/>
          <w:tcBorders>
            <w:top w:val="single" w:sz="1" w:space="0" w:color="D0D8EC"/>
            <w:left w:val="single" w:sz="1" w:space="0" w:color="FFFFFF"/>
            <w:bottom w:val="single" w:sz="1" w:space="0" w:color="FFFFFF"/>
            <w:right w:val="single" w:sz="1" w:space="0" w:color="FFFFFF"/>
          </w:tcBorders>
        </w:tcPr>
        <w:p w14:paraId="31C2B970" w14:textId="77777777" w:rsidR="00CF155B" w:rsidRDefault="00000000">
          <w:r>
            <w:rPr>
              <w:color w:val="555555"/>
              <w:sz w:val="16"/>
              <w:szCs w:val="16"/>
            </w:rPr>
            <w:t>BDR-001 | Business Domain Register | Step 1 Deliverable</w:t>
          </w:r>
        </w:p>
      </w:tc>
      <w:tc>
        <w:tcPr>
          <w:tcW w:w="4360" w:type="dxa"/>
          <w:tcBorders>
            <w:top w:val="single" w:sz="1" w:space="0" w:color="D0D8EC"/>
            <w:left w:val="single" w:sz="1" w:space="0" w:color="FFFFFF"/>
            <w:bottom w:val="single" w:sz="1" w:space="0" w:color="FFFFFF"/>
            <w:right w:val="single" w:sz="1" w:space="0" w:color="FFFFFF"/>
          </w:tcBorders>
        </w:tcPr>
        <w:p w14:paraId="1650DB33" w14:textId="77777777" w:rsidR="00CF155B"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817275">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817275">
            <w:rPr>
              <w:noProof/>
              <w:color w:val="555555"/>
              <w:sz w:val="16"/>
              <w:szCs w:val="16"/>
            </w:rPr>
            <w:t>2</w:t>
          </w:r>
          <w:r>
            <w:rPr>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3ED57" w14:textId="77777777" w:rsidR="00B979D1" w:rsidRDefault="00B979D1">
      <w:r>
        <w:separator/>
      </w:r>
    </w:p>
  </w:footnote>
  <w:footnote w:type="continuationSeparator" w:id="0">
    <w:p w14:paraId="58FA8089" w14:textId="77777777" w:rsidR="00B979D1" w:rsidRDefault="00B97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3" w:space="0" w:color="C8A9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F155B" w14:paraId="6A9C8A47" w14:textId="77777777">
      <w:tblPrEx>
        <w:tblCellMar>
          <w:top w:w="0" w:type="dxa"/>
          <w:bottom w:w="0" w:type="dxa"/>
        </w:tblCellMar>
      </w:tblPrEx>
      <w:tc>
        <w:tcPr>
          <w:tcW w:w="6000" w:type="dxa"/>
          <w:tcBorders>
            <w:top w:val="single" w:sz="1" w:space="0" w:color="FFFFFF"/>
            <w:left w:val="single" w:sz="1" w:space="0" w:color="FFFFFF"/>
            <w:bottom w:val="single" w:sz="1" w:space="0" w:color="C8A96E"/>
            <w:right w:val="single" w:sz="1" w:space="0" w:color="FFFFFF"/>
          </w:tcBorders>
        </w:tcPr>
        <w:p w14:paraId="7095BF48" w14:textId="77777777" w:rsidR="00CF155B" w:rsidRDefault="00000000">
          <w:r>
            <w:rPr>
              <w:b/>
              <w:bCs/>
              <w:color w:val="1A2E5A"/>
              <w:sz w:val="18"/>
              <w:szCs w:val="18"/>
            </w:rPr>
            <w:t>RetailSphere (Pty) Ltd — Data Platform Programme</w:t>
          </w:r>
        </w:p>
      </w:tc>
      <w:tc>
        <w:tcPr>
          <w:tcW w:w="3360" w:type="dxa"/>
          <w:tcBorders>
            <w:top w:val="single" w:sz="1" w:space="0" w:color="FFFFFF"/>
            <w:left w:val="single" w:sz="1" w:space="0" w:color="FFFFFF"/>
            <w:bottom w:val="single" w:sz="1" w:space="0" w:color="C8A96E"/>
            <w:right w:val="single" w:sz="1" w:space="0" w:color="FFFFFF"/>
          </w:tcBorders>
        </w:tcPr>
        <w:p w14:paraId="3BD80DF7" w14:textId="5092E7DF" w:rsidR="00CF155B" w:rsidRDefault="00817275">
          <w:pPr>
            <w:jc w:val="right"/>
          </w:pPr>
          <w:r>
            <w:rPr>
              <w:color w:val="555555"/>
              <w:sz w:val="16"/>
              <w:szCs w:val="16"/>
            </w:rPr>
            <w:t>CONFIDENTIAL | v</w:t>
          </w:r>
          <w:r w:rsidR="00000000">
            <w:rPr>
              <w:color w:val="555555"/>
              <w:sz w:val="16"/>
              <w:szCs w:val="16"/>
            </w:rPr>
            <w:t>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35413"/>
    <w:multiLevelType w:val="hybridMultilevel"/>
    <w:tmpl w:val="97AAD23A"/>
    <w:lvl w:ilvl="0" w:tplc="A03465E0">
      <w:start w:val="1"/>
      <w:numFmt w:val="bullet"/>
      <w:lvlText w:val="●"/>
      <w:lvlJc w:val="left"/>
      <w:pPr>
        <w:ind w:left="720" w:hanging="360"/>
      </w:pPr>
    </w:lvl>
    <w:lvl w:ilvl="1" w:tplc="A5F4039E">
      <w:start w:val="1"/>
      <w:numFmt w:val="bullet"/>
      <w:lvlText w:val="○"/>
      <w:lvlJc w:val="left"/>
      <w:pPr>
        <w:ind w:left="1440" w:hanging="360"/>
      </w:pPr>
    </w:lvl>
    <w:lvl w:ilvl="2" w:tplc="48266FC4">
      <w:start w:val="1"/>
      <w:numFmt w:val="bullet"/>
      <w:lvlText w:val="■"/>
      <w:lvlJc w:val="left"/>
      <w:pPr>
        <w:ind w:left="2160" w:hanging="360"/>
      </w:pPr>
    </w:lvl>
    <w:lvl w:ilvl="3" w:tplc="1B3E7D36">
      <w:start w:val="1"/>
      <w:numFmt w:val="bullet"/>
      <w:lvlText w:val="●"/>
      <w:lvlJc w:val="left"/>
      <w:pPr>
        <w:ind w:left="2880" w:hanging="360"/>
      </w:pPr>
    </w:lvl>
    <w:lvl w:ilvl="4" w:tplc="1E1EE61C">
      <w:start w:val="1"/>
      <w:numFmt w:val="bullet"/>
      <w:lvlText w:val="○"/>
      <w:lvlJc w:val="left"/>
      <w:pPr>
        <w:ind w:left="3600" w:hanging="360"/>
      </w:pPr>
    </w:lvl>
    <w:lvl w:ilvl="5" w:tplc="5FC47032">
      <w:start w:val="1"/>
      <w:numFmt w:val="bullet"/>
      <w:lvlText w:val="■"/>
      <w:lvlJc w:val="left"/>
      <w:pPr>
        <w:ind w:left="4320" w:hanging="360"/>
      </w:pPr>
    </w:lvl>
    <w:lvl w:ilvl="6" w:tplc="C5C81D7E">
      <w:start w:val="1"/>
      <w:numFmt w:val="bullet"/>
      <w:lvlText w:val="●"/>
      <w:lvlJc w:val="left"/>
      <w:pPr>
        <w:ind w:left="5040" w:hanging="360"/>
      </w:pPr>
    </w:lvl>
    <w:lvl w:ilvl="7" w:tplc="C7AA5AA2">
      <w:start w:val="1"/>
      <w:numFmt w:val="bullet"/>
      <w:lvlText w:val="●"/>
      <w:lvlJc w:val="left"/>
      <w:pPr>
        <w:ind w:left="5760" w:hanging="360"/>
      </w:pPr>
    </w:lvl>
    <w:lvl w:ilvl="8" w:tplc="5696148C">
      <w:start w:val="1"/>
      <w:numFmt w:val="bullet"/>
      <w:lvlText w:val="●"/>
      <w:lvlJc w:val="left"/>
      <w:pPr>
        <w:ind w:left="6480" w:hanging="360"/>
      </w:pPr>
    </w:lvl>
  </w:abstractNum>
  <w:num w:numId="1" w16cid:durableId="2032946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55B"/>
    <w:rsid w:val="0046618E"/>
    <w:rsid w:val="007B17B5"/>
    <w:rsid w:val="00817275"/>
    <w:rsid w:val="00B979D1"/>
    <w:rsid w:val="00CF15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6F68"/>
  <w15:docId w15:val="{B066A3B5-4C2D-4580-8FA5-9D66D7931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275"/>
    <w:pPr>
      <w:tabs>
        <w:tab w:val="center" w:pos="4513"/>
        <w:tab w:val="right" w:pos="9026"/>
      </w:tabs>
    </w:pPr>
  </w:style>
  <w:style w:type="character" w:customStyle="1" w:styleId="HeaderChar">
    <w:name w:val="Header Char"/>
    <w:basedOn w:val="DefaultParagraphFont"/>
    <w:link w:val="Header"/>
    <w:uiPriority w:val="99"/>
    <w:rsid w:val="00817275"/>
  </w:style>
  <w:style w:type="paragraph" w:styleId="Footer">
    <w:name w:val="footer"/>
    <w:basedOn w:val="Normal"/>
    <w:link w:val="FooterChar"/>
    <w:uiPriority w:val="99"/>
    <w:unhideWhenUsed/>
    <w:rsid w:val="00817275"/>
    <w:pPr>
      <w:tabs>
        <w:tab w:val="center" w:pos="4513"/>
        <w:tab w:val="right" w:pos="9026"/>
      </w:tabs>
    </w:pPr>
  </w:style>
  <w:style w:type="character" w:customStyle="1" w:styleId="FooterChar">
    <w:name w:val="Footer Char"/>
    <w:basedOn w:val="DefaultParagraphFont"/>
    <w:link w:val="Footer"/>
    <w:uiPriority w:val="99"/>
    <w:rsid w:val="00817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1304</Words>
  <Characters>7438</Characters>
  <Application>Microsoft Office Word</Application>
  <DocSecurity>0</DocSecurity>
  <Lines>61</Lines>
  <Paragraphs>17</Paragraphs>
  <ScaleCrop>false</ScaleCrop>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Thozamile Thozi mbalo</cp:lastModifiedBy>
  <cp:revision>3</cp:revision>
  <dcterms:created xsi:type="dcterms:W3CDTF">2026-04-14T08:21:00Z</dcterms:created>
  <dcterms:modified xsi:type="dcterms:W3CDTF">2026-04-14T09:29:00Z</dcterms:modified>
</cp:coreProperties>
</file>