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B8A5" w14:textId="77777777" w:rsidR="00CD6936" w:rsidRDefault="00CD6936">
      <w:pPr>
        <w:spacing w:before="400"/>
      </w:pPr>
    </w:p>
    <w:p w14:paraId="6E6C54C6" w14:textId="77777777" w:rsidR="00CD6936" w:rsidRDefault="00000000">
      <w:pPr>
        <w:spacing w:after="80"/>
      </w:pPr>
      <w:r>
        <w:rPr>
          <w:b/>
          <w:bCs/>
          <w:color w:val="C8A96E"/>
          <w:spacing w:val="80"/>
        </w:rPr>
        <w:t>RETAILSPHERE (PTY) LTD</w:t>
      </w:r>
    </w:p>
    <w:p w14:paraId="4CFD3108" w14:textId="77777777" w:rsidR="00CD6936" w:rsidRDefault="00000000">
      <w:pPr>
        <w:spacing w:after="120"/>
      </w:pPr>
      <w:r>
        <w:rPr>
          <w:color w:val="555555"/>
        </w:rPr>
        <w:t>Data Platform Programme</w:t>
      </w:r>
    </w:p>
    <w:p w14:paraId="284ED88C" w14:textId="77777777" w:rsidR="00CD6936" w:rsidRDefault="00000000">
      <w:pPr>
        <w:spacing w:after="120"/>
      </w:pPr>
      <w:r>
        <w:rPr>
          <w:b/>
          <w:bCs/>
          <w:color w:val="1A2E5A"/>
          <w:sz w:val="48"/>
          <w:szCs w:val="48"/>
        </w:rPr>
        <w:t>Architecture Decision Record Register</w:t>
      </w:r>
    </w:p>
    <w:p w14:paraId="73D64820" w14:textId="77777777" w:rsidR="00CD6936" w:rsidRDefault="00000000">
      <w:pPr>
        <w:pBdr>
          <w:bottom w:val="single" w:sz="6" w:space="8" w:color="C8A96E"/>
        </w:pBdr>
        <w:spacing w:after="400"/>
      </w:pPr>
      <w:r>
        <w:rPr>
          <w:i/>
          <w:iCs/>
          <w:color w:val="555555"/>
          <w:sz w:val="22"/>
          <w:szCs w:val="22"/>
        </w:rPr>
        <w:t>Living Document — Updated continuously throughout all 10 design steps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CD6936" w14:paraId="57A556AC"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E99E896" w14:textId="77777777" w:rsidR="00CD6936"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17CB129" w14:textId="77777777" w:rsidR="00CD6936" w:rsidRDefault="00000000">
            <w:r>
              <w:rPr>
                <w:color w:val="1A1A1A"/>
                <w:sz w:val="18"/>
                <w:szCs w:val="18"/>
              </w:rPr>
              <w:t>ADR-REG-001</w:t>
            </w:r>
          </w:p>
        </w:tc>
      </w:tr>
      <w:tr w:rsidR="00CD6936" w14:paraId="3B52BDC4"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FAEA29" w14:textId="77777777" w:rsidR="00CD6936"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0F61364" w14:textId="77777777" w:rsidR="00CD6936" w:rsidRDefault="00000000">
            <w:r>
              <w:rPr>
                <w:color w:val="1A1A1A"/>
                <w:sz w:val="18"/>
                <w:szCs w:val="18"/>
              </w:rPr>
              <w:t>1.0 — Initial register. 6 ADRs identified.</w:t>
            </w:r>
          </w:p>
        </w:tc>
      </w:tr>
      <w:tr w:rsidR="00CD6936" w14:paraId="2B680723"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046EB41" w14:textId="77777777" w:rsidR="00CD6936"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BBC21C2" w14:textId="77777777" w:rsidR="00CD6936" w:rsidRDefault="00000000">
            <w:r>
              <w:rPr>
                <w:color w:val="1A1A1A"/>
                <w:sz w:val="18"/>
                <w:szCs w:val="18"/>
              </w:rPr>
              <w:t>17 April 2026</w:t>
            </w:r>
          </w:p>
        </w:tc>
      </w:tr>
      <w:tr w:rsidR="00CD6936" w14:paraId="062A2CC7"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0E6A6B3" w14:textId="77777777" w:rsidR="00CD6936"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B960AD4" w14:textId="77777777" w:rsidR="00CD6936" w:rsidRDefault="00000000">
            <w:r>
              <w:rPr>
                <w:color w:val="1A1A1A"/>
                <w:sz w:val="18"/>
                <w:szCs w:val="18"/>
              </w:rPr>
              <w:t>Thozamile Mbalo — Data Solutions Architect</w:t>
            </w:r>
          </w:p>
        </w:tc>
      </w:tr>
      <w:tr w:rsidR="00CD6936" w14:paraId="3C48A189"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B0485E4" w14:textId="77777777" w:rsidR="00CD6936" w:rsidRDefault="00000000">
            <w:r>
              <w:rPr>
                <w:b/>
                <w:bCs/>
                <w:color w:val="1A2E5A"/>
                <w:sz w:val="18"/>
                <w:szCs w:val="18"/>
              </w:rPr>
              <w:t>ADRs in register</w:t>
            </w:r>
          </w:p>
        </w:tc>
        <w:tc>
          <w:tcPr>
            <w:tcW w:w="320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17914D21" w14:textId="77777777" w:rsidR="00CD6936" w:rsidRDefault="00000000">
            <w:r>
              <w:rPr>
                <w:color w:val="7A5C00"/>
                <w:sz w:val="18"/>
                <w:szCs w:val="18"/>
              </w:rPr>
              <w:t>6 — All PENDING. Individual ADR documents to be written in Steps 6 and 9.</w:t>
            </w:r>
          </w:p>
        </w:tc>
      </w:tr>
    </w:tbl>
    <w:p w14:paraId="4969E79A" w14:textId="77777777" w:rsidR="00CD6936" w:rsidRDefault="00CD6936">
      <w:pPr>
        <w:spacing w:before="400"/>
      </w:pPr>
    </w:p>
    <w:p w14:paraId="7EE6C8D2" w14:textId="77777777" w:rsidR="00CD6936" w:rsidRDefault="00000000">
      <w:pPr>
        <w:pBdr>
          <w:bottom w:val="single" w:sz="4" w:space="6" w:color="C8A96E"/>
        </w:pBdr>
        <w:spacing w:before="400" w:after="160"/>
      </w:pPr>
      <w:r>
        <w:rPr>
          <w:b/>
          <w:bCs/>
          <w:color w:val="1A2E5A"/>
          <w:sz w:val="32"/>
          <w:szCs w:val="32"/>
        </w:rPr>
        <w:t>1. Purpose and Usage</w:t>
      </w:r>
    </w:p>
    <w:p w14:paraId="76B3243C" w14:textId="77777777" w:rsidR="00CD6936" w:rsidRDefault="00000000">
      <w:pPr>
        <w:spacing w:before="80" w:after="80"/>
      </w:pPr>
      <w:r>
        <w:rPr>
          <w:color w:val="1A1A1A"/>
        </w:rPr>
        <w:t>This register tracks every Architecture Decision Record (ADR) raised during the RetailSphere Data Platform Programme. An ADR documents a significant architectural decision — one that is difficult to reverse, has material impact on multiple domains, or requires formal stakeholder sign-off before implementation proceeds.</w:t>
      </w:r>
    </w:p>
    <w:p w14:paraId="51820D0E" w14:textId="77777777" w:rsidR="00CD6936" w:rsidRDefault="00CD6936">
      <w:pPr>
        <w:spacing w:before="80"/>
      </w:pPr>
    </w:p>
    <w:p w14:paraId="053BA449" w14:textId="77777777" w:rsidR="00CD6936" w:rsidRDefault="00000000">
      <w:pPr>
        <w:spacing w:before="80" w:after="80"/>
      </w:pPr>
      <w:r>
        <w:rPr>
          <w:color w:val="1A1A1A"/>
        </w:rPr>
        <w:t>This register is a living document. New ADRs are added as significant decisions are identified during any step of the 10-step design process. The individual ADR documents — containing full context, options considered, decision made, and consequences — are written when the relevant step is reached. The register provides visibility of the full decision backlog at all times.</w:t>
      </w:r>
    </w:p>
    <w:p w14:paraId="5C1A41F6" w14:textId="77777777" w:rsidR="00CD6936" w:rsidRDefault="00CD69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936" w14:paraId="3BC2E4D7" w14:textId="77777777">
        <w:tblPrEx>
          <w:tblCellMar>
            <w:top w:w="0" w:type="dxa"/>
            <w:bottom w:w="0" w:type="dxa"/>
          </w:tblCellMar>
        </w:tblPrEx>
        <w:tc>
          <w:tcPr>
            <w:tcW w:w="9360" w:type="dxa"/>
            <w:tcBorders>
              <w:top w:val="single" w:sz="3" w:space="0" w:color="1A2E5A"/>
              <w:left w:val="thick" w:sz="6" w:space="0" w:color="1A2E5A"/>
              <w:bottom w:val="single" w:sz="1" w:space="0" w:color="1A2E5A"/>
              <w:right w:val="single" w:sz="1" w:space="0" w:color="1A2E5A"/>
            </w:tcBorders>
            <w:shd w:val="clear" w:color="auto" w:fill="EEF1F8"/>
            <w:tcMar>
              <w:top w:w="120" w:type="dxa"/>
              <w:left w:w="180" w:type="dxa"/>
              <w:bottom w:w="120" w:type="dxa"/>
              <w:right w:w="180" w:type="dxa"/>
            </w:tcMar>
          </w:tcPr>
          <w:p w14:paraId="7661521B" w14:textId="77777777" w:rsidR="00CD6936" w:rsidRDefault="00000000">
            <w:pPr>
              <w:spacing w:before="40" w:after="40"/>
            </w:pPr>
            <w:r>
              <w:rPr>
                <w:b/>
                <w:bCs/>
                <w:color w:val="1A2E5A"/>
                <w:sz w:val="19"/>
                <w:szCs w:val="19"/>
              </w:rPr>
              <w:t>How to read the status column:</w:t>
            </w:r>
          </w:p>
          <w:p w14:paraId="0E97CA8D" w14:textId="77777777" w:rsidR="00CD6936" w:rsidRDefault="00000000">
            <w:pPr>
              <w:spacing w:before="40" w:after="40"/>
            </w:pPr>
            <w:r>
              <w:rPr>
                <w:color w:val="1A1A1A"/>
                <w:sz w:val="19"/>
                <w:szCs w:val="19"/>
              </w:rPr>
              <w:t>PENDING — Decision identified but not yet made. ADR document not yet written.</w:t>
            </w:r>
          </w:p>
          <w:p w14:paraId="704236B2" w14:textId="77777777" w:rsidR="00CD6936" w:rsidRDefault="00000000">
            <w:pPr>
              <w:spacing w:before="40" w:after="40"/>
            </w:pPr>
            <w:r>
              <w:rPr>
                <w:color w:val="1A1A1A"/>
                <w:sz w:val="19"/>
                <w:szCs w:val="19"/>
              </w:rPr>
              <w:t>IN PROGRESS — ADR document being drafted. Options under active evaluation.</w:t>
            </w:r>
          </w:p>
          <w:p w14:paraId="373942B3" w14:textId="77777777" w:rsidR="00CD6936" w:rsidRDefault="00000000">
            <w:pPr>
              <w:spacing w:before="40" w:after="40"/>
            </w:pPr>
            <w:r>
              <w:rPr>
                <w:color w:val="1A1A1A"/>
                <w:sz w:val="19"/>
                <w:szCs w:val="19"/>
              </w:rPr>
              <w:t>APPROVED — Decision made, documented, and signed off by approver. Implementation may proceed.</w:t>
            </w:r>
          </w:p>
          <w:p w14:paraId="2AC0A691" w14:textId="77777777" w:rsidR="00CD6936" w:rsidRDefault="00000000">
            <w:pPr>
              <w:spacing w:before="40" w:after="40"/>
            </w:pPr>
            <w:r>
              <w:rPr>
                <w:color w:val="1A1A1A"/>
                <w:sz w:val="19"/>
                <w:szCs w:val="19"/>
              </w:rPr>
              <w:t>SUPERSEDED — Decision was made but has been replaced by a subsequent ADR.</w:t>
            </w:r>
          </w:p>
        </w:tc>
      </w:tr>
    </w:tbl>
    <w:p w14:paraId="3ED1CF9E" w14:textId="77777777" w:rsidR="00CD6936" w:rsidRDefault="00CD6936">
      <w:pPr>
        <w:spacing w:before="200"/>
      </w:pPr>
    </w:p>
    <w:p w14:paraId="1216AD21" w14:textId="77777777" w:rsidR="00CD6936" w:rsidRDefault="00000000">
      <w:pPr>
        <w:pBdr>
          <w:bottom w:val="single" w:sz="4" w:space="6" w:color="C8A96E"/>
        </w:pBdr>
        <w:spacing w:before="400" w:after="160"/>
      </w:pPr>
      <w:r>
        <w:rPr>
          <w:b/>
          <w:bCs/>
          <w:color w:val="1A2E5A"/>
          <w:sz w:val="32"/>
          <w:szCs w:val="32"/>
        </w:rPr>
        <w:t>2. ADR Summary Register</w:t>
      </w:r>
    </w:p>
    <w:p w14:paraId="0AFC7E78" w14:textId="77777777" w:rsidR="00CD6936" w:rsidRDefault="00CD69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400"/>
        <w:gridCol w:w="1200"/>
        <w:gridCol w:w="1560"/>
        <w:gridCol w:w="1500"/>
      </w:tblGrid>
      <w:tr w:rsidR="00CD6936" w14:paraId="762D462A" w14:textId="77777777">
        <w:tblPrEx>
          <w:tblCellMar>
            <w:top w:w="0" w:type="dxa"/>
            <w:bottom w:w="0" w:type="dxa"/>
          </w:tblCellMar>
        </w:tblPrEx>
        <w:trPr>
          <w:tblHeader/>
        </w:trPr>
        <w:tc>
          <w:tcPr>
            <w:tcW w:w="9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38C6CE8" w14:textId="77777777" w:rsidR="00CD6936" w:rsidRDefault="00000000">
            <w:r>
              <w:rPr>
                <w:b/>
                <w:bCs/>
                <w:color w:val="FFFFFF"/>
              </w:rPr>
              <w:t>ADR ID</w:t>
            </w:r>
          </w:p>
        </w:tc>
        <w:tc>
          <w:tcPr>
            <w:tcW w:w="28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D3AB350" w14:textId="77777777" w:rsidR="00CD6936" w:rsidRDefault="00000000">
            <w:r>
              <w:rPr>
                <w:b/>
                <w:bCs/>
                <w:color w:val="FFFFFF"/>
              </w:rPr>
              <w:t>Title</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FFDABED" w14:textId="77777777" w:rsidR="00CD6936" w:rsidRDefault="00000000">
            <w:r>
              <w:rPr>
                <w:b/>
                <w:bCs/>
                <w:color w:val="FFFFFF"/>
              </w:rPr>
              <w:t>Triggered By</w:t>
            </w:r>
          </w:p>
        </w:tc>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1B96ED9" w14:textId="77777777" w:rsidR="00CD6936" w:rsidRDefault="00000000">
            <w:r>
              <w:rPr>
                <w:b/>
                <w:bCs/>
                <w:color w:val="FFFFFF"/>
              </w:rPr>
              <w:t>Status</w:t>
            </w:r>
          </w:p>
        </w:tc>
        <w:tc>
          <w:tcPr>
            <w:tcW w:w="15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1DE6D2D" w14:textId="77777777" w:rsidR="00CD6936" w:rsidRDefault="00000000">
            <w:r>
              <w:rPr>
                <w:b/>
                <w:bCs/>
                <w:color w:val="FFFFFF"/>
              </w:rPr>
              <w:t>Owner</w:t>
            </w:r>
          </w:p>
        </w:tc>
        <w:tc>
          <w:tcPr>
            <w:tcW w:w="15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D0F11DD" w14:textId="77777777" w:rsidR="00CD6936" w:rsidRDefault="00000000">
            <w:r>
              <w:rPr>
                <w:b/>
                <w:bCs/>
                <w:color w:val="FFFFFF"/>
              </w:rPr>
              <w:t>Approver</w:t>
            </w:r>
          </w:p>
        </w:tc>
      </w:tr>
      <w:tr w:rsidR="00CD6936" w14:paraId="40803F07" w14:textId="77777777">
        <w:tblPrEx>
          <w:tblCellMar>
            <w:top w:w="0" w:type="dxa"/>
            <w:bottom w:w="0" w:type="dxa"/>
          </w:tblCellMar>
        </w:tblPrEx>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1E9B544" w14:textId="77777777" w:rsidR="00CD6936" w:rsidRDefault="00000000">
            <w:r>
              <w:rPr>
                <w:b/>
                <w:bCs/>
                <w:color w:val="1A2E5A"/>
                <w:sz w:val="19"/>
                <w:szCs w:val="19"/>
              </w:rPr>
              <w:t>ADR-001</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DDBBCDB" w14:textId="77777777" w:rsidR="00CD6936" w:rsidRDefault="00000000">
            <w:r>
              <w:rPr>
                <w:color w:val="1A1A1A"/>
                <w:sz w:val="19"/>
                <w:szCs w:val="19"/>
              </w:rPr>
              <w:t>Master Product Identifier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1E8FE84" w14:textId="77777777" w:rsidR="00CD6936" w:rsidRDefault="00000000">
            <w:r>
              <w:rPr>
                <w:i/>
                <w:iCs/>
                <w:color w:val="555555"/>
                <w:sz w:val="19"/>
                <w:szCs w:val="19"/>
              </w:rPr>
              <w:t>BDR-001 v1.0</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5278E971" w14:textId="77777777" w:rsidR="00CD6936" w:rsidRDefault="00000000">
            <w:pPr>
              <w:jc w:val="center"/>
            </w:pPr>
            <w:r>
              <w:rPr>
                <w:b/>
                <w:bCs/>
                <w:color w:val="7A5C00"/>
                <w:sz w:val="18"/>
                <w:szCs w:val="18"/>
              </w:rPr>
              <w:t>PENDING</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3A06594"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B6583DB" w14:textId="77777777" w:rsidR="00CD6936" w:rsidRDefault="00000000">
            <w:r>
              <w:rPr>
                <w:color w:val="555555"/>
                <w:sz w:val="19"/>
                <w:szCs w:val="19"/>
              </w:rPr>
              <w:t>N. Mahlangu (CDO)</w:t>
            </w:r>
          </w:p>
        </w:tc>
      </w:tr>
      <w:tr w:rsidR="00CD6936" w14:paraId="1031B43D" w14:textId="77777777">
        <w:tblPrEx>
          <w:tblCellMar>
            <w:top w:w="0" w:type="dxa"/>
            <w:bottom w:w="0" w:type="dxa"/>
          </w:tblCellMar>
        </w:tblPrEx>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2FEBA8D" w14:textId="77777777" w:rsidR="00CD6936" w:rsidRDefault="00000000">
            <w:r>
              <w:rPr>
                <w:b/>
                <w:bCs/>
                <w:color w:val="1A2E5A"/>
                <w:sz w:val="19"/>
                <w:szCs w:val="19"/>
              </w:rPr>
              <w:lastRenderedPageBreak/>
              <w:t>ADR-002</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1475FE1" w14:textId="77777777" w:rsidR="00CD6936" w:rsidRDefault="00000000">
            <w:r>
              <w:rPr>
                <w:color w:val="1A1A1A"/>
                <w:sz w:val="19"/>
                <w:szCs w:val="19"/>
              </w:rPr>
              <w:t>Unified Customer Identity Resolution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A361E78" w14:textId="77777777" w:rsidR="00CD6936" w:rsidRDefault="00000000">
            <w:r>
              <w:rPr>
                <w:i/>
                <w:iCs/>
                <w:color w:val="555555"/>
                <w:sz w:val="19"/>
                <w:szCs w:val="19"/>
              </w:rPr>
              <w:t>BDR-001 v1.0</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93BB25E" w14:textId="77777777" w:rsidR="00CD6936" w:rsidRDefault="00000000">
            <w:pPr>
              <w:jc w:val="center"/>
            </w:pPr>
            <w:r>
              <w:rPr>
                <w:b/>
                <w:bCs/>
                <w:color w:val="7A5C00"/>
                <w:sz w:val="18"/>
                <w:szCs w:val="18"/>
              </w:rPr>
              <w:t>PENDING</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23692A6"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2A49D41" w14:textId="77777777" w:rsidR="00CD6936" w:rsidRDefault="00000000">
            <w:r>
              <w:rPr>
                <w:color w:val="555555"/>
                <w:sz w:val="19"/>
                <w:szCs w:val="19"/>
              </w:rPr>
              <w:t>N. Mahlangu (CDO) + Legal (POPIA)</w:t>
            </w:r>
          </w:p>
        </w:tc>
      </w:tr>
      <w:tr w:rsidR="00CD6936" w14:paraId="3822EEEB" w14:textId="77777777">
        <w:tblPrEx>
          <w:tblCellMar>
            <w:top w:w="0" w:type="dxa"/>
            <w:bottom w:w="0" w:type="dxa"/>
          </w:tblCellMar>
        </w:tblPrEx>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DDC31AB" w14:textId="77777777" w:rsidR="00CD6936" w:rsidRDefault="00000000">
            <w:r>
              <w:rPr>
                <w:b/>
                <w:bCs/>
                <w:color w:val="1A2E5A"/>
                <w:sz w:val="19"/>
                <w:szCs w:val="19"/>
              </w:rPr>
              <w:t>ADR-003</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36A5F16" w14:textId="77777777" w:rsidR="00CD6936" w:rsidRDefault="00000000">
            <w:r>
              <w:rPr>
                <w:color w:val="1A1A1A"/>
                <w:sz w:val="19"/>
                <w:szCs w:val="19"/>
              </w:rPr>
              <w:t>Supplier Contract Data Extraction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2CEB366" w14:textId="77777777" w:rsidR="00CD6936" w:rsidRDefault="00000000">
            <w:r>
              <w:rPr>
                <w:i/>
                <w:iCs/>
                <w:color w:val="555555"/>
                <w:sz w:val="19"/>
                <w:szCs w:val="19"/>
              </w:rPr>
              <w:t>Step 2</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EC512D1" w14:textId="77777777" w:rsidR="00CD6936" w:rsidRDefault="00000000">
            <w:pPr>
              <w:jc w:val="center"/>
            </w:pPr>
            <w:r>
              <w:rPr>
                <w:b/>
                <w:bCs/>
                <w:color w:val="7A5C00"/>
                <w:sz w:val="18"/>
                <w:szCs w:val="18"/>
              </w:rPr>
              <w:t>PENDING</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96FAFB2"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CB4335A" w14:textId="77777777" w:rsidR="00CD6936" w:rsidRDefault="00000000">
            <w:r>
              <w:rPr>
                <w:color w:val="555555"/>
                <w:sz w:val="19"/>
                <w:szCs w:val="19"/>
              </w:rPr>
              <w:t>N. Mahlangu (CDO) + Sipho Dlamini</w:t>
            </w:r>
          </w:p>
        </w:tc>
      </w:tr>
      <w:tr w:rsidR="00CD6936" w14:paraId="72DE56CD" w14:textId="77777777">
        <w:tblPrEx>
          <w:tblCellMar>
            <w:top w:w="0" w:type="dxa"/>
            <w:bottom w:w="0" w:type="dxa"/>
          </w:tblCellMar>
        </w:tblPrEx>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F348470" w14:textId="77777777" w:rsidR="00CD6936" w:rsidRDefault="00000000">
            <w:r>
              <w:rPr>
                <w:b/>
                <w:bCs/>
                <w:color w:val="1A2E5A"/>
                <w:sz w:val="19"/>
                <w:szCs w:val="19"/>
              </w:rPr>
              <w:t>ADR-004</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CC99914" w14:textId="77777777" w:rsidR="00CD6936" w:rsidRDefault="00000000">
            <w:r>
              <w:rPr>
                <w:color w:val="1A1A1A"/>
                <w:sz w:val="19"/>
                <w:szCs w:val="19"/>
              </w:rPr>
              <w:t>Medallion Architecture Layer Design</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D024652" w14:textId="77777777" w:rsidR="00CD6936" w:rsidRDefault="00000000">
            <w:r>
              <w:rPr>
                <w:i/>
                <w:iCs/>
                <w:color w:val="555555"/>
                <w:sz w:val="19"/>
                <w:szCs w:val="19"/>
              </w:rPr>
              <w:t>Design philosophy agreed</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B507827" w14:textId="77777777" w:rsidR="00CD6936" w:rsidRDefault="00000000">
            <w:pPr>
              <w:jc w:val="center"/>
            </w:pPr>
            <w:r>
              <w:rPr>
                <w:b/>
                <w:bCs/>
                <w:color w:val="7A5C00"/>
                <w:sz w:val="18"/>
                <w:szCs w:val="18"/>
              </w:rPr>
              <w:t>PENDING</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91E4B21"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A351E75" w14:textId="77777777" w:rsidR="00CD6936" w:rsidRDefault="00000000">
            <w:r>
              <w:rPr>
                <w:color w:val="555555"/>
                <w:sz w:val="19"/>
                <w:szCs w:val="19"/>
              </w:rPr>
              <w:t>N. Mahlangu (CDO)</w:t>
            </w:r>
          </w:p>
        </w:tc>
      </w:tr>
      <w:tr w:rsidR="00CD6936" w14:paraId="7695EFFC" w14:textId="77777777">
        <w:tblPrEx>
          <w:tblCellMar>
            <w:top w:w="0" w:type="dxa"/>
            <w:bottom w:w="0" w:type="dxa"/>
          </w:tblCellMar>
        </w:tblPrEx>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6B4F0AE" w14:textId="77777777" w:rsidR="00CD6936" w:rsidRDefault="00000000">
            <w:r>
              <w:rPr>
                <w:b/>
                <w:bCs/>
                <w:color w:val="1A2E5A"/>
                <w:sz w:val="19"/>
                <w:szCs w:val="19"/>
              </w:rPr>
              <w:t>ADR-005</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68226F0" w14:textId="77777777" w:rsidR="00CD6936" w:rsidRDefault="00000000">
            <w:r>
              <w:rPr>
                <w:color w:val="1A1A1A"/>
                <w:sz w:val="19"/>
                <w:szCs w:val="19"/>
              </w:rPr>
              <w:t>Orchestration and Pipeline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A1CBC52" w14:textId="77777777" w:rsidR="00CD6936" w:rsidRDefault="00000000">
            <w:r>
              <w:rPr>
                <w:i/>
                <w:iCs/>
                <w:color w:val="555555"/>
                <w:sz w:val="19"/>
                <w:szCs w:val="19"/>
              </w:rPr>
              <w:t>Design philosophy agreed</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3B718ECD" w14:textId="77777777" w:rsidR="00CD6936" w:rsidRDefault="00000000">
            <w:pPr>
              <w:jc w:val="center"/>
            </w:pPr>
            <w:r>
              <w:rPr>
                <w:b/>
                <w:bCs/>
                <w:color w:val="7A5C00"/>
                <w:sz w:val="18"/>
                <w:szCs w:val="18"/>
              </w:rPr>
              <w:t>PENDING</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E800F70"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1DD01AB" w14:textId="77777777" w:rsidR="00CD6936" w:rsidRDefault="00000000">
            <w:r>
              <w:rPr>
                <w:color w:val="555555"/>
                <w:sz w:val="19"/>
                <w:szCs w:val="19"/>
              </w:rPr>
              <w:t>N. Mahlangu (CDO)</w:t>
            </w:r>
          </w:p>
        </w:tc>
      </w:tr>
      <w:tr w:rsidR="00CD6936" w14:paraId="27A52D46" w14:textId="77777777">
        <w:tblPrEx>
          <w:tblCellMar>
            <w:top w:w="0" w:type="dxa"/>
            <w:bottom w:w="0" w:type="dxa"/>
          </w:tblCellMar>
        </w:tblPrEx>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12481D7" w14:textId="77777777" w:rsidR="00CD6936" w:rsidRDefault="00000000">
            <w:r>
              <w:rPr>
                <w:b/>
                <w:bCs/>
                <w:color w:val="1A2E5A"/>
                <w:sz w:val="19"/>
                <w:szCs w:val="19"/>
              </w:rPr>
              <w:t>ADR-006</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0961982" w14:textId="77777777" w:rsidR="00CD6936" w:rsidRDefault="00000000">
            <w:r>
              <w:rPr>
                <w:color w:val="1A1A1A"/>
                <w:sz w:val="19"/>
                <w:szCs w:val="19"/>
              </w:rPr>
              <w:t>Marketing Attribution Logic and Methodology</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95D4234" w14:textId="77777777" w:rsidR="00CD6936" w:rsidRDefault="00000000">
            <w:r>
              <w:rPr>
                <w:i/>
                <w:iCs/>
                <w:color w:val="555555"/>
                <w:sz w:val="19"/>
                <w:szCs w:val="19"/>
              </w:rPr>
              <w:t>Step 2</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9C1A4A6" w14:textId="77777777" w:rsidR="00CD6936" w:rsidRDefault="00000000">
            <w:pPr>
              <w:jc w:val="center"/>
            </w:pPr>
            <w:r>
              <w:rPr>
                <w:b/>
                <w:bCs/>
                <w:color w:val="7A5C00"/>
                <w:sz w:val="18"/>
                <w:szCs w:val="18"/>
              </w:rPr>
              <w:t>PENDING</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4D65364"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D49EA0F" w14:textId="77777777" w:rsidR="00CD6936" w:rsidRDefault="00000000">
            <w:r>
              <w:rPr>
                <w:color w:val="555555"/>
                <w:sz w:val="19"/>
                <w:szCs w:val="19"/>
              </w:rPr>
              <w:t>N. Mahlangu (CDO) + Rethabile Sithole (CCO)</w:t>
            </w:r>
          </w:p>
        </w:tc>
      </w:tr>
    </w:tbl>
    <w:p w14:paraId="06C69885" w14:textId="77777777" w:rsidR="00CD6936" w:rsidRDefault="00CD6936">
      <w:pPr>
        <w:spacing w:before="200"/>
      </w:pPr>
    </w:p>
    <w:p w14:paraId="0BD5E1BD" w14:textId="77777777" w:rsidR="00CD6936" w:rsidRDefault="00000000">
      <w:pPr>
        <w:pBdr>
          <w:bottom w:val="single" w:sz="4" w:space="6" w:color="C8A96E"/>
        </w:pBdr>
        <w:spacing w:before="400" w:after="160"/>
      </w:pPr>
      <w:r>
        <w:rPr>
          <w:b/>
          <w:bCs/>
          <w:color w:val="1A2E5A"/>
          <w:sz w:val="32"/>
          <w:szCs w:val="32"/>
        </w:rPr>
        <w:t>3. ADR Detail Summaries</w:t>
      </w:r>
    </w:p>
    <w:p w14:paraId="2741C4B6" w14:textId="77777777" w:rsidR="00CD6936" w:rsidRDefault="00000000">
      <w:pPr>
        <w:spacing w:before="80" w:after="80"/>
      </w:pPr>
      <w:r>
        <w:rPr>
          <w:color w:val="1A1A1A"/>
        </w:rPr>
        <w:t>Full ADR documents will be written during Steps 6 and 9. The summaries below capture the context, provisional decision direction, and dependencies for each ADR to ensure no information is lost between steps.</w:t>
      </w:r>
    </w:p>
    <w:p w14:paraId="212444AC" w14:textId="77777777" w:rsidR="00CD6936" w:rsidRDefault="00CD6936">
      <w:pPr>
        <w:spacing w:before="200"/>
      </w:pPr>
    </w:p>
    <w:p w14:paraId="076B4A10" w14:textId="77777777" w:rsidR="00CD6936" w:rsidRDefault="00000000">
      <w:pPr>
        <w:pBdr>
          <w:bottom w:val="single" w:sz="2" w:space="4" w:color="D0D8EC"/>
        </w:pBdr>
        <w:spacing w:before="200" w:after="120"/>
      </w:pPr>
      <w:r>
        <w:rPr>
          <w:b/>
          <w:bCs/>
          <w:color w:val="1A2E5A"/>
          <w:sz w:val="26"/>
          <w:szCs w:val="26"/>
        </w:rPr>
        <w:t>ADR-001 — Master Product Identifier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75B8CD70"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A04F78B"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B995E05" w14:textId="77777777" w:rsidR="00CD6936" w:rsidRDefault="00000000">
            <w:r>
              <w:rPr>
                <w:b/>
                <w:bCs/>
                <w:color w:val="7A5C00"/>
                <w:sz w:val="18"/>
                <w:szCs w:val="18"/>
              </w:rPr>
              <w:t>PENDING</w:t>
            </w:r>
          </w:p>
        </w:tc>
      </w:tr>
      <w:tr w:rsidR="00CD6936" w14:paraId="1D1F28F4"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DAE49FB"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2590B9C" w14:textId="77777777" w:rsidR="00CD6936" w:rsidRDefault="00000000">
            <w:r>
              <w:rPr>
                <w:color w:val="1A1A1A"/>
                <w:sz w:val="18"/>
                <w:szCs w:val="18"/>
              </w:rPr>
              <w:t>Step 6 — Risk Analysis</w:t>
            </w:r>
          </w:p>
        </w:tc>
      </w:tr>
      <w:tr w:rsidR="00CD6936" w14:paraId="7ECF7658"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F72E4D8"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5C201E6" w14:textId="77777777" w:rsidR="00CD6936" w:rsidRDefault="00000000">
            <w:r>
              <w:rPr>
                <w:color w:val="1A1A1A"/>
                <w:sz w:val="18"/>
                <w:szCs w:val="18"/>
              </w:rPr>
              <w:t>BDR-001 v1.0 — Step 1</w:t>
            </w:r>
          </w:p>
        </w:tc>
      </w:tr>
      <w:tr w:rsidR="00CD6936" w14:paraId="66C4F3B8"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7FC0B19"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B42A51C" w14:textId="77777777" w:rsidR="00CD6936" w:rsidRDefault="00000000">
            <w:r>
              <w:rPr>
                <w:color w:val="1A1A1A"/>
                <w:sz w:val="18"/>
                <w:szCs w:val="18"/>
              </w:rPr>
              <w:t>T. Mbalo (DSA) — Approver: N. Mahlangu (CDO)</w:t>
            </w:r>
          </w:p>
        </w:tc>
      </w:tr>
      <w:tr w:rsidR="00CD6936" w14:paraId="5232AB84"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CC6BDCD"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F6C20C9" w14:textId="77777777" w:rsidR="00CD6936" w:rsidRDefault="00000000">
            <w:r>
              <w:rPr>
                <w:color w:val="1A1A1A"/>
                <w:sz w:val="18"/>
                <w:szCs w:val="18"/>
              </w:rPr>
              <w:t>Step 6 completion</w:t>
            </w:r>
          </w:p>
        </w:tc>
      </w:tr>
      <w:tr w:rsidR="00CD6936" w14:paraId="7B241A88"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EAC163"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509FC62" w14:textId="77777777" w:rsidR="00CD6936" w:rsidRDefault="00000000">
            <w:r>
              <w:rPr>
                <w:color w:val="1A1A1A"/>
                <w:sz w:val="18"/>
                <w:szCs w:val="18"/>
              </w:rPr>
              <w:t>SAP ECC stock code ≠ Oracle MICROS POS product code ≠ Shopify SKU. No master product identifier exists across RetailSphere's three primary transactional systems. Cross-domain product reporting is impossible without resolution.</w:t>
            </w:r>
          </w:p>
        </w:tc>
      </w:tr>
      <w:tr w:rsidR="00CD6936" w14:paraId="470FFC56"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31AD8EE"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2800F050" w14:textId="77777777" w:rsidR="00CD6936" w:rsidRDefault="00000000">
            <w:r>
              <w:rPr>
                <w:color w:val="7A5C00"/>
                <w:sz w:val="18"/>
                <w:szCs w:val="18"/>
              </w:rPr>
              <w:t xml:space="preserve">PENDING — To be determined in Step 6 Risk Analysis. Options under consideration: (1) SAP as master with cross-reference mapping. (2) New surrogate product key generated in </w:t>
            </w:r>
            <w:proofErr w:type="gramStart"/>
            <w:r>
              <w:rPr>
                <w:color w:val="7A5C00"/>
                <w:sz w:val="18"/>
                <w:szCs w:val="18"/>
              </w:rPr>
              <w:t>Silver</w:t>
            </w:r>
            <w:proofErr w:type="gramEnd"/>
            <w:r>
              <w:rPr>
                <w:color w:val="7A5C00"/>
                <w:sz w:val="18"/>
                <w:szCs w:val="18"/>
              </w:rPr>
              <w:t xml:space="preserve"> layer with source system cross-reference table. (3) Hybrid — SAP as authoritative for procurement and inventory; surrogate key for sales and marketing.</w:t>
            </w:r>
          </w:p>
        </w:tc>
      </w:tr>
      <w:tr w:rsidR="00CD6936" w14:paraId="723EA98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B504FD3"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631330A9" w14:textId="4605FFF7" w:rsidR="00CD6936" w:rsidRDefault="00000000">
            <w:r>
              <w:rPr>
                <w:color w:val="8B1A1A"/>
                <w:sz w:val="18"/>
                <w:szCs w:val="18"/>
              </w:rPr>
              <w:t xml:space="preserve">Until resolved: no reliable cross-channel product performance reporting. Affects Procurement, Inventory Management, and Sales domains. Impacts Step </w:t>
            </w:r>
            <w:r w:rsidR="00705DE6">
              <w:rPr>
                <w:color w:val="8B1A1A"/>
                <w:sz w:val="18"/>
                <w:szCs w:val="18"/>
              </w:rPr>
              <w:t>7-dimensional</w:t>
            </w:r>
            <w:r>
              <w:rPr>
                <w:color w:val="8B1A1A"/>
                <w:sz w:val="18"/>
                <w:szCs w:val="18"/>
              </w:rPr>
              <w:t xml:space="preserve"> model design — Product dimension cannot be finalised without this decision.</w:t>
            </w:r>
          </w:p>
        </w:tc>
      </w:tr>
      <w:tr w:rsidR="00CD6936" w14:paraId="019A4EC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8FA4342"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3F32333" w14:textId="77777777" w:rsidR="00CD6936" w:rsidRDefault="00000000">
            <w:r>
              <w:rPr>
                <w:i/>
                <w:iCs/>
                <w:color w:val="555555"/>
                <w:sz w:val="18"/>
                <w:szCs w:val="18"/>
              </w:rPr>
              <w:t>Source system data profiling (Step 5). Stakeholder agreement from Sipho Dlamini (Procurement) and Zanele Mokoena (Inventory).</w:t>
            </w:r>
          </w:p>
        </w:tc>
      </w:tr>
    </w:tbl>
    <w:p w14:paraId="17CC9CFB" w14:textId="77777777" w:rsidR="00CD6936" w:rsidRDefault="00CD6936">
      <w:pPr>
        <w:spacing w:before="200"/>
      </w:pPr>
    </w:p>
    <w:p w14:paraId="1FAF129E" w14:textId="77777777" w:rsidR="00CD6936" w:rsidRDefault="00000000">
      <w:pPr>
        <w:pBdr>
          <w:bottom w:val="single" w:sz="2" w:space="4" w:color="D0D8EC"/>
        </w:pBdr>
        <w:spacing w:before="200" w:after="120"/>
      </w:pPr>
      <w:r>
        <w:rPr>
          <w:b/>
          <w:bCs/>
          <w:color w:val="1A2E5A"/>
          <w:sz w:val="26"/>
          <w:szCs w:val="26"/>
        </w:rPr>
        <w:t>ADR-002 — Unified Customer Identity Resolution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3AD77C87"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A69F6AE" w14:textId="77777777" w:rsidR="00CD6936" w:rsidRDefault="00000000">
            <w:r>
              <w:rPr>
                <w:b/>
                <w:bCs/>
                <w:color w:val="1A2E5A"/>
                <w:sz w:val="18"/>
                <w:szCs w:val="18"/>
              </w:rPr>
              <w:lastRenderedPageBreak/>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E2920AD" w14:textId="77777777" w:rsidR="00CD6936" w:rsidRDefault="00000000">
            <w:r>
              <w:rPr>
                <w:b/>
                <w:bCs/>
                <w:color w:val="7A5C00"/>
                <w:sz w:val="18"/>
                <w:szCs w:val="18"/>
              </w:rPr>
              <w:t>PENDING</w:t>
            </w:r>
          </w:p>
        </w:tc>
      </w:tr>
      <w:tr w:rsidR="00CD6936" w14:paraId="4E7AAEFB"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7D12A05"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E45FFFF" w14:textId="77777777" w:rsidR="00CD6936" w:rsidRDefault="00000000">
            <w:r>
              <w:rPr>
                <w:color w:val="1A1A1A"/>
                <w:sz w:val="18"/>
                <w:szCs w:val="18"/>
              </w:rPr>
              <w:t>Step 6 — Risk Analysis</w:t>
            </w:r>
          </w:p>
        </w:tc>
      </w:tr>
      <w:tr w:rsidR="00CD6936" w14:paraId="1A7540D2"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397A8C0"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C31B838" w14:textId="77777777" w:rsidR="00CD6936" w:rsidRDefault="00000000">
            <w:r>
              <w:rPr>
                <w:color w:val="1A1A1A"/>
                <w:sz w:val="18"/>
                <w:szCs w:val="18"/>
              </w:rPr>
              <w:t>BDR-001 v1.0 — Step 1. Scope expanded BDR-001 v1.2.</w:t>
            </w:r>
          </w:p>
        </w:tc>
      </w:tr>
      <w:tr w:rsidR="00CD6936" w14:paraId="2526A5E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F447129"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FB60691" w14:textId="77777777" w:rsidR="00CD6936" w:rsidRDefault="00000000">
            <w:r>
              <w:rPr>
                <w:color w:val="1A1A1A"/>
                <w:sz w:val="18"/>
                <w:szCs w:val="18"/>
              </w:rPr>
              <w:t>T. Mbalo (DSA) — Approver: N. Mahlangu (CDO) + Legal (POPIA)</w:t>
            </w:r>
          </w:p>
        </w:tc>
      </w:tr>
      <w:tr w:rsidR="00CD6936" w14:paraId="6ED27AB8"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6B70507"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648B848" w14:textId="77777777" w:rsidR="00CD6936" w:rsidRDefault="00000000">
            <w:r>
              <w:rPr>
                <w:color w:val="1A1A1A"/>
                <w:sz w:val="18"/>
                <w:szCs w:val="18"/>
              </w:rPr>
              <w:t>Step 6 completion</w:t>
            </w:r>
          </w:p>
        </w:tc>
      </w:tr>
      <w:tr w:rsidR="00CD6936" w14:paraId="60476C01"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BBAD982"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A372305" w14:textId="77777777" w:rsidR="00CD6936" w:rsidRDefault="00000000">
            <w:r>
              <w:rPr>
                <w:color w:val="1A1A1A"/>
                <w:sz w:val="18"/>
                <w:szCs w:val="18"/>
              </w:rPr>
              <w:t>Salesforce Loyalty ID ≠ Shopify Customer ID ≠ POS receipt ≠ Marketing Cloud contact ID ≠ Meta pixel ID ≠ GA4 client ID. 66% of in-store transactions are anonymous. 2.1M loyalty members cannot be reliably linked to online or in-store transactions without identity resolution logic.</w:t>
            </w:r>
          </w:p>
        </w:tc>
      </w:tr>
      <w:tr w:rsidR="00CD6936" w14:paraId="7CDB68E3"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F073F80"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441BE2DF" w14:textId="77777777" w:rsidR="00CD6936" w:rsidRDefault="00000000">
            <w:r>
              <w:rPr>
                <w:color w:val="7A5C00"/>
                <w:sz w:val="18"/>
                <w:szCs w:val="18"/>
              </w:rPr>
              <w:t>PENDING — CDO instruction (v1.1 comment): ADR must specify whether deterministic matching (name + DOB + phone + email) or probabilistic matching is used. POPIA legal sign-off required before implementation. Segment framework (anonymous in-store, online-only, loyalty-only, full cross-channel) to be implemented as interim measure pending full identity resolution.</w:t>
            </w:r>
          </w:p>
        </w:tc>
      </w:tr>
      <w:tr w:rsidR="00CD6936" w14:paraId="48306107"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853D18B"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129A6564" w14:textId="77777777" w:rsidR="00CD6936" w:rsidRDefault="00000000">
            <w:r>
              <w:rPr>
                <w:color w:val="8B1A1A"/>
                <w:sz w:val="18"/>
                <w:szCs w:val="18"/>
              </w:rPr>
              <w:t>Until resolved: no Customer Lifetime Value calculation, no true retention rate, no closed-loop attribution. Affects Sales, Customer Loyalty, and Marketing domains. Customer dimension SCD Type 2 design in Step 7 depends on this decision.</w:t>
            </w:r>
          </w:p>
        </w:tc>
      </w:tr>
      <w:tr w:rsidR="00CD6936" w14:paraId="066F003D"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3073020"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5CDE24A" w14:textId="77777777" w:rsidR="00CD6936" w:rsidRDefault="00000000">
            <w:r>
              <w:rPr>
                <w:i/>
                <w:iCs/>
                <w:color w:val="555555"/>
                <w:sz w:val="18"/>
                <w:szCs w:val="18"/>
              </w:rPr>
              <w:t>POPIA legal review. Data profiling of email match rate between Shopify and Salesforce (Step 5). Stakeholder sign-off from Priya Naidoo and Rethabile Sithole.</w:t>
            </w:r>
          </w:p>
        </w:tc>
      </w:tr>
    </w:tbl>
    <w:p w14:paraId="6B68D5FC" w14:textId="77777777" w:rsidR="00CD6936" w:rsidRDefault="00CD6936">
      <w:pPr>
        <w:spacing w:before="200"/>
      </w:pPr>
    </w:p>
    <w:p w14:paraId="2FE61CBC" w14:textId="77777777" w:rsidR="00CD6936" w:rsidRDefault="00000000">
      <w:pPr>
        <w:pBdr>
          <w:bottom w:val="single" w:sz="2" w:space="4" w:color="D0D8EC"/>
        </w:pBdr>
        <w:spacing w:before="200" w:after="120"/>
      </w:pPr>
      <w:r>
        <w:rPr>
          <w:b/>
          <w:bCs/>
          <w:color w:val="1A2E5A"/>
          <w:sz w:val="26"/>
          <w:szCs w:val="26"/>
        </w:rPr>
        <w:t>ADR-003 — Supplier Contract Data Extraction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7BBC6DA7"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9E91943"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E7AE552" w14:textId="77777777" w:rsidR="00CD6936" w:rsidRDefault="00000000">
            <w:r>
              <w:rPr>
                <w:b/>
                <w:bCs/>
                <w:color w:val="7A5C00"/>
                <w:sz w:val="18"/>
                <w:szCs w:val="18"/>
              </w:rPr>
              <w:t>PENDING</w:t>
            </w:r>
          </w:p>
        </w:tc>
      </w:tr>
      <w:tr w:rsidR="00CD6936" w14:paraId="6B85983A"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6C78B0B"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02DE3B6" w14:textId="77777777" w:rsidR="00CD6936" w:rsidRDefault="00000000">
            <w:r>
              <w:rPr>
                <w:color w:val="1A1A1A"/>
                <w:sz w:val="18"/>
                <w:szCs w:val="18"/>
              </w:rPr>
              <w:t>Step 6 — Risk Analysis</w:t>
            </w:r>
          </w:p>
        </w:tc>
      </w:tr>
      <w:tr w:rsidR="00CD6936" w14:paraId="6DBBC9C7"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F2DE479"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EA2FC75" w14:textId="77777777" w:rsidR="00CD6936" w:rsidRDefault="00000000">
            <w:r>
              <w:rPr>
                <w:color w:val="1A1A1A"/>
                <w:sz w:val="18"/>
                <w:szCs w:val="18"/>
              </w:rPr>
              <w:t>Step 2 — Sipho Dlamini interview</w:t>
            </w:r>
          </w:p>
        </w:tc>
      </w:tr>
      <w:tr w:rsidR="00CD6936" w14:paraId="1622801D"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838B6C0"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2C7CD7A" w14:textId="77777777" w:rsidR="00CD6936" w:rsidRDefault="00000000">
            <w:r>
              <w:rPr>
                <w:color w:val="1A1A1A"/>
                <w:sz w:val="18"/>
                <w:szCs w:val="18"/>
              </w:rPr>
              <w:t>T. Mbalo (DSA) — Approver: N. Mahlangu (CDO) + Sipho Dlamini</w:t>
            </w:r>
          </w:p>
        </w:tc>
      </w:tr>
      <w:tr w:rsidR="00CD6936" w14:paraId="76403233"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4999441"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2D95289" w14:textId="77777777" w:rsidR="00CD6936" w:rsidRDefault="00000000">
            <w:r>
              <w:rPr>
                <w:color w:val="1A1A1A"/>
                <w:sz w:val="18"/>
                <w:szCs w:val="18"/>
              </w:rPr>
              <w:t>Step 6 completion</w:t>
            </w:r>
          </w:p>
        </w:tc>
      </w:tr>
      <w:tr w:rsidR="00CD6936" w14:paraId="2B55473C"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7D2C5F7"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C015CE4" w14:textId="77777777" w:rsidR="00CD6936" w:rsidRDefault="00000000">
            <w:r>
              <w:rPr>
                <w:color w:val="1A1A1A"/>
                <w:sz w:val="18"/>
                <w:szCs w:val="18"/>
              </w:rPr>
              <w:t xml:space="preserve">RetailSphere has 340 active supplier contracts stored as PDF documents on a shared drive. These contracts contain contracted lead times, payment terms, and price schedules — data required to calculate price variance against contracted rates (one of Sipho's five Monday morning metrics). </w:t>
            </w:r>
            <w:proofErr w:type="spellStart"/>
            <w:r>
              <w:rPr>
                <w:color w:val="1A1A1A"/>
                <w:sz w:val="18"/>
                <w:szCs w:val="18"/>
              </w:rPr>
              <w:t>pypdf</w:t>
            </w:r>
            <w:proofErr w:type="spellEnd"/>
            <w:r>
              <w:rPr>
                <w:color w:val="1A1A1A"/>
                <w:sz w:val="18"/>
                <w:szCs w:val="18"/>
              </w:rPr>
              <w:t xml:space="preserve"> can extract text but cannot produce structured fields without additional processing.</w:t>
            </w:r>
          </w:p>
        </w:tc>
      </w:tr>
      <w:tr w:rsidR="00CD6936" w14:paraId="2FF5C6D0"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19A8950"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2092849A" w14:textId="77777777" w:rsidR="00CD6936" w:rsidRDefault="00000000">
            <w:r>
              <w:rPr>
                <w:color w:val="7A5C00"/>
                <w:sz w:val="18"/>
                <w:szCs w:val="18"/>
              </w:rPr>
              <w:t>PENDING — Two options under consideration: (1) Rule-based extraction using Python regex — fast to build, brittle to contract wording variation. (2) LLM-assisted extraction with human review queue for low-confidence outputs — more robust, higher cost per document. Recommended approach: LLM extraction hybrid with human validation before dimension table population.</w:t>
            </w:r>
          </w:p>
        </w:tc>
      </w:tr>
      <w:tr w:rsidR="00CD6936" w14:paraId="5EF261BF"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2D8E7C1"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563F8C33" w14:textId="77777777" w:rsidR="00CD6936" w:rsidRDefault="00000000">
            <w:r>
              <w:rPr>
                <w:color w:val="8B1A1A"/>
                <w:sz w:val="18"/>
                <w:szCs w:val="18"/>
              </w:rPr>
              <w:t xml:space="preserve">Until resolved: price variance against contracted rates metric cannot be calculated. This is one of Sipho's five required KPIs. Affects Procurement domain </w:t>
            </w:r>
            <w:proofErr w:type="gramStart"/>
            <w:r>
              <w:rPr>
                <w:color w:val="8B1A1A"/>
                <w:sz w:val="18"/>
                <w:szCs w:val="18"/>
              </w:rPr>
              <w:t>Gold</w:t>
            </w:r>
            <w:proofErr w:type="gramEnd"/>
            <w:r>
              <w:rPr>
                <w:color w:val="8B1A1A"/>
                <w:sz w:val="18"/>
                <w:szCs w:val="18"/>
              </w:rPr>
              <w:t xml:space="preserve"> layer completeness.</w:t>
            </w:r>
          </w:p>
        </w:tc>
      </w:tr>
      <w:tr w:rsidR="00CD6936" w14:paraId="772712E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39CD40D"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27FAD46" w14:textId="77777777" w:rsidR="00CD6936" w:rsidRDefault="00000000">
            <w:r>
              <w:rPr>
                <w:i/>
                <w:iCs/>
                <w:color w:val="555555"/>
                <w:sz w:val="18"/>
                <w:szCs w:val="18"/>
              </w:rPr>
              <w:t>Sample of 10-15 supplier contracts required for extraction testing. Procurement team availability for validation queue management.</w:t>
            </w:r>
          </w:p>
        </w:tc>
      </w:tr>
    </w:tbl>
    <w:p w14:paraId="310CCB70" w14:textId="77777777" w:rsidR="00CD6936" w:rsidRDefault="00CD6936">
      <w:pPr>
        <w:spacing w:before="200"/>
      </w:pPr>
    </w:p>
    <w:p w14:paraId="52E555FD" w14:textId="77777777" w:rsidR="00CD6936" w:rsidRDefault="00000000">
      <w:pPr>
        <w:pBdr>
          <w:bottom w:val="single" w:sz="2" w:space="4" w:color="D0D8EC"/>
        </w:pBdr>
        <w:spacing w:before="200" w:after="120"/>
      </w:pPr>
      <w:r>
        <w:rPr>
          <w:b/>
          <w:bCs/>
          <w:color w:val="1A2E5A"/>
          <w:sz w:val="26"/>
          <w:szCs w:val="26"/>
        </w:rPr>
        <w:t>ADR-004 — Medallion Architecture Layer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63365C02"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3209DA2"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554C17B5" w14:textId="77777777" w:rsidR="00CD6936" w:rsidRDefault="00000000">
            <w:r>
              <w:rPr>
                <w:b/>
                <w:bCs/>
                <w:color w:val="7A5C00"/>
                <w:sz w:val="18"/>
                <w:szCs w:val="18"/>
              </w:rPr>
              <w:t>PENDING</w:t>
            </w:r>
          </w:p>
        </w:tc>
      </w:tr>
      <w:tr w:rsidR="00CD6936" w14:paraId="581EA6A4"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774B017"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2942365" w14:textId="77777777" w:rsidR="00CD6936" w:rsidRDefault="00000000">
            <w:r>
              <w:rPr>
                <w:color w:val="1A1A1A"/>
                <w:sz w:val="18"/>
                <w:szCs w:val="18"/>
              </w:rPr>
              <w:t>Step 9 — Physical Database Design</w:t>
            </w:r>
          </w:p>
        </w:tc>
      </w:tr>
      <w:tr w:rsidR="00CD6936" w14:paraId="2CDB1A62"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AEBD053"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3A3C576" w14:textId="77777777" w:rsidR="00CD6936" w:rsidRDefault="00000000">
            <w:r>
              <w:rPr>
                <w:color w:val="1A1A1A"/>
                <w:sz w:val="18"/>
                <w:szCs w:val="18"/>
              </w:rPr>
              <w:t>Design philosophy agreed — project inception</w:t>
            </w:r>
          </w:p>
        </w:tc>
      </w:tr>
      <w:tr w:rsidR="00CD6936" w14:paraId="2C67F61D"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C8FE542"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75B1600" w14:textId="77777777" w:rsidR="00CD6936" w:rsidRDefault="00000000">
            <w:r>
              <w:rPr>
                <w:color w:val="1A1A1A"/>
                <w:sz w:val="18"/>
                <w:szCs w:val="18"/>
              </w:rPr>
              <w:t>T. Mbalo (DSA) — Approver: N. Mahlangu (CDO)</w:t>
            </w:r>
          </w:p>
        </w:tc>
      </w:tr>
      <w:tr w:rsidR="00CD6936" w14:paraId="0377FCB9"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597088" w14:textId="77777777" w:rsidR="00CD6936" w:rsidRDefault="00000000">
            <w:r>
              <w:rPr>
                <w:b/>
                <w:bCs/>
                <w:color w:val="1A2E5A"/>
                <w:sz w:val="18"/>
                <w:szCs w:val="18"/>
              </w:rPr>
              <w:lastRenderedPageBreak/>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13EDB83" w14:textId="77777777" w:rsidR="00CD6936" w:rsidRDefault="00000000">
            <w:r>
              <w:rPr>
                <w:color w:val="1A1A1A"/>
                <w:sz w:val="18"/>
                <w:szCs w:val="18"/>
              </w:rPr>
              <w:t>Step 9 completion</w:t>
            </w:r>
          </w:p>
        </w:tc>
      </w:tr>
      <w:tr w:rsidR="00CD6936" w14:paraId="14C80AA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D26E74D"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8844140" w14:textId="77777777" w:rsidR="00CD6936" w:rsidRDefault="00000000">
            <w:r>
              <w:rPr>
                <w:color w:val="1A1A1A"/>
                <w:sz w:val="18"/>
                <w:szCs w:val="18"/>
              </w:rPr>
              <w:t>RetailSphere data platform will use a medallion architecture (Bronze, Silver, Gold) on a cloud-native platform. The boundaries between layers — what transforms at each layer, what governance applies, what latency is acceptable — must be formally defined before physical database design begins.</w:t>
            </w:r>
          </w:p>
        </w:tc>
      </w:tr>
      <w:tr w:rsidR="00CD6936" w14:paraId="225610B9"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94D1FFA"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7ED090F5" w14:textId="77777777" w:rsidR="00CD6936" w:rsidRDefault="00000000">
            <w:r>
              <w:rPr>
                <w:color w:val="7A5C00"/>
                <w:sz w:val="18"/>
                <w:szCs w:val="18"/>
              </w:rPr>
              <w:t xml:space="preserve">PENDING — To be defined in Step 9. Preliminary design: Bronze = raw ingestion with source system provenance columns and event/processing timestamp separation. Silver = cleansed, standardised, conformed. Gold = dimensional model (Kimball star schema) serving business domains. </w:t>
            </w:r>
            <w:proofErr w:type="spellStart"/>
            <w:r>
              <w:rPr>
                <w:color w:val="7A5C00"/>
                <w:sz w:val="18"/>
                <w:szCs w:val="18"/>
              </w:rPr>
              <w:t>dbt</w:t>
            </w:r>
            <w:proofErr w:type="spellEnd"/>
            <w:r>
              <w:rPr>
                <w:color w:val="7A5C00"/>
                <w:sz w:val="18"/>
                <w:szCs w:val="18"/>
              </w:rPr>
              <w:t xml:space="preserve"> handles Silver-to-</w:t>
            </w:r>
            <w:proofErr w:type="gramStart"/>
            <w:r>
              <w:rPr>
                <w:color w:val="7A5C00"/>
                <w:sz w:val="18"/>
                <w:szCs w:val="18"/>
              </w:rPr>
              <w:t>Gold</w:t>
            </w:r>
            <w:proofErr w:type="gramEnd"/>
            <w:r>
              <w:rPr>
                <w:color w:val="7A5C00"/>
                <w:sz w:val="18"/>
                <w:szCs w:val="18"/>
              </w:rPr>
              <w:t xml:space="preserve"> transformations.</w:t>
            </w:r>
          </w:p>
        </w:tc>
      </w:tr>
      <w:tr w:rsidR="00CD6936" w14:paraId="2394652C"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ACC5DA6"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6D319E57" w14:textId="77777777" w:rsidR="00CD6936" w:rsidRDefault="00000000">
            <w:r>
              <w:rPr>
                <w:color w:val="8B1A1A"/>
                <w:sz w:val="18"/>
                <w:szCs w:val="18"/>
              </w:rPr>
              <w:t>Layer boundary definition affects ETL design (Step 10), data quality framework (Step 9), and all downstream dimensional model decisions (Step 7).</w:t>
            </w:r>
          </w:p>
        </w:tc>
      </w:tr>
      <w:tr w:rsidR="00CD6936" w14:paraId="74FC0FBD"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EF9FC50"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7514CCD" w14:textId="77777777" w:rsidR="00CD6936" w:rsidRDefault="00000000">
            <w:r>
              <w:rPr>
                <w:i/>
                <w:iCs/>
                <w:color w:val="555555"/>
                <w:sz w:val="18"/>
                <w:szCs w:val="18"/>
              </w:rPr>
              <w:t>Non-functional requirements (Step 4). Source system investigation (Step 5). Physical platform selection.</w:t>
            </w:r>
          </w:p>
        </w:tc>
      </w:tr>
    </w:tbl>
    <w:p w14:paraId="04F4B981" w14:textId="77777777" w:rsidR="00CD6936" w:rsidRDefault="00CD6936">
      <w:pPr>
        <w:spacing w:before="200"/>
      </w:pPr>
    </w:p>
    <w:p w14:paraId="3B7D3672" w14:textId="77777777" w:rsidR="00CD6936" w:rsidRDefault="00000000">
      <w:pPr>
        <w:pBdr>
          <w:bottom w:val="single" w:sz="2" w:space="4" w:color="D0D8EC"/>
        </w:pBdr>
        <w:spacing w:before="200" w:after="120"/>
      </w:pPr>
      <w:r>
        <w:rPr>
          <w:b/>
          <w:bCs/>
          <w:color w:val="1A2E5A"/>
          <w:sz w:val="26"/>
          <w:szCs w:val="26"/>
        </w:rPr>
        <w:t>ADR-005 — Orchestration and Pipeline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4AD393A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D9E902D"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570DE33E" w14:textId="77777777" w:rsidR="00CD6936" w:rsidRDefault="00000000">
            <w:r>
              <w:rPr>
                <w:b/>
                <w:bCs/>
                <w:color w:val="7A5C00"/>
                <w:sz w:val="18"/>
                <w:szCs w:val="18"/>
              </w:rPr>
              <w:t>PENDING</w:t>
            </w:r>
          </w:p>
        </w:tc>
      </w:tr>
      <w:tr w:rsidR="00CD6936" w14:paraId="33A2A788"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1D3FDC7"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CBB9728" w14:textId="77777777" w:rsidR="00CD6936" w:rsidRDefault="00000000">
            <w:r>
              <w:rPr>
                <w:color w:val="1A1A1A"/>
                <w:sz w:val="18"/>
                <w:szCs w:val="18"/>
              </w:rPr>
              <w:t>Step 10 — Data Integration Design</w:t>
            </w:r>
          </w:p>
        </w:tc>
      </w:tr>
      <w:tr w:rsidR="00CD6936" w14:paraId="36B0746C"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201E99F"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E6C2ABE" w14:textId="77777777" w:rsidR="00CD6936" w:rsidRDefault="00000000">
            <w:r>
              <w:rPr>
                <w:color w:val="1A1A1A"/>
                <w:sz w:val="18"/>
                <w:szCs w:val="18"/>
              </w:rPr>
              <w:t>Design philosophy agreed — project inception</w:t>
            </w:r>
          </w:p>
        </w:tc>
      </w:tr>
      <w:tr w:rsidR="00CD6936" w14:paraId="1471208E"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A6F22F6"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49CF50A" w14:textId="77777777" w:rsidR="00CD6936" w:rsidRDefault="00000000">
            <w:r>
              <w:rPr>
                <w:color w:val="1A1A1A"/>
                <w:sz w:val="18"/>
                <w:szCs w:val="18"/>
              </w:rPr>
              <w:t>T. Mbalo (DSA) — Approver: N. Mahlangu (CDO)</w:t>
            </w:r>
          </w:p>
        </w:tc>
      </w:tr>
      <w:tr w:rsidR="00CD6936" w14:paraId="135F5B3A"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2FAA999"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5492D64" w14:textId="77777777" w:rsidR="00CD6936" w:rsidRDefault="00000000">
            <w:r>
              <w:rPr>
                <w:color w:val="1A1A1A"/>
                <w:sz w:val="18"/>
                <w:szCs w:val="18"/>
              </w:rPr>
              <w:t>Step 10 completion</w:t>
            </w:r>
          </w:p>
        </w:tc>
      </w:tr>
      <w:tr w:rsidR="00CD6936" w14:paraId="79E2608E"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C3B8A53"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3366C38" w14:textId="77777777" w:rsidR="00CD6936" w:rsidRDefault="00000000">
            <w:r>
              <w:rPr>
                <w:color w:val="1A1A1A"/>
                <w:sz w:val="18"/>
                <w:szCs w:val="18"/>
              </w:rPr>
              <w:t>Six source systems with different extraction methods — SAP file extract, Oracle MICROS nightly sync, Shopify REST/</w:t>
            </w:r>
            <w:proofErr w:type="spellStart"/>
            <w:r>
              <w:rPr>
                <w:color w:val="1A1A1A"/>
                <w:sz w:val="18"/>
                <w:szCs w:val="18"/>
              </w:rPr>
              <w:t>GraphQL</w:t>
            </w:r>
            <w:proofErr w:type="spellEnd"/>
            <w:r>
              <w:rPr>
                <w:color w:val="1A1A1A"/>
                <w:sz w:val="18"/>
                <w:szCs w:val="18"/>
              </w:rPr>
              <w:t xml:space="preserve"> API, Salesforce CRM API, Legacy DW SQL, Excel manual. Orchestration must handle different latencies, failure modes, and dependencies between pipeline stages.</w:t>
            </w:r>
          </w:p>
        </w:tc>
      </w:tr>
      <w:tr w:rsidR="00CD6936" w14:paraId="27D83140"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9F1AF9"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7EDAB82A" w14:textId="77777777" w:rsidR="00CD6936" w:rsidRDefault="00000000">
            <w:r>
              <w:rPr>
                <w:color w:val="7A5C00"/>
                <w:sz w:val="18"/>
                <w:szCs w:val="18"/>
              </w:rPr>
              <w:t xml:space="preserve">PENDING — Azure Data Factory is the provisional orchestration tool. </w:t>
            </w:r>
            <w:proofErr w:type="spellStart"/>
            <w:r>
              <w:rPr>
                <w:color w:val="7A5C00"/>
                <w:sz w:val="18"/>
                <w:szCs w:val="18"/>
              </w:rPr>
              <w:t>dbt</w:t>
            </w:r>
            <w:proofErr w:type="spellEnd"/>
            <w:r>
              <w:rPr>
                <w:color w:val="7A5C00"/>
                <w:sz w:val="18"/>
                <w:szCs w:val="18"/>
              </w:rPr>
              <w:t xml:space="preserve"> handles transformation layer. Error handling, retry logic, and data quality checkpoint framework to be defined in Step 10.</w:t>
            </w:r>
          </w:p>
        </w:tc>
      </w:tr>
      <w:tr w:rsidR="00CD6936" w14:paraId="087C2C1C"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E61FD2"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365F7E47" w14:textId="77777777" w:rsidR="00CD6936" w:rsidRDefault="00000000">
            <w:r>
              <w:rPr>
                <w:color w:val="8B1A1A"/>
                <w:sz w:val="18"/>
                <w:szCs w:val="18"/>
              </w:rPr>
              <w:t>Orchestration design determines pipeline reliability, monitoring approach, and incident response procedures. Affects all six source system integrations.</w:t>
            </w:r>
          </w:p>
        </w:tc>
      </w:tr>
      <w:tr w:rsidR="00CD6936" w14:paraId="605CBE18"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EB4D822"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AD45F67" w14:textId="77777777" w:rsidR="00CD6936" w:rsidRDefault="00000000">
            <w:r>
              <w:rPr>
                <w:i/>
                <w:iCs/>
                <w:color w:val="555555"/>
                <w:sz w:val="18"/>
                <w:szCs w:val="18"/>
              </w:rPr>
              <w:t>Source system investigation completion (Step 5). Non-functional requirements — RTO/RPO definitions (Step 4). ADR-</w:t>
            </w:r>
            <w:proofErr w:type="gramStart"/>
            <w:r>
              <w:rPr>
                <w:i/>
                <w:iCs/>
                <w:color w:val="555555"/>
                <w:sz w:val="18"/>
                <w:szCs w:val="18"/>
              </w:rPr>
              <w:t>004 layer</w:t>
            </w:r>
            <w:proofErr w:type="gramEnd"/>
            <w:r>
              <w:rPr>
                <w:i/>
                <w:iCs/>
                <w:color w:val="555555"/>
                <w:sz w:val="18"/>
                <w:szCs w:val="18"/>
              </w:rPr>
              <w:t xml:space="preserve"> design.</w:t>
            </w:r>
          </w:p>
        </w:tc>
      </w:tr>
    </w:tbl>
    <w:p w14:paraId="60F58A17" w14:textId="77777777" w:rsidR="00CD6936" w:rsidRDefault="00CD6936">
      <w:pPr>
        <w:spacing w:before="200"/>
      </w:pPr>
    </w:p>
    <w:p w14:paraId="46BF795C" w14:textId="77777777" w:rsidR="00CD6936" w:rsidRDefault="00000000">
      <w:pPr>
        <w:pBdr>
          <w:bottom w:val="single" w:sz="2" w:space="4" w:color="D0D8EC"/>
        </w:pBdr>
        <w:spacing w:before="200" w:after="120"/>
      </w:pPr>
      <w:r>
        <w:rPr>
          <w:b/>
          <w:bCs/>
          <w:color w:val="1A2E5A"/>
          <w:sz w:val="26"/>
          <w:szCs w:val="26"/>
        </w:rPr>
        <w:t>ADR-006 — Marketing Attribution Logic and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5CA220CA"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A9F9291"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16C69DD8" w14:textId="77777777" w:rsidR="00CD6936" w:rsidRDefault="00000000">
            <w:r>
              <w:rPr>
                <w:b/>
                <w:bCs/>
                <w:color w:val="8B1A1A"/>
                <w:sz w:val="18"/>
                <w:szCs w:val="18"/>
              </w:rPr>
              <w:t>PENDING</w:t>
            </w:r>
          </w:p>
        </w:tc>
      </w:tr>
      <w:tr w:rsidR="00CD6936" w14:paraId="591B4224"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2D0BD7F"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D02A25B" w14:textId="77777777" w:rsidR="00CD6936" w:rsidRDefault="00000000">
            <w:r>
              <w:rPr>
                <w:color w:val="1A1A1A"/>
                <w:sz w:val="18"/>
                <w:szCs w:val="18"/>
              </w:rPr>
              <w:t>Step 6 — Risk Analysis</w:t>
            </w:r>
          </w:p>
        </w:tc>
      </w:tr>
      <w:tr w:rsidR="00CD6936" w14:paraId="4598D5ED"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5C54B0E"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CDD01BE" w14:textId="77777777" w:rsidR="00CD6936" w:rsidRDefault="00000000">
            <w:r>
              <w:rPr>
                <w:color w:val="1A1A1A"/>
                <w:sz w:val="18"/>
                <w:szCs w:val="18"/>
              </w:rPr>
              <w:t>Step 2 — Rethabile Sithole (CCO) interview. BDR-001 v1.2.</w:t>
            </w:r>
          </w:p>
        </w:tc>
      </w:tr>
      <w:tr w:rsidR="00CD6936" w14:paraId="4469E3D0"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353C156"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F2CCAB9" w14:textId="77777777" w:rsidR="00CD6936" w:rsidRDefault="00000000">
            <w:r>
              <w:rPr>
                <w:color w:val="1A1A1A"/>
                <w:sz w:val="18"/>
                <w:szCs w:val="18"/>
              </w:rPr>
              <w:t>T. Mbalo (DSA) — Approver: N. Mahlangu (CDO) + Rethabile Sithole (CCO)</w:t>
            </w:r>
          </w:p>
        </w:tc>
      </w:tr>
      <w:tr w:rsidR="00CD6936" w14:paraId="06045634"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D557CC7"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3A0AC71" w14:textId="77777777" w:rsidR="00CD6936" w:rsidRDefault="00000000">
            <w:r>
              <w:rPr>
                <w:color w:val="1A1A1A"/>
                <w:sz w:val="18"/>
                <w:szCs w:val="18"/>
              </w:rPr>
              <w:t>Step 6 completion — PRIORITY: Before any Gold layer marketing build</w:t>
            </w:r>
          </w:p>
        </w:tc>
      </w:tr>
      <w:tr w:rsidR="00CD6936" w14:paraId="3BDD12E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F6BB2A0"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1B084A3" w14:textId="77777777" w:rsidR="00CD6936" w:rsidRDefault="00000000">
            <w:r>
              <w:rPr>
                <w:color w:val="1A1A1A"/>
                <w:sz w:val="18"/>
                <w:szCs w:val="18"/>
              </w:rPr>
              <w:t>RetailSphere spends R8.3M annually across Salesforce Marketing Cloud, Meta Business Manager, and Google Analytics 4. Each platform applies its own attribution model resulting in double and triple counting. Marketing attribution data does not exist in any source system — the data platform will create it for the first time. Attribution window definition and methodology must be agreed before build as it becomes the system of record.</w:t>
            </w:r>
          </w:p>
        </w:tc>
      </w:tr>
      <w:tr w:rsidR="00CD6936" w14:paraId="44646631"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2A9F14"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1D258B79" w14:textId="77777777" w:rsidR="00CD6936" w:rsidRDefault="00000000">
            <w:r>
              <w:rPr>
                <w:color w:val="8B1A1A"/>
                <w:sz w:val="18"/>
                <w:szCs w:val="18"/>
              </w:rPr>
              <w:t xml:space="preserve">PENDING — Key decisions required: (1) Attribution model type: last-click, first-click, linear, time-decay, or data-driven. (2) Attribution window: how many days between campaign touchpoint and transaction counts as a conversion. (3) Cross-channel weighting: how to handle a customer who </w:t>
            </w:r>
            <w:r>
              <w:rPr>
                <w:color w:val="8B1A1A"/>
                <w:sz w:val="18"/>
                <w:szCs w:val="18"/>
              </w:rPr>
              <w:lastRenderedPageBreak/>
              <w:t>touches multiple channels before converting. (4) Treatment of anonymous-to-known conversion events.</w:t>
            </w:r>
          </w:p>
        </w:tc>
      </w:tr>
      <w:tr w:rsidR="00CD6936" w14:paraId="673CD9D2"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AB13958" w14:textId="77777777" w:rsidR="00CD6936" w:rsidRDefault="00000000">
            <w:r>
              <w:rPr>
                <w:b/>
                <w:bCs/>
                <w:color w:val="1A2E5A"/>
                <w:sz w:val="18"/>
                <w:szCs w:val="18"/>
              </w:rPr>
              <w:lastRenderedPageBreak/>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5BF1D31D" w14:textId="77777777" w:rsidR="00CD6936" w:rsidRDefault="00000000">
            <w:r>
              <w:rPr>
                <w:color w:val="8B1A1A"/>
                <w:sz w:val="18"/>
                <w:szCs w:val="18"/>
              </w:rPr>
              <w:t>This is the highest-risk ADR in the register. Once Rethabile Sithole begins making R8.3M annual spend decisions based on platform attribution numbers, changing the methodology becomes politically very difficult. Must be agreed, documented, and signed off before implementation. Rethabile cannot validate numbers against any existing source of truth.</w:t>
            </w:r>
          </w:p>
        </w:tc>
      </w:tr>
      <w:tr w:rsidR="00CD6936" w14:paraId="221A5BB2"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47D48C6"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55D9497" w14:textId="77777777" w:rsidR="00CD6936" w:rsidRDefault="00000000">
            <w:r>
              <w:rPr>
                <w:i/>
                <w:iCs/>
                <w:color w:val="555555"/>
                <w:sz w:val="18"/>
                <w:szCs w:val="18"/>
              </w:rPr>
              <w:t>ADR-002 (Customer Identity Resolution) — attribution requires linked customer identity across channels. Rethabile Sithole formal sign-off. Legal review of data use across Meta and GA4 (POPIA implications for pixel-based tracking).</w:t>
            </w:r>
          </w:p>
        </w:tc>
      </w:tr>
    </w:tbl>
    <w:p w14:paraId="683C726F" w14:textId="77777777" w:rsidR="00CD6936" w:rsidRDefault="00CD6936">
      <w:pPr>
        <w:spacing w:before="300"/>
      </w:pPr>
    </w:p>
    <w:p w14:paraId="71FF040F" w14:textId="77777777" w:rsidR="00CD6936" w:rsidRDefault="00000000">
      <w:pPr>
        <w:spacing w:before="80" w:after="80"/>
      </w:pPr>
      <w:r>
        <w:rPr>
          <w:i/>
          <w:iCs/>
          <w:color w:val="555555"/>
        </w:rPr>
        <w:t>— End of Document —</w:t>
      </w:r>
    </w:p>
    <w:p w14:paraId="5F4B9754" w14:textId="77777777" w:rsidR="00CD6936" w:rsidRDefault="00000000">
      <w:pPr>
        <w:spacing w:before="60"/>
      </w:pPr>
      <w:r>
        <w:rPr>
          <w:i/>
          <w:iCs/>
          <w:color w:val="555555"/>
          <w:sz w:val="16"/>
          <w:szCs w:val="16"/>
        </w:rPr>
        <w:t>ADR-REG-001 v1.0 | RetailSphere Data Platform Programme | Confidential</w:t>
      </w:r>
    </w:p>
    <w:sectPr w:rsidR="00CD693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E12FE" w14:textId="77777777" w:rsidR="00C9585E" w:rsidRDefault="00C9585E">
      <w:r>
        <w:separator/>
      </w:r>
    </w:p>
  </w:endnote>
  <w:endnote w:type="continuationSeparator" w:id="0">
    <w:p w14:paraId="53005870" w14:textId="77777777" w:rsidR="00C9585E" w:rsidRDefault="00C95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CD6936" w14:paraId="25B8630A" w14:textId="77777777">
      <w:tblPrEx>
        <w:tblCellMar>
          <w:top w:w="0" w:type="dxa"/>
          <w:bottom w:w="0" w:type="dxa"/>
        </w:tblCellMar>
      </w:tblPrEx>
      <w:tc>
        <w:tcPr>
          <w:tcW w:w="5000" w:type="dxa"/>
          <w:tcBorders>
            <w:top w:val="single" w:sz="1" w:space="0" w:color="D0D8EC"/>
            <w:left w:val="single" w:sz="1" w:space="0" w:color="FFFFFF"/>
            <w:bottom w:val="single" w:sz="1" w:space="0" w:color="FFFFFF"/>
            <w:right w:val="single" w:sz="1" w:space="0" w:color="FFFFFF"/>
          </w:tcBorders>
        </w:tcPr>
        <w:p w14:paraId="2D54555B" w14:textId="77777777" w:rsidR="00CD6936" w:rsidRDefault="00000000">
          <w:r>
            <w:rPr>
              <w:color w:val="555555"/>
              <w:sz w:val="16"/>
              <w:szCs w:val="16"/>
            </w:rPr>
            <w:t>ADR-REG-001 | Architecture Decision Record Register | Living Document</w:t>
          </w:r>
        </w:p>
      </w:tc>
      <w:tc>
        <w:tcPr>
          <w:tcW w:w="4360" w:type="dxa"/>
          <w:tcBorders>
            <w:top w:val="single" w:sz="1" w:space="0" w:color="D0D8EC"/>
            <w:left w:val="single" w:sz="1" w:space="0" w:color="FFFFFF"/>
            <w:bottom w:val="single" w:sz="1" w:space="0" w:color="FFFFFF"/>
            <w:right w:val="single" w:sz="1" w:space="0" w:color="FFFFFF"/>
          </w:tcBorders>
        </w:tcPr>
        <w:p w14:paraId="175B5429" w14:textId="77777777" w:rsidR="00CD6936"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05DE6">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05DE6">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482B" w14:textId="77777777" w:rsidR="00C9585E" w:rsidRDefault="00C9585E">
      <w:r>
        <w:separator/>
      </w:r>
    </w:p>
  </w:footnote>
  <w:footnote w:type="continuationSeparator" w:id="0">
    <w:p w14:paraId="1BBF83A9" w14:textId="77777777" w:rsidR="00C9585E" w:rsidRDefault="00C95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D6936" w14:paraId="036DF6B0" w14:textId="77777777">
      <w:tblPrEx>
        <w:tblCellMar>
          <w:top w:w="0" w:type="dxa"/>
          <w:bottom w:w="0" w:type="dxa"/>
        </w:tblCellMar>
      </w:tblPrEx>
      <w:tc>
        <w:tcPr>
          <w:tcW w:w="6000" w:type="dxa"/>
          <w:tcBorders>
            <w:top w:val="single" w:sz="1" w:space="0" w:color="FFFFFF"/>
            <w:left w:val="single" w:sz="1" w:space="0" w:color="FFFFFF"/>
            <w:bottom w:val="single" w:sz="1" w:space="0" w:color="C8A96E"/>
            <w:right w:val="single" w:sz="1" w:space="0" w:color="FFFFFF"/>
          </w:tcBorders>
        </w:tcPr>
        <w:p w14:paraId="0AB04961" w14:textId="77777777" w:rsidR="00CD6936" w:rsidRDefault="00000000">
          <w:r>
            <w:rPr>
              <w:b/>
              <w:bCs/>
              <w:color w:val="1A2E5A"/>
              <w:sz w:val="18"/>
              <w:szCs w:val="18"/>
            </w:rPr>
            <w:t>RetailSphere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27FBD6D8" w14:textId="77777777" w:rsidR="00CD6936" w:rsidRDefault="00000000">
          <w:pPr>
            <w:jc w:val="right"/>
          </w:pPr>
          <w:proofErr w:type="gramStart"/>
          <w:r>
            <w:rPr>
              <w:color w:val="555555"/>
              <w:sz w:val="16"/>
              <w:szCs w:val="16"/>
            </w:rPr>
            <w:t>CONFIDENTIAL  |</w:t>
          </w:r>
          <w:proofErr w:type="gramEnd"/>
          <w:r>
            <w:rPr>
              <w:color w:val="555555"/>
              <w:sz w:val="16"/>
              <w:szCs w:val="16"/>
            </w:rPr>
            <w:t xml:space="preserve">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763DE"/>
    <w:multiLevelType w:val="hybridMultilevel"/>
    <w:tmpl w:val="57082B38"/>
    <w:lvl w:ilvl="0" w:tplc="81449852">
      <w:start w:val="1"/>
      <w:numFmt w:val="bullet"/>
      <w:lvlText w:val="●"/>
      <w:lvlJc w:val="left"/>
      <w:pPr>
        <w:ind w:left="720" w:hanging="360"/>
      </w:pPr>
    </w:lvl>
    <w:lvl w:ilvl="1" w:tplc="E8BAC314">
      <w:start w:val="1"/>
      <w:numFmt w:val="bullet"/>
      <w:lvlText w:val="○"/>
      <w:lvlJc w:val="left"/>
      <w:pPr>
        <w:ind w:left="1440" w:hanging="360"/>
      </w:pPr>
    </w:lvl>
    <w:lvl w:ilvl="2" w:tplc="50402D40">
      <w:start w:val="1"/>
      <w:numFmt w:val="bullet"/>
      <w:lvlText w:val="■"/>
      <w:lvlJc w:val="left"/>
      <w:pPr>
        <w:ind w:left="2160" w:hanging="360"/>
      </w:pPr>
    </w:lvl>
    <w:lvl w:ilvl="3" w:tplc="7DF816E2">
      <w:start w:val="1"/>
      <w:numFmt w:val="bullet"/>
      <w:lvlText w:val="●"/>
      <w:lvlJc w:val="left"/>
      <w:pPr>
        <w:ind w:left="2880" w:hanging="360"/>
      </w:pPr>
    </w:lvl>
    <w:lvl w:ilvl="4" w:tplc="64E0818E">
      <w:start w:val="1"/>
      <w:numFmt w:val="bullet"/>
      <w:lvlText w:val="○"/>
      <w:lvlJc w:val="left"/>
      <w:pPr>
        <w:ind w:left="3600" w:hanging="360"/>
      </w:pPr>
    </w:lvl>
    <w:lvl w:ilvl="5" w:tplc="9AAC36FA">
      <w:start w:val="1"/>
      <w:numFmt w:val="bullet"/>
      <w:lvlText w:val="■"/>
      <w:lvlJc w:val="left"/>
      <w:pPr>
        <w:ind w:left="4320" w:hanging="360"/>
      </w:pPr>
    </w:lvl>
    <w:lvl w:ilvl="6" w:tplc="8ACC5B9E">
      <w:start w:val="1"/>
      <w:numFmt w:val="bullet"/>
      <w:lvlText w:val="●"/>
      <w:lvlJc w:val="left"/>
      <w:pPr>
        <w:ind w:left="5040" w:hanging="360"/>
      </w:pPr>
    </w:lvl>
    <w:lvl w:ilvl="7" w:tplc="31B6841E">
      <w:start w:val="1"/>
      <w:numFmt w:val="bullet"/>
      <w:lvlText w:val="●"/>
      <w:lvlJc w:val="left"/>
      <w:pPr>
        <w:ind w:left="5760" w:hanging="360"/>
      </w:pPr>
    </w:lvl>
    <w:lvl w:ilvl="8" w:tplc="1CD208B4">
      <w:start w:val="1"/>
      <w:numFmt w:val="bullet"/>
      <w:lvlText w:val="●"/>
      <w:lvlJc w:val="left"/>
      <w:pPr>
        <w:ind w:left="6480" w:hanging="360"/>
      </w:pPr>
    </w:lvl>
  </w:abstractNum>
  <w:num w:numId="1" w16cid:durableId="97931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936"/>
    <w:rsid w:val="00705DE6"/>
    <w:rsid w:val="00C9585E"/>
    <w:rsid w:val="00CD6936"/>
    <w:rsid w:val="00D340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D11A"/>
  <w15:docId w15:val="{B160E8CB-12DE-4C1D-9019-6645FE7E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1573</Words>
  <Characters>8972</Characters>
  <Application>Microsoft Office Word</Application>
  <DocSecurity>0</DocSecurity>
  <Lines>74</Lines>
  <Paragraphs>21</Paragraphs>
  <ScaleCrop>false</ScaleCrop>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Thozi mbalo</cp:lastModifiedBy>
  <cp:revision>3</cp:revision>
  <dcterms:created xsi:type="dcterms:W3CDTF">2026-04-17T13:14:00Z</dcterms:created>
  <dcterms:modified xsi:type="dcterms:W3CDTF">2026-04-17T13:46:00Z</dcterms:modified>
</cp:coreProperties>
</file>