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d913b295f89b28979bb3e0e8aeeeb5e3dbdc079"/>
    <w:p>
      <w:pPr>
        <w:pStyle w:val="Heading1"/>
      </w:pPr>
      <w:r>
        <w:t xml:space="preserve">Dataset Dev Notes: SeizeIT2 (BIDS) vs. Oregon Wearable (VSM Watch)</w:t>
      </w:r>
    </w:p>
    <w:p>
      <w:pPr>
        <w:pStyle w:val="FirstParagraph"/>
      </w:pPr>
      <w:r>
        <w:t xml:space="preserve">This document summarizes the key differences between the two main datasets used in this project and highlights how those differences affect:</w:t>
      </w:r>
    </w:p>
    <w:p>
      <w:pPr>
        <w:numPr>
          <w:ilvl w:val="0"/>
          <w:numId w:val="1001"/>
        </w:numPr>
        <w:pStyle w:val="Compact"/>
      </w:pPr>
      <w:r>
        <w:t xml:space="preserve">Model inputs and modalities</w:t>
      </w:r>
    </w:p>
    <w:p>
      <w:pPr>
        <w:numPr>
          <w:ilvl w:val="0"/>
          <w:numId w:val="1001"/>
        </w:numPr>
        <w:pStyle w:val="Compact"/>
      </w:pPr>
      <w:r>
        <w:t xml:space="preserve">Sampling and windowing strategy</w:t>
      </w:r>
    </w:p>
    <w:p>
      <w:pPr>
        <w:numPr>
          <w:ilvl w:val="0"/>
          <w:numId w:val="1001"/>
        </w:numPr>
        <w:pStyle w:val="Compact"/>
      </w:pPr>
      <w:r>
        <w:t xml:space="preserve">Training behavior and visualizations</w:t>
      </w:r>
    </w:p>
    <w:p>
      <w:pPr>
        <w:numPr>
          <w:ilvl w:val="0"/>
          <w:numId w:val="1001"/>
        </w:numPr>
        <w:pStyle w:val="Compact"/>
      </w:pPr>
      <w:r>
        <w:t xml:space="preserve">Deployment assumptions for smartwatch‑class devices</w:t>
      </w:r>
    </w:p>
    <w:p>
      <w:pPr>
        <w:pStyle w:val="FirstParagraph"/>
      </w:pPr>
      <w:r>
        <w:t xml:space="preserve">Datasets covered: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SeizeIT2 BIDS dataset</w:t>
      </w:r>
      <w:r>
        <w:t xml:space="preserve"> </w:t>
      </w:r>
      <w:r>
        <w:t xml:space="preserve">(ds005873) – hospital vEEG + wearable EEG/ECG/EMG/motion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Oregon Wearable dataset</w:t>
      </w:r>
      <w:r>
        <w:t xml:space="preserve"> </w:t>
      </w:r>
      <w:r>
        <w:t xml:space="preserve">– VSM Study Watch wrist‑wearable (PPG + motion + other sensors)</w:t>
      </w:r>
    </w:p>
    <w:p>
      <w:r>
        <w:pict>
          <v:rect style="width:0;height:1.5pt" o:hralign="center" o:hrstd="t" o:hr="t"/>
        </w:pict>
      </w:r>
    </w:p>
    <w:bookmarkStart w:id="20" w:name="highlevel-summary"/>
    <w:p>
      <w:pPr>
        <w:pStyle w:val="Heading2"/>
      </w:pPr>
      <w:r>
        <w:t xml:space="preserve">1. High‑Level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0"/>
        <w:gridCol w:w="3142"/>
        <w:gridCol w:w="3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SeizeIT2 BIDS (ds005873)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Oregon Wearable (VSM Watch)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Recording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EMU (epilepsy monitoring unit), in‑hospital presurgical vEEG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Ambulatory wearable monitoring in the wild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vEEG system (10–20 / 25‑electrode arrays)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scalp EEG reference; annotations via master Excel + clinical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Wearable modalities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Back‑of‑ear EEG (bte‑EEG), ECG, EMG, accelerometer/gyroscope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PPG (raw + HR), accelerometer, EDA, temperature, ECG (sometimes), HRV, 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 sampling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Wearable device at ~250 Hz (EEG/ECG/EMG), movement at ~25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PPG raw ~100 Hz, accelerometer 50 Hz, processed HR/HRV at lower effective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Seizure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 patients, 886 focal seizures in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ambulatory sessions with seizure annotations in a master spreadsheet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modeling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Wrist dataset would also provide ECG/EEG‑like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wrist modalities are PPG + motion (ADXL) first, plus optional extras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Intended deployment analogue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Clinical‑grade wearable with adhesive electrodes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Consumer‑style smartwatch / medical‑grade watch (PPG + IMU always, ECG optional)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seizeit2-bids-dataset-ds005873"/>
    <w:p>
      <w:pPr>
        <w:pStyle w:val="Heading2"/>
      </w:pPr>
      <w:r>
        <w:t xml:space="preserve">2. SeizeIT2 BIDS Dataset (ds005873)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hyperlink r:id="rId21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for the BIDS‑converted SeizeIT2 dataset.</w:t>
      </w:r>
    </w:p>
    <w:bookmarkStart w:id="22" w:name="study-context"/>
    <w:p>
      <w:pPr>
        <w:pStyle w:val="Heading3"/>
      </w:pPr>
      <w:r>
        <w:t xml:space="preserve">2.1 Study context</w:t>
      </w:r>
    </w:p>
    <w:p>
      <w:pPr>
        <w:numPr>
          <w:ilvl w:val="0"/>
          <w:numId w:val="1003"/>
        </w:numPr>
        <w:pStyle w:val="Compact"/>
      </w:pPr>
      <w:r>
        <w:t xml:space="preserve">Multicenter prospective study (SeizeIT2, NCT04284072) in EMU settings.</w:t>
      </w:r>
    </w:p>
    <w:p>
      <w:pPr>
        <w:numPr>
          <w:ilvl w:val="0"/>
          <w:numId w:val="1003"/>
        </w:numPr>
        <w:pStyle w:val="Compact"/>
      </w:pPr>
      <w:r>
        <w:t xml:space="preserve">125 patients with refractory focal epilepsy, monitored during presurgical vEEG.</w:t>
      </w:r>
    </w:p>
    <w:p>
      <w:pPr>
        <w:numPr>
          <w:ilvl w:val="0"/>
          <w:numId w:val="1003"/>
        </w:numPr>
        <w:pStyle w:val="Compact"/>
      </w:pPr>
      <w:r>
        <w:t xml:space="preserve">Includes adult and pediatric patients from several European EMUs.</w:t>
      </w:r>
    </w:p>
    <w:p>
      <w:pPr>
        <w:numPr>
          <w:ilvl w:val="0"/>
          <w:numId w:val="1003"/>
        </w:numPr>
        <w:pStyle w:val="Compact"/>
      </w:pPr>
      <w:r>
        <w:t xml:space="preserve">All participants have long‑term simultaneous:</w:t>
      </w:r>
    </w:p>
    <w:p>
      <w:pPr>
        <w:numPr>
          <w:ilvl w:val="1"/>
          <w:numId w:val="1004"/>
        </w:numPr>
        <w:pStyle w:val="Compact"/>
      </w:pPr>
      <w:r>
        <w:t xml:space="preserve">full vEEG,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Sensor Dot</w:t>
      </w:r>
      <w:r>
        <w:t xml:space="preserve"> </w:t>
      </w:r>
      <w:r>
        <w:t xml:space="preserve">wearable(s): bte‑EEG, ECG, EMG, movement.</w:t>
      </w:r>
    </w:p>
    <w:bookmarkEnd w:id="22"/>
    <w:bookmarkStart w:id="23" w:name="wearable-device-and-modalities"/>
    <w:p>
      <w:pPr>
        <w:pStyle w:val="Heading3"/>
      </w:pPr>
      <w:r>
        <w:t xml:space="preserve">2.2 Wearable device and modalities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Sensor Dot device</w:t>
      </w:r>
      <w:r>
        <w:t xml:space="preserve"> </w:t>
      </w:r>
      <w:r>
        <w:t xml:space="preserve">records multiple channels:</w:t>
      </w:r>
    </w:p>
    <w:p>
      <w:pPr>
        <w:numPr>
          <w:ilvl w:val="1"/>
          <w:numId w:val="1006"/>
        </w:numPr>
        <w:pStyle w:val="Compact"/>
      </w:pPr>
      <w:r>
        <w:t xml:space="preserve">bte‑EEG (1–2 channels depending on suspected seizure focus),</w:t>
      </w:r>
    </w:p>
    <w:p>
      <w:pPr>
        <w:numPr>
          <w:ilvl w:val="1"/>
          <w:numId w:val="1006"/>
        </w:numPr>
        <w:pStyle w:val="Compact"/>
      </w:pPr>
      <w:r>
        <w:t xml:space="preserve">ECG,</w:t>
      </w:r>
    </w:p>
    <w:p>
      <w:pPr>
        <w:numPr>
          <w:ilvl w:val="1"/>
          <w:numId w:val="1006"/>
        </w:numPr>
        <w:pStyle w:val="Compact"/>
      </w:pPr>
      <w:r>
        <w:t xml:space="preserve">EMG,</w:t>
      </w:r>
    </w:p>
    <w:p>
      <w:pPr>
        <w:numPr>
          <w:ilvl w:val="1"/>
          <w:numId w:val="1006"/>
        </w:numPr>
        <w:pStyle w:val="Compact"/>
      </w:pPr>
      <w:r>
        <w:t xml:space="preserve">movement (accelerometers, gyroscopes).</w:t>
      </w:r>
    </w:p>
    <w:p>
      <w:pPr>
        <w:numPr>
          <w:ilvl w:val="0"/>
          <w:numId w:val="1005"/>
        </w:numPr>
        <w:pStyle w:val="Compact"/>
      </w:pPr>
      <w:r>
        <w:t xml:space="preserve">Wearable sampling frequencies (per README):</w:t>
      </w:r>
    </w:p>
    <w:p>
      <w:pPr>
        <w:numPr>
          <w:ilvl w:val="1"/>
          <w:numId w:val="1007"/>
        </w:numPr>
        <w:pStyle w:val="Compact"/>
      </w:pPr>
      <w:r>
        <w:t xml:space="preserve">EEG/ECG/EMG around</w:t>
      </w:r>
      <w:r>
        <w:t xml:space="preserve"> </w:t>
      </w:r>
      <w:r>
        <w:rPr>
          <w:bCs/>
          <w:b/>
        </w:rPr>
        <w:t xml:space="preserve">250 Hz</w:t>
      </w:r>
      <w:r>
        <w:t xml:space="preserve">,</w:t>
      </w:r>
    </w:p>
    <w:p>
      <w:pPr>
        <w:numPr>
          <w:ilvl w:val="1"/>
          <w:numId w:val="1007"/>
        </w:numPr>
        <w:pStyle w:val="Compact"/>
      </w:pPr>
      <w:r>
        <w:t xml:space="preserve">movement data at</w:t>
      </w:r>
      <w:r>
        <w:t xml:space="preserve"> </w:t>
      </w:r>
      <w:r>
        <w:rPr>
          <w:bCs/>
          <w:b/>
        </w:rPr>
        <w:t xml:space="preserve">25 Hz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Every subject has</w:t>
      </w:r>
      <w:r>
        <w:t xml:space="preserve"> </w:t>
      </w:r>
      <w:r>
        <w:rPr>
          <w:bCs/>
          <w:b/>
        </w:rPr>
        <w:t xml:space="preserve">wearable EEG</w:t>
      </w:r>
      <w:r>
        <w:t xml:space="preserve">; most also have ECG, EMG, and motion.</w:t>
      </w:r>
    </w:p>
    <w:bookmarkEnd w:id="23"/>
    <w:bookmarkStart w:id="24" w:name="data-organization-bids"/>
    <w:p>
      <w:pPr>
        <w:pStyle w:val="Heading3"/>
      </w:pPr>
      <w:r>
        <w:t xml:space="preserve">2.3 Data organization (BIDS)</w:t>
      </w:r>
    </w:p>
    <w:p>
      <w:pPr>
        <w:numPr>
          <w:ilvl w:val="0"/>
          <w:numId w:val="1008"/>
        </w:numPr>
        <w:pStyle w:val="Compact"/>
      </w:pPr>
      <w:r>
        <w:t xml:space="preserve">Reorganized from the original SeizeIT2 into BIDS:</w:t>
      </w:r>
    </w:p>
    <w:p>
      <w:pPr>
        <w:numPr>
          <w:ilvl w:val="1"/>
          <w:numId w:val="1009"/>
        </w:numPr>
        <w:pStyle w:val="Compact"/>
      </w:pPr>
      <w:r>
        <w:t xml:space="preserve">Subject/session level folders with</w:t>
      </w:r>
      <w:r>
        <w:t xml:space="preserve"> </w:t>
      </w:r>
      <w:r>
        <w:rPr>
          <w:rStyle w:val="VerbatimChar"/>
        </w:rPr>
        <w:t xml:space="preserve">sub-*/ses-*</w:t>
      </w:r>
      <w:r>
        <w:t xml:space="preserve"> </w:t>
      </w:r>
      <w:r>
        <w:t xml:space="preserve">structure.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*.edf</w:t>
      </w:r>
      <w:r>
        <w:t xml:space="preserve"> </w:t>
      </w:r>
      <w:r>
        <w:t xml:space="preserve">files contain wearable EEG/ECG/EMG/movement.</w:t>
      </w:r>
    </w:p>
    <w:p>
      <w:pPr>
        <w:numPr>
          <w:ilvl w:val="1"/>
          <w:numId w:val="1009"/>
        </w:numPr>
        <w:pStyle w:val="Compact"/>
      </w:pPr>
      <w:r>
        <w:t xml:space="preserve">Event annotations are in BIDS‑compatible</w:t>
      </w:r>
      <w:r>
        <w:t xml:space="preserve"> </w:t>
      </w:r>
      <w:r>
        <w:rPr>
          <w:rStyle w:val="VerbatimChar"/>
        </w:rPr>
        <w:t xml:space="preserve">*_events.tsv</w:t>
      </w:r>
      <w:r>
        <w:t xml:space="preserve"> </w:t>
      </w:r>
      <w:r>
        <w:t xml:space="preserve">(seizure timings, labels, etc.).</w:t>
      </w:r>
    </w:p>
    <w:p>
      <w:pPr>
        <w:numPr>
          <w:ilvl w:val="0"/>
          <w:numId w:val="1008"/>
        </w:numPr>
        <w:pStyle w:val="Compact"/>
      </w:pPr>
      <w:r>
        <w:t xml:space="preserve">Metadata (age, sex, etc.) via</w:t>
      </w:r>
      <w:r>
        <w:t xml:space="preserve"> </w:t>
      </w:r>
      <w:r>
        <w:rPr>
          <w:rStyle w:val="VerbatimChar"/>
        </w:rPr>
        <w:t xml:space="preserve">participants.tsv</w:t>
      </w:r>
      <w:r>
        <w:t xml:space="preserve"> </w:t>
      </w:r>
      <w:r>
        <w:t xml:space="preserve">and JSON sidecars.</w:t>
      </w:r>
    </w:p>
    <w:bookmarkEnd w:id="24"/>
    <w:bookmarkStart w:id="25" w:name="label-geometry-and-modeling-implications"/>
    <w:p>
      <w:pPr>
        <w:pStyle w:val="Heading3"/>
      </w:pPr>
      <w:r>
        <w:t xml:space="preserve">2.4 Label geometry and modeling implications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Labels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Focal seizure events with start/end times.</w:t>
      </w:r>
    </w:p>
    <w:p>
      <w:pPr>
        <w:numPr>
          <w:ilvl w:val="1"/>
          <w:numId w:val="1011"/>
        </w:numPr>
        <w:pStyle w:val="Compact"/>
      </w:pPr>
      <w:r>
        <w:t xml:space="preserve">Countdown labels typically constructed as minutes‑to‑seizure from EDF events.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Multimodal potential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True</w:t>
      </w:r>
      <w:r>
        <w:t xml:space="preserve"> </w:t>
      </w:r>
      <w:r>
        <w:rPr>
          <w:bCs/>
          <w:b/>
        </w:rPr>
        <w:t xml:space="preserve">ECG waveform</w:t>
      </w:r>
      <w:r>
        <w:t xml:space="preserve"> </w:t>
      </w:r>
      <w:r>
        <w:t xml:space="preserve">is available → can derive HR, HRV from R‑R intervals.</w:t>
      </w:r>
    </w:p>
    <w:p>
      <w:pPr>
        <w:numPr>
          <w:ilvl w:val="1"/>
          <w:numId w:val="1012"/>
        </w:numPr>
        <w:pStyle w:val="Compact"/>
      </w:pPr>
      <w:r>
        <w:t xml:space="preserve">bte‑EEG channels → can model EEG activity jointly with ECG and movement.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Visualization expectations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Panels can show:</w:t>
      </w:r>
    </w:p>
    <w:p>
      <w:pPr>
        <w:numPr>
          <w:ilvl w:val="2"/>
          <w:numId w:val="1014"/>
        </w:numPr>
        <w:pStyle w:val="Compact"/>
      </w:pPr>
      <w:r>
        <w:t xml:space="preserve">An actual ECG‑like trace (signal over time).</w:t>
      </w:r>
    </w:p>
    <w:p>
      <w:pPr>
        <w:numPr>
          <w:ilvl w:val="2"/>
          <w:numId w:val="1014"/>
        </w:numPr>
        <w:pStyle w:val="Compact"/>
      </w:pPr>
      <w:r>
        <w:t xml:space="preserve">HR/HRV curves derived from that ECG.</w:t>
      </w:r>
    </w:p>
    <w:p>
      <w:pPr>
        <w:numPr>
          <w:ilvl w:val="2"/>
          <w:numId w:val="1014"/>
        </w:numPr>
        <w:pStyle w:val="Compact"/>
      </w:pPr>
      <w:r>
        <w:t xml:space="preserve">EEG proxy traces.</w:t>
      </w:r>
    </w:p>
    <w:p>
      <w:pPr>
        <w:numPr>
          <w:ilvl w:val="1"/>
          <w:numId w:val="1013"/>
        </w:numPr>
        <w:pStyle w:val="Compact"/>
      </w:pPr>
      <w:r>
        <w:t xml:space="preserve">Confusion matrices and inference maps operate on labels/contracts where ECG+EEG content is meaningful and relatively stable in sampling.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oregon-wearable-dataset-vsm-study-watch"/>
    <w:p>
      <w:pPr>
        <w:pStyle w:val="Heading2"/>
      </w:pPr>
      <w:r>
        <w:t xml:space="preserve">3. Oregon Wearable Dataset (VSM Study Watch)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hyperlink r:id="rId27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for the VSM Study Watch dataset.</w:t>
      </w:r>
    </w:p>
    <w:bookmarkStart w:id="28" w:name="study-context-1"/>
    <w:p>
      <w:pPr>
        <w:pStyle w:val="Heading3"/>
      </w:pPr>
      <w:r>
        <w:t xml:space="preserve">3.1 Study context</w:t>
      </w:r>
    </w:p>
    <w:p>
      <w:pPr>
        <w:numPr>
          <w:ilvl w:val="0"/>
          <w:numId w:val="1015"/>
        </w:numPr>
        <w:pStyle w:val="Compact"/>
      </w:pPr>
      <w:r>
        <w:t xml:space="preserve">Ambulatory monitoring sessions with the</w:t>
      </w:r>
      <w:r>
        <w:t xml:space="preserve"> </w:t>
      </w:r>
      <w:r>
        <w:rPr>
          <w:bCs/>
          <w:b/>
        </w:rPr>
        <w:t xml:space="preserve">VSM Study Watch</w:t>
      </w:r>
      <w:r>
        <w:t xml:space="preserve"> </w:t>
      </w:r>
      <w:r>
        <w:t xml:space="preserve">(Analog Devices).</w:t>
      </w:r>
    </w:p>
    <w:p>
      <w:pPr>
        <w:numPr>
          <w:ilvl w:val="0"/>
          <w:numId w:val="1015"/>
        </w:numPr>
        <w:pStyle w:val="Compact"/>
      </w:pPr>
      <w:r>
        <w:t xml:space="preserve">Goal: support development and validation of</w:t>
      </w:r>
      <w:r>
        <w:t xml:space="preserve"> </w:t>
      </w:r>
      <w:r>
        <w:rPr>
          <w:bCs/>
          <w:b/>
        </w:rPr>
        <w:t xml:space="preserve">wearable seizure detection</w:t>
      </w:r>
      <w:r>
        <w:t xml:space="preserve"> </w:t>
      </w:r>
      <w:r>
        <w:t xml:space="preserve">algorithms.</w:t>
      </w:r>
    </w:p>
    <w:p>
      <w:pPr>
        <w:numPr>
          <w:ilvl w:val="0"/>
          <w:numId w:val="1015"/>
        </w:numPr>
        <w:pStyle w:val="Compact"/>
      </w:pPr>
      <w:r>
        <w:t xml:space="preserve">Data is organized by</w:t>
      </w:r>
      <w:r>
        <w:t xml:space="preserve"> </w:t>
      </w:r>
      <w:r>
        <w:rPr>
          <w:bCs/>
          <w:b/>
        </w:rPr>
        <w:t xml:space="preserve">participant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watch</w:t>
      </w:r>
      <w:r>
        <w:t xml:space="preserve">, with multiple sessions per watch.</w:t>
      </w:r>
    </w:p>
    <w:bookmarkEnd w:id="28"/>
    <w:bookmarkStart w:id="29" w:name="device-and-modalities"/>
    <w:p>
      <w:pPr>
        <w:pStyle w:val="Heading3"/>
      </w:pPr>
      <w:r>
        <w:t xml:space="preserve">3.2 Device and modalities</w:t>
      </w:r>
    </w:p>
    <w:p>
      <w:pPr>
        <w:pStyle w:val="FirstParagraph"/>
      </w:pPr>
      <w:r>
        <w:t xml:space="preserve">The watch exposes several sensor streams (JSON‑lines files), including but not limited to: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PPG (photoplethysmography)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ADPDCLAppStream.json</w:t>
      </w:r>
      <w:r>
        <w:t xml:space="preserve">: raw PPG (photodiode channels, 100 Hz effective sampling).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PPGAppStream.json</w:t>
      </w:r>
      <w:r>
        <w:t xml:space="preserve">: processed HR output (heart rate in bpm, confidence, state).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Motion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ADXLAppStream.json</w:t>
      </w:r>
      <w:r>
        <w:t xml:space="preserve">: raw accelerometer (x, y, z) at</w:t>
      </w:r>
      <w:r>
        <w:t xml:space="preserve"> </w:t>
      </w:r>
      <w:r>
        <w:rPr>
          <w:bCs/>
          <w:b/>
        </w:rPr>
        <w:t xml:space="preserve">50 Hz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Other sensors</w:t>
      </w:r>
      <w:r>
        <w:t xml:space="preserve"> </w:t>
      </w:r>
      <w:r>
        <w:t xml:space="preserve">(optional, depending on use‑case):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EDAAppStream.json</w:t>
      </w:r>
      <w:r>
        <w:t xml:space="preserve">: electrodermal activity.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TemperatureStream.json</w:t>
      </w:r>
      <w:r>
        <w:t xml:space="preserve">: skin temperature.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ECGAppStream.json</w:t>
      </w:r>
      <w:r>
        <w:t xml:space="preserve">: ECG waveform when configured.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HRVStreamInfo.json</w:t>
      </w:r>
      <w:r>
        <w:t xml:space="preserve">: HRV metrics and RR intervals.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BIAAppStream.json</w:t>
      </w:r>
      <w:r>
        <w:t xml:space="preserve">: bio‑impedance.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SyncPPGAppStream.json</w:t>
      </w:r>
      <w:r>
        <w:t xml:space="preserve">: synchronized PPG + motion samples.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PedometerAppStream.json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SQIStream.json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BatteryStream.json</w:t>
      </w:r>
      <w:r>
        <w:t xml:space="preserve">, etc.</w:t>
      </w:r>
    </w:p>
    <w:p>
      <w:pPr>
        <w:pStyle w:val="FirstParagraph"/>
      </w:pPr>
      <w:r>
        <w:rPr>
          <w:bCs/>
          <w:b/>
        </w:rPr>
        <w:t xml:space="preserve">Key point for modeling</w:t>
      </w:r>
      <w:r>
        <w:t xml:space="preserve">: for most smartwatch‑like deployments,</w:t>
      </w:r>
      <w:r>
        <w:t xml:space="preserve"> </w:t>
      </w:r>
      <w:r>
        <w:rPr>
          <w:bCs/>
          <w:b/>
        </w:rPr>
        <w:t xml:space="preserve">PPG + accelerometer (ADXL)</w:t>
      </w:r>
      <w:r>
        <w:t xml:space="preserve"> </w:t>
      </w:r>
      <w:r>
        <w:t xml:space="preserve">are the minimal, always‑on streams. ECG might be sporadic or absent, and there is</w:t>
      </w:r>
      <w:r>
        <w:t xml:space="preserve"> </w:t>
      </w:r>
      <w:r>
        <w:rPr>
          <w:bCs/>
          <w:b/>
        </w:rPr>
        <w:t xml:space="preserve">no scalp EEG</w:t>
      </w:r>
      <w:r>
        <w:t xml:space="preserve">.</w:t>
      </w:r>
    </w:p>
    <w:bookmarkEnd w:id="29"/>
    <w:bookmarkStart w:id="30" w:name="groundtruth-labels"/>
    <w:p>
      <w:pPr>
        <w:pStyle w:val="Heading3"/>
      </w:pPr>
      <w:r>
        <w:t xml:space="preserve">3.3 Ground‑truth labels</w:t>
      </w:r>
    </w:p>
    <w:p>
      <w:pPr>
        <w:numPr>
          <w:ilvl w:val="0"/>
          <w:numId w:val="1020"/>
        </w:numPr>
        <w:pStyle w:val="Compact"/>
      </w:pPr>
      <w:r>
        <w:t xml:space="preserve">Ground truth is in a master Excel:</w:t>
      </w:r>
      <w:r>
        <w:t xml:space="preserve"> </w:t>
      </w:r>
      <w:r>
        <w:rPr>
          <w:rStyle w:val="VerbatimChar"/>
        </w:rPr>
        <w:t xml:space="preserve">Wearable Seizure Detection Master Database.xlsx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Per session, provides:</w:t>
      </w:r>
    </w:p>
    <w:p>
      <w:pPr>
        <w:numPr>
          <w:ilvl w:val="1"/>
          <w:numId w:val="1021"/>
        </w:numPr>
        <w:pStyle w:val="Compact"/>
      </w:pPr>
      <w:r>
        <w:t xml:space="preserve">Participant ID and watch ID.</w:t>
      </w:r>
    </w:p>
    <w:p>
      <w:pPr>
        <w:numPr>
          <w:ilvl w:val="1"/>
          <w:numId w:val="1021"/>
        </w:numPr>
        <w:pStyle w:val="Compact"/>
      </w:pPr>
      <w:r>
        <w:t xml:space="preserve">Session start/stop times.</w:t>
      </w:r>
    </w:p>
    <w:p>
      <w:pPr>
        <w:numPr>
          <w:ilvl w:val="1"/>
          <w:numId w:val="1021"/>
        </w:numPr>
        <w:pStyle w:val="Compact"/>
      </w:pPr>
      <w:r>
        <w:t xml:space="preserve">Whether seizures occurred.</w:t>
      </w:r>
    </w:p>
    <w:p>
      <w:pPr>
        <w:numPr>
          <w:ilvl w:val="1"/>
          <w:numId w:val="1021"/>
        </w:numPr>
        <w:pStyle w:val="Compact"/>
      </w:pPr>
      <w:r>
        <w:t xml:space="preserve">For each seizure: date, time, duration.</w:t>
      </w:r>
    </w:p>
    <w:p>
      <w:pPr>
        <w:numPr>
          <w:ilvl w:val="0"/>
          <w:numId w:val="1020"/>
        </w:numPr>
        <w:pStyle w:val="Compact"/>
      </w:pPr>
      <w:r>
        <w:t xml:space="preserve">All timestamps are</w:t>
      </w:r>
      <w:r>
        <w:t xml:space="preserve"> </w:t>
      </w:r>
      <w:r>
        <w:rPr>
          <w:bCs/>
          <w:b/>
        </w:rPr>
        <w:t xml:space="preserve">local time</w:t>
      </w:r>
      <w:r>
        <w:t xml:space="preserve">, with time‑zone offset available from session metadata (</w:t>
      </w:r>
      <w:r>
        <w:rPr>
          <w:rStyle w:val="VerbatimChar"/>
        </w:rPr>
        <w:t xml:space="preserve">DateTimeInfo.tz_sec</w:t>
      </w:r>
      <w:r>
        <w:t xml:space="preserve">). Alignment to sensor data requires conversion to epoch time and matching timestamps.</w:t>
      </w:r>
    </w:p>
    <w:bookmarkEnd w:id="30"/>
    <w:bookmarkStart w:id="31" w:name="sampling-characteristics"/>
    <w:p>
      <w:pPr>
        <w:pStyle w:val="Heading3"/>
      </w:pPr>
      <w:r>
        <w:t xml:space="preserve">3.4 Sampling characteristics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PPG raw (</w:t>
      </w:r>
      <w:r>
        <w:rPr>
          <w:rStyle w:val="VerbatimChar"/>
          <w:bCs/>
          <w:b/>
        </w:rPr>
        <w:t xml:space="preserve">ADPDCLAppStream</w:t>
      </w:r>
      <w:r>
        <w:rPr>
          <w:bCs/>
          <w:b/>
        </w:rPr>
        <w:t xml:space="preserve">)</w:t>
      </w:r>
      <w:r>
        <w:t xml:space="preserve">:</w:t>
      </w:r>
    </w:p>
    <w:p>
      <w:pPr>
        <w:numPr>
          <w:ilvl w:val="1"/>
          <w:numId w:val="1023"/>
        </w:numPr>
        <w:pStyle w:val="Compact"/>
      </w:pPr>
      <w:r>
        <w:t xml:space="preserve">~100 Hz, by grouping 6 samples per packet every ~60 ms.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Accelerometer (</w:t>
      </w:r>
      <w:r>
        <w:rPr>
          <w:rStyle w:val="VerbatimChar"/>
          <w:bCs/>
          <w:b/>
        </w:rPr>
        <w:t xml:space="preserve">ADXLAppStream</w:t>
      </w:r>
      <w:r>
        <w:rPr>
          <w:bCs/>
          <w:b/>
        </w:rPr>
        <w:t xml:space="preserve">)</w:t>
      </w:r>
      <w:r>
        <w:t xml:space="preserve">:</w:t>
      </w:r>
    </w:p>
    <w:p>
      <w:pPr>
        <w:numPr>
          <w:ilvl w:val="1"/>
          <w:numId w:val="1024"/>
        </w:numPr>
        <w:pStyle w:val="Compact"/>
      </w:pPr>
      <w:r>
        <w:t xml:space="preserve">50 Hz, by grouping up to 5 samples every 100 ms.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Processed HR / HRV streams</w:t>
      </w:r>
      <w:r>
        <w:t xml:space="preserve">:</w:t>
      </w:r>
    </w:p>
    <w:p>
      <w:pPr>
        <w:numPr>
          <w:ilvl w:val="1"/>
          <w:numId w:val="1025"/>
        </w:numPr>
        <w:pStyle w:val="Compact"/>
      </w:pPr>
      <w:r>
        <w:t xml:space="preserve">Much lower effective sampling rate (on the order of seconds) due to windowed estimation.</w:t>
      </w:r>
    </w:p>
    <w:p>
      <w:pPr>
        <w:pStyle w:val="FirstParagraph"/>
      </w:pPr>
      <w:r>
        <w:t xml:space="preserve">These sampling rates are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from SeizeIT2’s 250 Hz ECG/EEG and 25 Hz movement.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original-assumption-vs.-reality"/>
    <w:p>
      <w:pPr>
        <w:pStyle w:val="Heading2"/>
      </w:pPr>
      <w:r>
        <w:t xml:space="preserve">4. Original Assumption vs. Reality</w:t>
      </w:r>
    </w:p>
    <w:bookmarkStart w:id="33" w:name="original-assumption"/>
    <w:p>
      <w:pPr>
        <w:pStyle w:val="Heading3"/>
      </w:pPr>
      <w:r>
        <w:t xml:space="preserve">4.1 Original assumption</w:t>
      </w:r>
    </w:p>
    <w:p>
      <w:pPr>
        <w:numPr>
          <w:ilvl w:val="0"/>
          <w:numId w:val="1026"/>
        </w:numPr>
        <w:pStyle w:val="Compact"/>
      </w:pPr>
      <w:r>
        <w:t xml:space="preserve">During early design, the working assumption was that the</w:t>
      </w:r>
      <w:r>
        <w:t xml:space="preserve"> </w:t>
      </w:r>
      <w:r>
        <w:rPr>
          <w:bCs/>
          <w:b/>
        </w:rPr>
        <w:t xml:space="preserve">wrist wearable dataset</w:t>
      </w:r>
      <w:r>
        <w:t xml:space="preserve"> </w:t>
      </w:r>
      <w:r>
        <w:t xml:space="preserve">would resemble SeizeIT2’s Sensor Dot setup:</w:t>
      </w:r>
    </w:p>
    <w:p>
      <w:pPr>
        <w:numPr>
          <w:ilvl w:val="1"/>
          <w:numId w:val="1027"/>
        </w:numPr>
        <w:pStyle w:val="Compact"/>
      </w:pPr>
      <w:r>
        <w:t xml:space="preserve">Some form of</w:t>
      </w:r>
      <w:r>
        <w:t xml:space="preserve"> </w:t>
      </w:r>
      <w:r>
        <w:rPr>
          <w:bCs/>
          <w:b/>
        </w:rPr>
        <w:t xml:space="preserve">wearable EEG</w:t>
      </w:r>
      <w:r>
        <w:t xml:space="preserve"> </w:t>
      </w:r>
      <w:r>
        <w:t xml:space="preserve">or at least high‑fidelity ECG,</w:t>
      </w:r>
    </w:p>
    <w:p>
      <w:pPr>
        <w:numPr>
          <w:ilvl w:val="1"/>
          <w:numId w:val="1027"/>
        </w:numPr>
        <w:pStyle w:val="Compact"/>
      </w:pPr>
      <w:r>
        <w:t xml:space="preserve">Similar per‑sample waveforms usable as input, with HR/HRV derivable as in SeizeIT2.</w:t>
      </w:r>
    </w:p>
    <w:p>
      <w:pPr>
        <w:numPr>
          <w:ilvl w:val="0"/>
          <w:numId w:val="1026"/>
        </w:numPr>
        <w:pStyle w:val="Compact"/>
      </w:pPr>
      <w:r>
        <w:t xml:space="preserve">That assumption informed:</w:t>
      </w:r>
    </w:p>
    <w:p>
      <w:pPr>
        <w:numPr>
          <w:ilvl w:val="1"/>
          <w:numId w:val="1028"/>
        </w:numPr>
        <w:pStyle w:val="Compact"/>
      </w:pPr>
      <w:r>
        <w:t xml:space="preserve">Some visualization expectations (ECG‑like traces, biologically plausible HR/HRV derived from the same signal),</w:t>
      </w:r>
    </w:p>
    <w:p>
      <w:pPr>
        <w:numPr>
          <w:ilvl w:val="1"/>
          <w:numId w:val="1028"/>
        </w:numPr>
        <w:pStyle w:val="Compact"/>
      </w:pPr>
      <w:r>
        <w:t xml:space="preserve">Early model design choices that treated the wearable stream as an</w:t>
      </w:r>
      <w:r>
        <w:t xml:space="preserve"> </w:t>
      </w:r>
      <w:r>
        <w:t xml:space="preserve">“</w:t>
      </w:r>
      <w:r>
        <w:t xml:space="preserve">ECG‑like</w:t>
      </w:r>
      <w:r>
        <w:t xml:space="preserve">”</w:t>
      </w:r>
      <w:r>
        <w:t xml:space="preserve"> </w:t>
      </w:r>
      <w:r>
        <w:t xml:space="preserve">channel.</w:t>
      </w:r>
    </w:p>
    <w:bookmarkEnd w:id="33"/>
    <w:bookmarkStart w:id="34" w:name="reality-of-the-vsm-watch-dataset"/>
    <w:p>
      <w:pPr>
        <w:pStyle w:val="Heading3"/>
      </w:pPr>
      <w:r>
        <w:t xml:space="preserve">4.2 Reality of the VSM Watch dataset</w:t>
      </w:r>
    </w:p>
    <w:p>
      <w:pPr>
        <w:numPr>
          <w:ilvl w:val="0"/>
          <w:numId w:val="1029"/>
        </w:numPr>
        <w:pStyle w:val="Compact"/>
      </w:pPr>
      <w:r>
        <w:t xml:space="preserve">The Oregon dataset is fundamentally</w:t>
      </w:r>
      <w:r>
        <w:t xml:space="preserve"> </w:t>
      </w:r>
      <w:r>
        <w:rPr>
          <w:bCs/>
          <w:b/>
        </w:rPr>
        <w:t xml:space="preserve">PPG + motion first</w:t>
      </w:r>
      <w:r>
        <w:t xml:space="preserve">:</w:t>
      </w:r>
    </w:p>
    <w:p>
      <w:pPr>
        <w:numPr>
          <w:ilvl w:val="1"/>
          <w:numId w:val="1030"/>
        </w:numPr>
        <w:pStyle w:val="Compact"/>
      </w:pPr>
      <w:r>
        <w:t xml:space="preserve">Raw PPG is optical (not ECG) and is more sensitive to motion artifacts.</w:t>
      </w:r>
    </w:p>
    <w:p>
      <w:pPr>
        <w:numPr>
          <w:ilvl w:val="1"/>
          <w:numId w:val="1030"/>
        </w:numPr>
        <w:pStyle w:val="Compact"/>
      </w:pPr>
      <w:r>
        <w:t xml:space="preserve">Processed HR/HRV are already algorithm outputs – not raw R‑R intervals from ECG.</w:t>
      </w:r>
    </w:p>
    <w:p>
      <w:pPr>
        <w:numPr>
          <w:ilvl w:val="1"/>
          <w:numId w:val="1030"/>
        </w:numPr>
        <w:pStyle w:val="Compact"/>
      </w:pPr>
      <w:r>
        <w:t xml:space="preserve">Accelerometer is a separate IMU stream at different sampling rate.</w:t>
      </w:r>
    </w:p>
    <w:p>
      <w:pPr>
        <w:numPr>
          <w:ilvl w:val="0"/>
          <w:numId w:val="1029"/>
        </w:numPr>
        <w:pStyle w:val="Compact"/>
      </w:pPr>
      <w:r>
        <w:t xml:space="preserve">There is</w:t>
      </w:r>
      <w:r>
        <w:t xml:space="preserve"> </w:t>
      </w:r>
      <w:r>
        <w:rPr>
          <w:bCs/>
          <w:b/>
        </w:rPr>
        <w:t xml:space="preserve">no scalp EEG</w:t>
      </w:r>
      <w:r>
        <w:t xml:space="preserve">, and continuous ECG is not guaranteed or primary.</w:t>
      </w:r>
    </w:p>
    <w:p>
      <w:pPr>
        <w:numPr>
          <w:ilvl w:val="0"/>
          <w:numId w:val="1029"/>
        </w:numPr>
        <w:pStyle w:val="Compact"/>
      </w:pPr>
      <w:r>
        <w:t xml:space="preserve">For smartwatch‑style deployment,</w:t>
      </w:r>
      <w:r>
        <w:t xml:space="preserve"> </w:t>
      </w:r>
      <w:r>
        <w:rPr>
          <w:bCs/>
          <w:b/>
        </w:rPr>
        <w:t xml:space="preserve">PPG + ADXL</w:t>
      </w:r>
      <w:r>
        <w:t xml:space="preserve"> </w:t>
      </w:r>
      <w:r>
        <w:t xml:space="preserve">should be treated as the core multimodal input, with other modalities as optional enrichments.</w:t>
      </w:r>
    </w:p>
    <w:p>
      <w:pPr>
        <w:pStyle w:val="FirstParagraph"/>
      </w:pPr>
      <w:r>
        <w:rPr>
          <w:bCs/>
          <w:b/>
        </w:rPr>
        <w:t xml:space="preserve">Implication</w:t>
      </w:r>
      <w:r>
        <w:t xml:space="preserve">: visuals and models that assume a</w:t>
      </w:r>
      <w:r>
        <w:t xml:space="preserve"> </w:t>
      </w:r>
      <w:r>
        <w:t xml:space="preserve">“</w:t>
      </w:r>
      <w:r>
        <w:t xml:space="preserve">biometric ECG waveform</w:t>
      </w:r>
      <w:r>
        <w:t xml:space="preserve">”</w:t>
      </w:r>
      <w:r>
        <w:t xml:space="preserve"> </w:t>
      </w:r>
      <w:r>
        <w:t xml:space="preserve">will not transfer 1:1. For wearable runs, the panel’s top trace is currently a feature proxy, not a true ECG or PPG waveform, and HR/HRV proxies are synthetic rather than beat‑to‑beat estimates.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impact-on-modeling-and-training"/>
    <w:p>
      <w:pPr>
        <w:pStyle w:val="Heading2"/>
      </w:pPr>
      <w:r>
        <w:t xml:space="preserve">5. Impact on Modeling and Training</w:t>
      </w:r>
    </w:p>
    <w:bookmarkStart w:id="36" w:name="modalities-and-feature-engineering"/>
    <w:p>
      <w:pPr>
        <w:pStyle w:val="Heading3"/>
      </w:pPr>
      <w:r>
        <w:t xml:space="preserve">5.1 Modalities and feature engineering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SeizeIT2 (ECG + EEG + EMG + motion)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t xml:space="preserve">Model can ingest engineered features from ECG, EEG, motion, etc., or even raw segments.</w:t>
      </w:r>
    </w:p>
    <w:p>
      <w:pPr>
        <w:numPr>
          <w:ilvl w:val="1"/>
          <w:numId w:val="1032"/>
        </w:numPr>
        <w:pStyle w:val="Compact"/>
      </w:pPr>
      <w:r>
        <w:t xml:space="preserve">HR/HRV can be computed directly from ECG R‑R intervals.</w:t>
      </w:r>
    </w:p>
    <w:p>
      <w:pPr>
        <w:numPr>
          <w:ilvl w:val="1"/>
          <w:numId w:val="1032"/>
        </w:numPr>
        <w:pStyle w:val="Compact"/>
      </w:pPr>
      <w:r>
        <w:t xml:space="preserve">EEG features can complement ECG for seizure anticipation.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Oregon Wearable (PPG + ADXL + others)</w:t>
      </w:r>
      <w:r>
        <w:t xml:space="preserve">:</w:t>
      </w:r>
    </w:p>
    <w:p>
      <w:pPr>
        <w:numPr>
          <w:ilvl w:val="1"/>
          <w:numId w:val="1033"/>
        </w:numPr>
        <w:pStyle w:val="Compact"/>
      </w:pPr>
      <w:r>
        <w:t xml:space="preserve">Core multimodal stack is</w:t>
      </w:r>
      <w:r>
        <w:t xml:space="preserve"> </w:t>
      </w:r>
      <w:r>
        <w:rPr>
          <w:bCs/>
          <w:b/>
        </w:rPr>
        <w:t xml:space="preserve">PPG + accelerometer</w:t>
      </w:r>
      <w:r>
        <w:t xml:space="preserve">.</w:t>
      </w:r>
    </w:p>
    <w:p>
      <w:pPr>
        <w:numPr>
          <w:ilvl w:val="1"/>
          <w:numId w:val="1033"/>
        </w:numPr>
        <w:pStyle w:val="Compact"/>
      </w:pPr>
      <w:r>
        <w:t xml:space="preserve">HR/HRV are already derived by the device; additional feature engineering is needed if raw PPG is used.</w:t>
      </w:r>
    </w:p>
    <w:p>
      <w:pPr>
        <w:numPr>
          <w:ilvl w:val="1"/>
          <w:numId w:val="1033"/>
        </w:numPr>
        <w:pStyle w:val="Compact"/>
      </w:pPr>
      <w:r>
        <w:t xml:space="preserve">Motion features (step count, RMS acceleration, etc.) should be integrated explicitly.</w:t>
      </w:r>
    </w:p>
    <w:bookmarkEnd w:id="36"/>
    <w:bookmarkStart w:id="37" w:name="windowing-and-sampling-strategy"/>
    <w:p>
      <w:pPr>
        <w:pStyle w:val="Heading3"/>
      </w:pPr>
      <w:r>
        <w:t xml:space="preserve">5.2 Windowing and sampling strategy</w:t>
      </w:r>
    </w:p>
    <w:p>
      <w:pPr>
        <w:numPr>
          <w:ilvl w:val="0"/>
          <w:numId w:val="1034"/>
        </w:numPr>
        <w:pStyle w:val="Compact"/>
      </w:pPr>
      <w:r>
        <w:t xml:space="preserve">Window length and stride in</w:t>
      </w:r>
      <w:r>
        <w:t xml:space="preserve"> </w:t>
      </w:r>
      <w:r>
        <w:rPr>
          <w:bCs/>
          <w:b/>
        </w:rPr>
        <w:t xml:space="preserve">training</w:t>
      </w:r>
      <w:r>
        <w:t xml:space="preserve"> </w:t>
      </w:r>
      <w:r>
        <w:t xml:space="preserve">depend on sampling rates:</w:t>
      </w:r>
    </w:p>
    <w:p>
      <w:pPr>
        <w:numPr>
          <w:ilvl w:val="1"/>
          <w:numId w:val="1035"/>
        </w:numPr>
        <w:pStyle w:val="Compact"/>
      </w:pPr>
      <w:r>
        <w:t xml:space="preserve">SeizeIT2 ECG/EEG at 250 Hz allows short windows to capture many cardiac/EEG events.</w:t>
      </w:r>
    </w:p>
    <w:p>
      <w:pPr>
        <w:numPr>
          <w:ilvl w:val="1"/>
          <w:numId w:val="1035"/>
        </w:numPr>
        <w:pStyle w:val="Compact"/>
      </w:pPr>
      <w:r>
        <w:t xml:space="preserve">Oregon raw PPG at 100 Hz and accelerometer at 50 Hz will change the number of samples per window for the same real‑time duration.</w:t>
      </w:r>
    </w:p>
    <w:p>
      <w:pPr>
        <w:numPr>
          <w:ilvl w:val="0"/>
          <w:numId w:val="1034"/>
        </w:numPr>
        <w:pStyle w:val="Compact"/>
      </w:pPr>
      <w:r>
        <w:t xml:space="preserve">In the current code, we often operate on</w:t>
      </w:r>
      <w:r>
        <w:t xml:space="preserve"> </w:t>
      </w:r>
      <w:r>
        <w:rPr>
          <w:bCs/>
          <w:b/>
        </w:rPr>
        <w:t xml:space="preserve">engineered per‑window features</w:t>
      </w:r>
      <w:r>
        <w:t xml:space="preserve"> </w:t>
      </w:r>
      <w:r>
        <w:t xml:space="preserve">rather than per‑sample waveforms for the wearable dataset. That:</w:t>
      </w:r>
    </w:p>
    <w:p>
      <w:pPr>
        <w:numPr>
          <w:ilvl w:val="1"/>
          <w:numId w:val="1036"/>
        </w:numPr>
        <w:pStyle w:val="Compact"/>
      </w:pPr>
      <w:r>
        <w:t xml:space="preserve">Simplifies model input to a fixed feature dimension per time step,</w:t>
      </w:r>
    </w:p>
    <w:p>
      <w:pPr>
        <w:numPr>
          <w:ilvl w:val="1"/>
          <w:numId w:val="1036"/>
        </w:numPr>
        <w:pStyle w:val="Compact"/>
      </w:pPr>
      <w:r>
        <w:t xml:space="preserve">But means the plotted</w:t>
      </w:r>
      <w:r>
        <w:t xml:space="preserve"> </w:t>
      </w:r>
      <w:r>
        <w:t xml:space="preserve">“</w:t>
      </w:r>
      <w:r>
        <w:t xml:space="preserve">signal</w:t>
      </w:r>
      <w:r>
        <w:t xml:space="preserve">”</w:t>
      </w:r>
      <w:r>
        <w:t xml:space="preserve"> </w:t>
      </w:r>
      <w:r>
        <w:t xml:space="preserve">is not a true waveform and may appear flat when standardized.</w:t>
      </w:r>
    </w:p>
    <w:p>
      <w:pPr>
        <w:pStyle w:val="FirstParagraph"/>
      </w:pPr>
      <w:r>
        <w:rPr>
          <w:bCs/>
          <w:b/>
        </w:rPr>
        <w:t xml:space="preserve">Key risk</w:t>
      </w:r>
      <w:r>
        <w:t xml:space="preserve">: If the training data is pre‑sampled at a given window cadence (e.g., 30–60 s windows with a certain stride) and deployment uses a different stride or sampling regime, the model’s performance and calibration can drift.</w:t>
      </w:r>
    </w:p>
    <w:bookmarkEnd w:id="37"/>
    <w:bookmarkStart w:id="38" w:name="labeling-and-countdown-construction"/>
    <w:p>
      <w:pPr>
        <w:pStyle w:val="Heading3"/>
      </w:pPr>
      <w:r>
        <w:t xml:space="preserve">5.3 Labeling and countdown construction</w:t>
      </w:r>
    </w:p>
    <w:p>
      <w:pPr>
        <w:numPr>
          <w:ilvl w:val="0"/>
          <w:numId w:val="1037"/>
        </w:numPr>
        <w:pStyle w:val="Compact"/>
      </w:pPr>
      <w:r>
        <w:t xml:space="preserve">For both datasets, countdown labels are typically constructed as</w:t>
      </w:r>
      <w:r>
        <w:t xml:space="preserve"> </w:t>
      </w:r>
      <w:r>
        <w:rPr>
          <w:bCs/>
          <w:b/>
        </w:rPr>
        <w:t xml:space="preserve">minutes to seizure onset</w:t>
      </w:r>
      <w:r>
        <w:t xml:space="preserve"> </w:t>
      </w:r>
      <w:r>
        <w:t xml:space="preserve">from seizure annotations.</w:t>
      </w:r>
    </w:p>
    <w:p>
      <w:pPr>
        <w:numPr>
          <w:ilvl w:val="0"/>
          <w:numId w:val="1037"/>
        </w:numPr>
        <w:pStyle w:val="Compact"/>
      </w:pPr>
      <w:r>
        <w:t xml:space="preserve">In SeizeIT2, seizure events are aligned with continuous EDF recordings (hospital‑grade timing).</w:t>
      </w:r>
    </w:p>
    <w:p>
      <w:pPr>
        <w:numPr>
          <w:ilvl w:val="0"/>
          <w:numId w:val="1037"/>
        </w:numPr>
        <w:pStyle w:val="Compact"/>
      </w:pPr>
      <w:r>
        <w:t xml:space="preserve">In the VSM dataset, seizure times come from the Excel master; care must be taken about:</w:t>
      </w:r>
    </w:p>
    <w:p>
      <w:pPr>
        <w:numPr>
          <w:ilvl w:val="1"/>
          <w:numId w:val="1038"/>
        </w:numPr>
        <w:pStyle w:val="Compact"/>
      </w:pPr>
      <w:r>
        <w:t xml:space="preserve">Local time vs. epoch,</w:t>
      </w:r>
    </w:p>
    <w:p>
      <w:pPr>
        <w:numPr>
          <w:ilvl w:val="1"/>
          <w:numId w:val="1038"/>
        </w:numPr>
        <w:pStyle w:val="Compact"/>
      </w:pPr>
      <w:r>
        <w:t xml:space="preserve">Session boundaries,</w:t>
      </w:r>
    </w:p>
    <w:p>
      <w:pPr>
        <w:numPr>
          <w:ilvl w:val="1"/>
          <w:numId w:val="1038"/>
        </w:numPr>
        <w:pStyle w:val="Compact"/>
      </w:pPr>
      <w:r>
        <w:t xml:space="preserve">Multiple seizures per session.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2" w:name="impact-on-visualization"/>
    <w:p>
      <w:pPr>
        <w:pStyle w:val="Heading2"/>
      </w:pPr>
      <w:r>
        <w:t xml:space="preserve">6. Impact on Visualization</w:t>
      </w:r>
    </w:p>
    <w:bookmarkStart w:id="40" w:name="why-seizeit2-panels-look-biometric"/>
    <w:p>
      <w:pPr>
        <w:pStyle w:val="Heading3"/>
      </w:pPr>
      <w:r>
        <w:t xml:space="preserve">6.1 Why SeizeIT2 panels look</w:t>
      </w:r>
      <w:r>
        <w:t xml:space="preserve"> </w:t>
      </w:r>
      <w:r>
        <w:t xml:space="preserve">“</w:t>
      </w:r>
      <w:r>
        <w:t xml:space="preserve">biometric</w:t>
      </w:r>
      <w:r>
        <w:t xml:space="preserve">”</w:t>
      </w:r>
    </w:p>
    <w:p>
      <w:pPr>
        <w:numPr>
          <w:ilvl w:val="0"/>
          <w:numId w:val="1039"/>
        </w:numPr>
        <w:pStyle w:val="Compact"/>
      </w:pPr>
      <w:r>
        <w:t xml:space="preserve">Inputs include actual ECG waveforms; panels can:</w:t>
      </w:r>
    </w:p>
    <w:p>
      <w:pPr>
        <w:numPr>
          <w:ilvl w:val="1"/>
          <w:numId w:val="1040"/>
        </w:numPr>
        <w:pStyle w:val="Compact"/>
      </w:pPr>
      <w:r>
        <w:t xml:space="preserve">Plot a</w:t>
      </w:r>
      <w:r>
        <w:t xml:space="preserve"> </w:t>
      </w:r>
      <w:r>
        <w:rPr>
          <w:bCs/>
          <w:b/>
        </w:rPr>
        <w:t xml:space="preserve">non‑flat ECG signal</w:t>
      </w:r>
      <w:r>
        <w:t xml:space="preserve"> </w:t>
      </w:r>
      <w:r>
        <w:t xml:space="preserve">over time.</w:t>
      </w:r>
    </w:p>
    <w:p>
      <w:pPr>
        <w:numPr>
          <w:ilvl w:val="1"/>
          <w:numId w:val="1040"/>
        </w:numPr>
        <w:pStyle w:val="Compact"/>
      </w:pPr>
      <w:r>
        <w:t xml:space="preserve">Derive HR/HRV from real beat detection.</w:t>
      </w:r>
    </w:p>
    <w:p>
      <w:pPr>
        <w:numPr>
          <w:ilvl w:val="0"/>
          <w:numId w:val="1039"/>
        </w:numPr>
        <w:pStyle w:val="Compact"/>
      </w:pPr>
      <w:r>
        <w:t xml:space="preserve">Confusion matrices and inference heatmaps reflect behavior on a large, balanced dataset with rich multimodal signals.</w:t>
      </w:r>
    </w:p>
    <w:bookmarkEnd w:id="40"/>
    <w:bookmarkStart w:id="41" w:name="why-wearable-panels-can-look-flat"/>
    <w:p>
      <w:pPr>
        <w:pStyle w:val="Heading3"/>
      </w:pPr>
      <w:r>
        <w:t xml:space="preserve">6.2 Why wearable panels can look</w:t>
      </w:r>
      <w:r>
        <w:t xml:space="preserve"> </w:t>
      </w:r>
      <w:r>
        <w:t xml:space="preserve">“</w:t>
      </w:r>
      <w:r>
        <w:t xml:space="preserve">flat</w:t>
      </w:r>
      <w:r>
        <w:t xml:space="preserve">”</w:t>
      </w:r>
    </w:p>
    <w:p>
      <w:pPr>
        <w:numPr>
          <w:ilvl w:val="0"/>
          <w:numId w:val="1041"/>
        </w:numPr>
        <w:pStyle w:val="Compact"/>
      </w:pPr>
      <w:r>
        <w:t xml:space="preserve">For the Oregon dataset, current panels for TCN runs typically use:</w:t>
      </w:r>
    </w:p>
    <w:p>
      <w:pPr>
        <w:numPr>
          <w:ilvl w:val="1"/>
          <w:numId w:val="104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single feature channel</w:t>
      </w:r>
      <w:r>
        <w:t xml:space="preserve"> </w:t>
      </w:r>
      <w:r>
        <w:t xml:space="preserve">as a</w:t>
      </w:r>
      <w:r>
        <w:t xml:space="preserve"> </w:t>
      </w:r>
      <w:r>
        <w:t xml:space="preserve">“</w:t>
      </w:r>
      <w:r>
        <w:t xml:space="preserve">signal proxy</w:t>
      </w:r>
      <w:r>
        <w:t xml:space="preserve">”</w:t>
      </w:r>
      <w:r>
        <w:t xml:space="preserve">, standardized → often centered near 0.</w:t>
      </w:r>
    </w:p>
    <w:p>
      <w:pPr>
        <w:numPr>
          <w:ilvl w:val="1"/>
          <w:numId w:val="1042"/>
        </w:numPr>
        <w:pStyle w:val="Compact"/>
      </w:pPr>
      <w:r>
        <w:t xml:space="preserve">HR/HRV proxies mapped from feature means/stds, not from true R‑R intervals.</w:t>
      </w:r>
    </w:p>
    <w:p>
      <w:pPr>
        <w:numPr>
          <w:ilvl w:val="0"/>
          <w:numId w:val="1041"/>
        </w:numPr>
        <w:pStyle w:val="Compact"/>
      </w:pPr>
      <w:r>
        <w:t xml:space="preserve">If the underlying features are low‑variance across windows, all three traces (signal proxy, HR, HRV) can look nearly constant.</w:t>
      </w:r>
    </w:p>
    <w:p>
      <w:pPr>
        <w:numPr>
          <w:ilvl w:val="0"/>
          <w:numId w:val="1041"/>
        </w:numPr>
        <w:pStyle w:val="Compact"/>
      </w:pPr>
      <w:r>
        <w:t xml:space="preserve">The inference heatmap and confusion tiles for small, skewed windows may give the impression of</w:t>
      </w:r>
      <w:r>
        <w:t xml:space="preserve"> </w:t>
      </w:r>
      <w:r>
        <w:t xml:space="preserve">“</w:t>
      </w:r>
      <w:r>
        <w:t xml:space="preserve">all‑preictal</w:t>
      </w:r>
      <w:r>
        <w:t xml:space="preserve">”</w:t>
      </w:r>
      <w:r>
        <w:t xml:space="preserve"> </w:t>
      </w:r>
      <w:r>
        <w:t xml:space="preserve">behavior, even when full evaluation metrics show good specificity.</w:t>
      </w:r>
    </w:p>
    <w:p>
      <w:pPr>
        <w:pStyle w:val="FirstParagraph"/>
      </w:pPr>
      <w:r>
        <w:rPr>
          <w:bCs/>
          <w:b/>
        </w:rPr>
        <w:t xml:space="preserve">Actionable takeaway</w:t>
      </w:r>
      <w:r>
        <w:t xml:space="preserve">: For wearable runs, panels should ideally use:</w:t>
      </w:r>
    </w:p>
    <w:p>
      <w:pPr>
        <w:numPr>
          <w:ilvl w:val="0"/>
          <w:numId w:val="104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true time series</w:t>
      </w:r>
      <w:r>
        <w:t xml:space="preserve"> </w:t>
      </w:r>
      <w:r>
        <w:t xml:space="preserve">from PPG (e.g., downsampled raw PPG or processed HR) and from ADXL, in addition to feature proxies.</w:t>
      </w:r>
    </w:p>
    <w:p>
      <w:pPr>
        <w:numPr>
          <w:ilvl w:val="0"/>
          <w:numId w:val="1043"/>
        </w:numPr>
        <w:pStyle w:val="Compact"/>
      </w:pPr>
      <w:r>
        <w:t xml:space="preserve">Visualization time axes that reflect realistic durations (e.g., 10–60 min windows) and clearly mark GT seizure onset.</w:t>
      </w:r>
    </w:p>
    <w:bookmarkEnd w:id="41"/>
    <w:bookmarkStart w:id="51" w:name="example-panels-from-the-codebase"/>
    <w:p>
      <w:pPr>
        <w:pStyle w:val="Heading3"/>
      </w:pPr>
      <w:r>
        <w:t xml:space="preserve">6.3 Example panels from the codebase</w:t>
      </w:r>
    </w:p>
    <w:p>
      <w:pPr>
        <w:pStyle w:val="FirstParagraph"/>
      </w:pPr>
      <w:r>
        <w:t xml:space="preserve">Below are two concrete examples from this repository that illustrate the contrast:</w:t>
      </w:r>
    </w:p>
    <w:p>
      <w:pPr>
        <w:pStyle w:val="BodyText"/>
      </w:pPr>
      <w:r>
        <w:rPr>
          <w:bCs/>
          <w:b/>
        </w:rPr>
        <w:t xml:space="preserve">(A) SeizeIT2 / ECG+EEG example (ideal behavior)</w:t>
      </w:r>
    </w:p>
    <w:p>
      <w:pPr>
        <w:pStyle w:val="CaptionedFigure"/>
      </w:pPr>
      <w:r>
        <w:drawing>
          <wp:inline>
            <wp:extent cx="5334000" cy="3827600"/>
            <wp:effectExtent b="0" l="0" r="0" t="0"/>
            <wp:docPr descr="SeizeIT2 example panel – rich ECG signal, responsive inference map, and well-balanced confusion matrix" title="" id="43" name="Picture"/>
            <a:graphic>
              <a:graphicData uri="http://schemas.openxmlformats.org/drawingml/2006/picture">
                <pic:pic>
                  <pic:nvPicPr>
                    <pic:cNvPr descr="../models/epoch_visualizations/epoch_025_gt_vs_inference_panel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SeizeIT2 example panel – rich ECG signal, responsive inference map, and well-balanced confusion matrix</w:t>
      </w:r>
    </w:p>
    <w:p>
      <w:pPr>
        <w:numPr>
          <w:ilvl w:val="0"/>
          <w:numId w:val="1044"/>
        </w:numPr>
        <w:pStyle w:val="Compact"/>
      </w:pPr>
      <w:r>
        <w:t xml:space="preserve">Source: SeizeIT2 BIDS run with mobilenet_1d.</w:t>
      </w:r>
    </w:p>
    <w:p>
      <w:pPr>
        <w:numPr>
          <w:ilvl w:val="0"/>
          <w:numId w:val="1044"/>
        </w:numPr>
        <w:pStyle w:val="Compact"/>
      </w:pPr>
      <w:r>
        <w:t xml:space="preserve">Top trace: non-flat ECG proxy with clear morphology and variability.</w:t>
      </w:r>
    </w:p>
    <w:p>
      <w:pPr>
        <w:numPr>
          <w:ilvl w:val="0"/>
          <w:numId w:val="1044"/>
        </w:numPr>
        <w:pStyle w:val="Compact"/>
      </w:pPr>
      <w:r>
        <w:t xml:space="preserve">HR (~30–100 bpm) and HRV traces follow naturally from that signal.</w:t>
      </w:r>
    </w:p>
    <w:p>
      <w:pPr>
        <w:numPr>
          <w:ilvl w:val="0"/>
          <w:numId w:val="1044"/>
        </w:numPr>
        <w:pStyle w:val="Compact"/>
      </w:pPr>
      <w:r>
        <w:t xml:space="preserve">Inference heatmap and countdown tracks respond visibly to preictal dynamics.</w:t>
      </w:r>
    </w:p>
    <w:p>
      <w:pPr>
        <w:numPr>
          <w:ilvl w:val="0"/>
          <w:numId w:val="1044"/>
        </w:numPr>
        <w:pStyle w:val="Compact"/>
      </w:pPr>
      <w:r>
        <w:t xml:space="preserve">Confusion matrix shows high TN and TP rates (e.g., TN~96.5%, TP~99.8%).</w:t>
      </w:r>
    </w:p>
    <w:p>
      <w:pPr>
        <w:pStyle w:val="FirstParagraph"/>
      </w:pPr>
      <w:r>
        <w:rPr>
          <w:bCs/>
          <w:b/>
        </w:rPr>
        <w:t xml:space="preserve">(B) Oregon wearable / PPG+ADXL example (current behavior)</w:t>
      </w:r>
    </w:p>
    <w:p>
      <w:pPr>
        <w:pStyle w:val="CaptionedFigure"/>
      </w:pPr>
      <w:r>
        <w:drawing>
          <wp:inline>
            <wp:extent cx="5334000" cy="3805625"/>
            <wp:effectExtent b="0" l="0" r="0" t="0"/>
            <wp:docPr descr="Wearable example panel – feature-based signal proxy with flatter traces and preictal-dominant confusion on a small window" title="" id="46" name="Picture"/>
            <a:graphic>
              <a:graphicData uri="http://schemas.openxmlformats.org/drawingml/2006/picture">
                <pic:pic>
                  <pic:nvPicPr>
                    <pic:cNvPr descr="../models/epoch_visualizations/epoch_001_gt_vs_inference_panel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5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Wearable example panel – feature-based signal proxy with flatter traces and preictal-dominant confusion on a small window</w:t>
      </w:r>
    </w:p>
    <w:p>
      <w:pPr>
        <w:numPr>
          <w:ilvl w:val="0"/>
          <w:numId w:val="1045"/>
        </w:numPr>
        <w:pStyle w:val="Compact"/>
      </w:pPr>
      <w:r>
        <w:t xml:space="preserve">Source: VSM Study Watch wearable run (PPG + ADXL feature stack).</w:t>
      </w:r>
    </w:p>
    <w:p>
      <w:pPr>
        <w:numPr>
          <w:ilvl w:val="0"/>
          <w:numId w:val="1045"/>
        </w:numPr>
        <w:pStyle w:val="Compact"/>
      </w:pPr>
      <w:r>
        <w:t xml:space="preserve">Top trace: feature-based</w:t>
      </w:r>
      <w:r>
        <w:t xml:space="preserve"> </w:t>
      </w:r>
      <w:r>
        <w:t xml:space="preserve">“</w:t>
      </w:r>
      <w:r>
        <w:t xml:space="preserve">signal proxy</w:t>
      </w:r>
      <w:r>
        <w:t xml:space="preserve">”</w:t>
      </w:r>
      <w:r>
        <w:t xml:space="preserve"> </w:t>
      </w:r>
      <w:r>
        <w:t xml:space="preserve">that is standardized and nearly flat around 0.</w:t>
      </w:r>
    </w:p>
    <w:p>
      <w:pPr>
        <w:numPr>
          <w:ilvl w:val="0"/>
          <w:numId w:val="1045"/>
        </w:numPr>
        <w:pStyle w:val="Compact"/>
      </w:pPr>
      <w:r>
        <w:t xml:space="preserve">HR and HRV proxies are synthetic mappings from window statistics, so they appear much flatter.</w:t>
      </w:r>
    </w:p>
    <w:p>
      <w:pPr>
        <w:numPr>
          <w:ilvl w:val="0"/>
          <w:numId w:val="1045"/>
        </w:numPr>
        <w:pStyle w:val="Compact"/>
      </w:pPr>
      <w:r>
        <w:t xml:space="preserve">Inference map shows less temporal structure, and, on this small 60-minute window, the right-hand confusion tile skews heavily to preictal.</w:t>
      </w:r>
    </w:p>
    <w:p>
      <w:pPr>
        <w:numPr>
          <w:ilvl w:val="0"/>
          <w:numId w:val="1045"/>
        </w:numPr>
        <w:pStyle w:val="Compact"/>
      </w:pPr>
      <w:r>
        <w:t xml:space="preserve">Full test-set confusion matrices and metrics, however, can still show good specificity and accuracy even when a single visualization window looks preictal-heavy.</w:t>
      </w:r>
    </w:p>
    <w:p>
      <w:pPr>
        <w:pStyle w:val="FirstParagraph"/>
      </w:pPr>
      <w:r>
        <w:t xml:space="preserve">In addition to the epoch panels above, the repository now also produces a</w:t>
      </w:r>
      <w:r>
        <w:t xml:space="preserve"> </w:t>
      </w:r>
      <w:r>
        <w:rPr>
          <w:bCs/>
          <w:b/>
        </w:rPr>
        <w:t xml:space="preserve">final GT-vs-inference panel</w:t>
      </w:r>
      <w:r>
        <w:t xml:space="preserve"> </w:t>
      </w:r>
      <w:r>
        <w:t xml:space="preserve">for wearable runs, saved as:</w:t>
      </w:r>
    </w:p>
    <w:p>
      <w:pPr>
        <w:pStyle w:val="CaptionedFigure"/>
      </w:pPr>
      <w:r>
        <w:drawing>
          <wp:inline>
            <wp:extent cx="5334000" cy="3509550"/>
            <wp:effectExtent b="0" l="0" r="0" t="0"/>
            <wp:docPr descr="Final wearable GT vs inference panel (multi-channel wearable signals + HR/HRV + countdown + confusion matrix)" title="" id="49" name="Picture"/>
            <a:graphic>
              <a:graphicData uri="http://schemas.openxmlformats.org/drawingml/2006/picture">
                <pic:pic>
                  <pic:nvPicPr>
                    <pic:cNvPr descr="../models/gt_vs_inference_panel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9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 wearable GT vs inference panel (multi-channel wearable signals + HR/HRV + countdown + confusion matrix)</w:t>
      </w:r>
    </w:p>
    <w:p>
      <w:pPr>
        <w:pStyle w:val="BodyText"/>
      </w:pPr>
      <w:r>
        <w:t xml:space="preserve">This figure summarizes the current behavior of the best wearable model (for example,</w:t>
      </w:r>
      <w:r>
        <w:t xml:space="preserve"> </w:t>
      </w:r>
      <w:r>
        <w:rPr>
          <w:rStyle w:val="VerbatimChar"/>
        </w:rPr>
        <w:t xml:space="preserve">mobilenet_1d</w:t>
      </w:r>
      <w:r>
        <w:t xml:space="preserve"> </w:t>
      </w:r>
      <w:r>
        <w:t xml:space="preserve">on the OHSU VSM dataset) over a longer 120-minute window, using multi-channel wearable signals (PPG+ADXL), HR/HRV traces, countdown references, inference heatmap, and a full confusion matrix. It serves as an alternative, more integrated view of the present progress on the wearable pipeline.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deployment-considerations"/>
    <w:p>
      <w:pPr>
        <w:pStyle w:val="Heading2"/>
      </w:pPr>
      <w:r>
        <w:t xml:space="preserve">7. Deployment Considerations</w:t>
      </w:r>
    </w:p>
    <w:bookmarkStart w:id="53" w:name="Xc745ff286824725f69cea7920d61e71f8ec71fc"/>
    <w:p>
      <w:pPr>
        <w:pStyle w:val="Heading3"/>
      </w:pPr>
      <w:r>
        <w:t xml:space="preserve">7.1 Accessible modalities on smartwatch‑class hardware</w:t>
      </w:r>
    </w:p>
    <w:p>
      <w:pPr>
        <w:numPr>
          <w:ilvl w:val="0"/>
          <w:numId w:val="1046"/>
        </w:numPr>
        <w:pStyle w:val="Compact"/>
      </w:pPr>
      <w:r>
        <w:t xml:space="preserve">Real‑world deployment for a watch is constrained to:</w:t>
      </w:r>
    </w:p>
    <w:p>
      <w:pPr>
        <w:numPr>
          <w:ilvl w:val="1"/>
          <w:numId w:val="1047"/>
        </w:numPr>
        <w:pStyle w:val="Compact"/>
      </w:pPr>
      <w:r>
        <w:t xml:space="preserve">Continuous</w:t>
      </w:r>
      <w:r>
        <w:t xml:space="preserve"> </w:t>
      </w:r>
      <w:r>
        <w:rPr>
          <w:bCs/>
          <w:b/>
        </w:rPr>
        <w:t xml:space="preserve">PPG</w:t>
      </w:r>
      <w:r>
        <w:t xml:space="preserve"> </w:t>
      </w:r>
      <w:r>
        <w:t xml:space="preserve">(for HR/HRV/SpO2‑like metrics).</w:t>
      </w:r>
    </w:p>
    <w:p>
      <w:pPr>
        <w:numPr>
          <w:ilvl w:val="1"/>
          <w:numId w:val="1047"/>
        </w:numPr>
        <w:pStyle w:val="Compact"/>
      </w:pPr>
      <w:r>
        <w:t xml:space="preserve">Continuous</w:t>
      </w:r>
      <w:r>
        <w:t xml:space="preserve"> </w:t>
      </w:r>
      <w:r>
        <w:rPr>
          <w:bCs/>
          <w:b/>
        </w:rPr>
        <w:t xml:space="preserve">accelerometer</w:t>
      </w:r>
      <w:r>
        <w:t xml:space="preserve"> </w:t>
      </w:r>
      <w:r>
        <w:t xml:space="preserve">(and possibly gyroscope).</w:t>
      </w:r>
    </w:p>
    <w:p>
      <w:pPr>
        <w:numPr>
          <w:ilvl w:val="1"/>
          <w:numId w:val="1047"/>
        </w:numPr>
        <w:pStyle w:val="Compact"/>
      </w:pPr>
      <w:r>
        <w:t xml:space="preserve">Optional or intermittent</w:t>
      </w:r>
      <w:r>
        <w:t xml:space="preserve"> </w:t>
      </w:r>
      <w:r>
        <w:rPr>
          <w:bCs/>
          <w:b/>
        </w:rPr>
        <w:t xml:space="preserve">ECG</w:t>
      </w:r>
      <w:r>
        <w:t xml:space="preserve"> </w:t>
      </w:r>
      <w:r>
        <w:t xml:space="preserve">(spot checks, not continuous stream).</w:t>
      </w:r>
    </w:p>
    <w:p>
      <w:pPr>
        <w:numPr>
          <w:ilvl w:val="0"/>
          <w:numId w:val="1046"/>
        </w:numPr>
        <w:pStyle w:val="Compact"/>
      </w:pPr>
      <w:r>
        <w:t xml:space="preserve">No scalp EEG; EMG may be implicit via motion, not direct electrodes.</w:t>
      </w:r>
    </w:p>
    <w:bookmarkEnd w:id="53"/>
    <w:bookmarkStart w:id="54" w:name="matching-training-to-deployment"/>
    <w:p>
      <w:pPr>
        <w:pStyle w:val="Heading3"/>
      </w:pPr>
      <w:r>
        <w:t xml:space="preserve">7.2 Matching training to deployment</w:t>
      </w:r>
    </w:p>
    <w:p>
      <w:pPr>
        <w:pStyle w:val="FirstParagraph"/>
      </w:pPr>
      <w:r>
        <w:t xml:space="preserve">To make the model’s behavior and visualizations trustworthy at deployment: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Match modality set</w:t>
      </w:r>
      <w:r>
        <w:t xml:space="preserve">:</w:t>
      </w:r>
    </w:p>
    <w:p>
      <w:pPr>
        <w:numPr>
          <w:ilvl w:val="1"/>
          <w:numId w:val="1049"/>
        </w:numPr>
        <w:pStyle w:val="Compact"/>
      </w:pPr>
      <w:r>
        <w:t xml:space="preserve">Train primarily on PPG + ADXL features for smartwatch deployment, not on ECG + EEG when those will not be available.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Match sampling regime</w:t>
      </w:r>
      <w:r>
        <w:t xml:space="preserve">:</w:t>
      </w:r>
    </w:p>
    <w:p>
      <w:pPr>
        <w:numPr>
          <w:ilvl w:val="1"/>
          <w:numId w:val="1050"/>
        </w:numPr>
        <w:pStyle w:val="Compact"/>
      </w:pPr>
      <w:r>
        <w:t xml:space="preserve">Align training window length and stride to what the online system will use (e.g., 30–60 s windows with a fixed overlap).</w:t>
      </w:r>
    </w:p>
    <w:p>
      <w:pPr>
        <w:numPr>
          <w:ilvl w:val="1"/>
          <w:numId w:val="1050"/>
        </w:numPr>
        <w:pStyle w:val="Compact"/>
      </w:pPr>
      <w:r>
        <w:t xml:space="preserve">Be explicit about how often predictions are evaluated (e.g., once per window vs. streaming per second).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Re‑interpret metrics and panels</w:t>
      </w:r>
      <w:r>
        <w:t xml:space="preserve">:</w:t>
      </w:r>
    </w:p>
    <w:p>
      <w:pPr>
        <w:numPr>
          <w:ilvl w:val="1"/>
          <w:numId w:val="1051"/>
        </w:numPr>
        <w:pStyle w:val="Compact"/>
      </w:pPr>
      <w:r>
        <w:t xml:space="preserve">Understand that</w:t>
      </w:r>
      <w:r>
        <w:t xml:space="preserve"> </w:t>
      </w:r>
      <w:r>
        <w:t xml:space="preserve">“</w:t>
      </w:r>
      <w:r>
        <w:t xml:space="preserve">flat‑looking</w:t>
      </w:r>
      <w:r>
        <w:t xml:space="preserve">”</w:t>
      </w:r>
      <w:r>
        <w:t xml:space="preserve"> </w:t>
      </w:r>
      <w:r>
        <w:t xml:space="preserve">traces on the wearable dataset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necessarily mean the model is useless; they reflect the abstraction level (features vs. waveform).</w:t>
      </w:r>
    </w:p>
    <w:p>
      <w:pPr>
        <w:numPr>
          <w:ilvl w:val="1"/>
          <w:numId w:val="1051"/>
        </w:numPr>
        <w:pStyle w:val="Compact"/>
      </w:pPr>
      <w:r>
        <w:t xml:space="preserve">Use confusion matrices from</w:t>
      </w:r>
      <w:r>
        <w:t xml:space="preserve"> </w:t>
      </w:r>
      <w:r>
        <w:rPr>
          <w:bCs/>
          <w:b/>
        </w:rPr>
        <w:t xml:space="preserve">full test sets</w:t>
      </w:r>
      <w:r>
        <w:t xml:space="preserve"> </w:t>
      </w:r>
      <w:r>
        <w:t xml:space="preserve">and threshold sweeps to assess sensitivity/specificity and FPR in clinically meaningful terms.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f331b52706576b914577802edaeba80c2a207a8"/>
    <w:p>
      <w:pPr>
        <w:pStyle w:val="Heading2"/>
      </w:pPr>
      <w:r>
        <w:t xml:space="preserve">8. Practical Guidance for Future Development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When building new models</w:t>
      </w:r>
      <w:r>
        <w:t xml:space="preserve">:</w:t>
      </w:r>
    </w:p>
    <w:p>
      <w:pPr>
        <w:numPr>
          <w:ilvl w:val="1"/>
          <w:numId w:val="1053"/>
        </w:numPr>
        <w:pStyle w:val="Compact"/>
      </w:pPr>
      <w:r>
        <w:t xml:space="preserve">For SeizeIT2, continue to exploit ECG + EEG + motion when possible.</w:t>
      </w:r>
    </w:p>
    <w:p>
      <w:pPr>
        <w:numPr>
          <w:ilvl w:val="1"/>
          <w:numId w:val="1053"/>
        </w:numPr>
        <w:pStyle w:val="Compact"/>
      </w:pPr>
      <w:r>
        <w:t xml:space="preserve">For Oregon, design architectures and features around PPG + ADXL as first‑class modalities.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When tuning sampling/windowing</w:t>
      </w:r>
      <w:r>
        <w:t xml:space="preserve">:</w:t>
      </w:r>
    </w:p>
    <w:p>
      <w:pPr>
        <w:numPr>
          <w:ilvl w:val="1"/>
          <w:numId w:val="1054"/>
        </w:numPr>
        <w:pStyle w:val="Compact"/>
      </w:pPr>
      <w:r>
        <w:t xml:space="preserve">Always consider the underlying physical sampling rates (250 Hz vs. 100/50 Hz).</w:t>
      </w:r>
    </w:p>
    <w:p>
      <w:pPr>
        <w:numPr>
          <w:ilvl w:val="1"/>
          <w:numId w:val="1054"/>
        </w:numPr>
        <w:pStyle w:val="Compact"/>
      </w:pPr>
      <w:r>
        <w:t xml:space="preserve">Verify that the number of windows and their duration match intended real‑time behavior.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When interpreting visualizations</w:t>
      </w:r>
      <w:r>
        <w:t xml:space="preserve">:</w:t>
      </w:r>
    </w:p>
    <w:p>
      <w:pPr>
        <w:numPr>
          <w:ilvl w:val="1"/>
          <w:numId w:val="1055"/>
        </w:numPr>
        <w:pStyle w:val="Compact"/>
      </w:pPr>
      <w:r>
        <w:t xml:space="preserve">Expect rich ECG‑like shapes and HR/HRV dynamics in SeizeIT2 panels.</w:t>
      </w:r>
    </w:p>
    <w:p>
      <w:pPr>
        <w:numPr>
          <w:ilvl w:val="1"/>
          <w:numId w:val="1055"/>
        </w:numPr>
        <w:pStyle w:val="Compact"/>
      </w:pPr>
      <w:r>
        <w:t xml:space="preserve">Expect more abstract, possibly flatter traces for feature‑only wearable runs unless raw PPG/ADXL are explicitly plotted.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When thinking about deployment</w:t>
      </w:r>
      <w:r>
        <w:t xml:space="preserve">:</w:t>
      </w:r>
    </w:p>
    <w:p>
      <w:pPr>
        <w:numPr>
          <w:ilvl w:val="1"/>
          <w:numId w:val="1056"/>
        </w:numPr>
        <w:pStyle w:val="Compact"/>
      </w:pPr>
      <w:r>
        <w:t xml:space="preserve">Treat the Oregon dataset as the realistic reference for smartwatch‑class deployment.</w:t>
      </w:r>
    </w:p>
    <w:p>
      <w:pPr>
        <w:numPr>
          <w:ilvl w:val="1"/>
          <w:numId w:val="1056"/>
        </w:numPr>
        <w:pStyle w:val="Compact"/>
      </w:pPr>
      <w:r>
        <w:t xml:space="preserve">Use SeizeIT2 primarily as a high‑fidelity testbed for multimodal algorithms (ECG + EEG + motion), then adapt ideas to the PPG+ADXL regime.</w:t>
      </w:r>
    </w:p>
    <w:p>
      <w:r>
        <w:pict>
          <v:rect style="width:0;height:1.5pt" o:hralign="center" o:hrstd="t" o:hr="t"/>
        </w:pict>
      </w:r>
    </w:p>
    <w:bookmarkEnd w:id="56"/>
    <w:bookmarkStart w:id="59" w:name="X8eab2ef9b744eb12ae8790a661b415c5055d8db"/>
    <w:p>
      <w:pPr>
        <w:pStyle w:val="Heading2"/>
      </w:pPr>
      <w:r>
        <w:t xml:space="preserve">9. Follow‑Up: Flat Wearable Segments and Variance‑Based Filtering</w:t>
      </w:r>
    </w:p>
    <w:p>
      <w:pPr>
        <w:pStyle w:val="FirstParagraph"/>
      </w:pPr>
      <w:r>
        <w:t xml:space="preserve">Subsequent inspection of raw Oregon wearable CSVs revealed that some sensor streams are effectively flat for long spans, particularly in the combined ADPD/ADXL files. For example:</w:t>
      </w:r>
    </w:p>
    <w:p>
      <w:pPr>
        <w:numPr>
          <w:ilvl w:val="0"/>
          <w:numId w:val="1057"/>
        </w:numPr>
        <w:pStyle w:val="Compact"/>
      </w:pPr>
      <w:r>
        <w:t xml:space="preserve">In A181C2C9_ADPD_ADXL_CombinedData_CSV.csv (Participant #7), the ADPD channels</w:t>
      </w:r>
      <w:r>
        <w:t xml:space="preserve"> </w:t>
      </w:r>
      <w:r>
        <w:rPr>
          <w:rStyle w:val="VerbatimChar"/>
        </w:rPr>
        <w:t xml:space="preserve">Ch1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Ch2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 the entire file.</w:t>
      </w:r>
    </w:p>
    <w:p>
      <w:pPr>
        <w:numPr>
          <w:ilvl w:val="0"/>
          <w:numId w:val="1057"/>
        </w:numPr>
        <w:pStyle w:val="Compact"/>
      </w:pPr>
      <w:r>
        <w:t xml:space="preserve">In 90E16C12_ADPD_ADXL_CombinedData_CSV.csv (Participant #1), the accelerometer (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Z</w:t>
      </w:r>
      <w:r>
        <w:t xml:space="preserve">,</w:t>
      </w:r>
      <w:r>
        <w:t xml:space="preserve"> </w:t>
      </w:r>
      <w:r>
        <w:rPr>
          <w:rStyle w:val="VerbatimChar"/>
        </w:rPr>
        <w:t xml:space="preserve">Magnitude</w:t>
      </w:r>
      <w:r>
        <w:t xml:space="preserve">) shows real motion, but upstream ADPD channels can still be degenerate.</w:t>
      </w:r>
    </w:p>
    <w:p>
      <w:pPr>
        <w:pStyle w:val="FirstParagraph"/>
      </w:pPr>
      <w:r>
        <w:t xml:space="preserve">When such flat streams are included in the feature stack, entire windows can end up with (near) zero variance across all channels. These windows:</w:t>
      </w:r>
    </w:p>
    <w:p>
      <w:pPr>
        <w:numPr>
          <w:ilvl w:val="0"/>
          <w:numId w:val="1058"/>
        </w:numPr>
        <w:pStyle w:val="Compact"/>
      </w:pPr>
      <w:r>
        <w:t xml:space="preserve">Contribute nothing useful to training, and</w:t>
      </w:r>
    </w:p>
    <w:p>
      <w:pPr>
        <w:numPr>
          <w:ilvl w:val="0"/>
          <w:numId w:val="1058"/>
        </w:numPr>
        <w:pStyle w:val="Compact"/>
      </w:pPr>
      <w:r>
        <w:t xml:space="preserve">When used as visualization proxies, produce completely flat</w:t>
      </w:r>
      <w:r>
        <w:t xml:space="preserve"> </w:t>
      </w:r>
      <w:r>
        <w:t xml:space="preserve">“</w:t>
      </w:r>
      <w:r>
        <w:t xml:space="preserve">Signal</w:t>
      </w:r>
      <w:r>
        <w:t xml:space="preserve">”</w:t>
      </w:r>
      <w:r>
        <w:t xml:space="preserve">, HR, and HRV traces that do not reflect real physiology.</w:t>
      </w:r>
    </w:p>
    <w:bookmarkStart w:id="57" w:name="X2d00eacab1cb213884b5435c3504587ef922beb"/>
    <w:p>
      <w:pPr>
        <w:pStyle w:val="Heading3"/>
      </w:pPr>
      <w:r>
        <w:t xml:space="preserve">9.1 Implemented Fix: Per‑Window Flatness Filter</w:t>
      </w:r>
    </w:p>
    <w:p>
      <w:pPr>
        <w:pStyle w:val="FirstParagraph"/>
      </w:pPr>
      <w:r>
        <w:t xml:space="preserve">To prevent corrupted or invalid segments from influencing the model or panels, a variance‑based filter was added in the wearable feature extraction pipeline (WearableDeviceDataLoader.extract_features_from_recording):</w:t>
      </w:r>
    </w:p>
    <w:p>
      <w:pPr>
        <w:numPr>
          <w:ilvl w:val="0"/>
          <w:numId w:val="1059"/>
        </w:numPr>
        <w:pStyle w:val="Compact"/>
      </w:pPr>
      <w:r>
        <w:t xml:space="preserve">After building all windows for a recording, compute the standard deviation across all time steps and channels for each window.</w:t>
      </w:r>
    </w:p>
    <w:p>
      <w:pPr>
        <w:numPr>
          <w:ilvl w:val="0"/>
          <w:numId w:val="1059"/>
        </w:numPr>
        <w:pStyle w:val="Compact"/>
      </w:pPr>
      <w:r>
        <w:t xml:space="preserve">Any window with near‑zero variance (std &lt;= 1e‑6) is treated as</w:t>
      </w:r>
      <w:r>
        <w:t xml:space="preserve"> </w:t>
      </w:r>
      <w:r>
        <w:rPr>
          <w:bCs/>
          <w:b/>
        </w:rPr>
        <w:t xml:space="preserve">flat</w:t>
      </w:r>
      <w:r>
        <w:t xml:space="preserve"> </w:t>
      </w:r>
      <w:r>
        <w:t xml:space="preserve">and dropped.</w:t>
      </w:r>
    </w:p>
    <w:p>
      <w:pPr>
        <w:numPr>
          <w:ilvl w:val="0"/>
          <w:numId w:val="1059"/>
        </w:numPr>
        <w:pStyle w:val="Compact"/>
      </w:pPr>
      <w:r>
        <w:t xml:space="preserve">If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windows for a recording are flat, the entire recording is skipped with a warning in the logs.</w:t>
      </w:r>
    </w:p>
    <w:p>
      <w:pPr>
        <w:numPr>
          <w:ilvl w:val="0"/>
          <w:numId w:val="1059"/>
        </w:numPr>
        <w:pStyle w:val="Compact"/>
      </w:pPr>
      <w:r>
        <w:t xml:space="preserve">Otherwise, the loader logs how many windows were dropped vs. kept for that subject/watch.</w:t>
      </w:r>
    </w:p>
    <w:p>
      <w:pPr>
        <w:pStyle w:val="FirstParagraph"/>
      </w:pPr>
      <w:r>
        <w:t xml:space="preserve">This filtering happens before dataset splitting, so flat segments no longer appear in train/val/test and cannot dominate the GT‑vs‑inference panels.</w:t>
      </w:r>
    </w:p>
    <w:bookmarkEnd w:id="57"/>
    <w:bookmarkStart w:id="58" w:name="practical-impact"/>
    <w:p>
      <w:pPr>
        <w:pStyle w:val="Heading3"/>
      </w:pPr>
      <w:r>
        <w:t xml:space="preserve">9.2 Practical Impact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Training</w:t>
      </w:r>
      <w:r>
        <w:t xml:space="preserve">: The model is no longer exposed to windows that are pure artifacts (all‑zero ADPD/ADXL/PPG), reducing noise and potential bias from invalid data.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Visualization</w:t>
      </w:r>
      <w:r>
        <w:t xml:space="preserve">: Epoch and final panels are less likely to show constant 0 or constant 180/20 traces that do not exist in the real sensor dynamics; remaining flatness now reflects true low‑variance behavior, not corrupted exports.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Data hygiene</w:t>
      </w:r>
      <w:r>
        <w:t xml:space="preserve">: This step effectively marks problematic recordings as unusable when they contain only flat windows, while preserving valid motion/PPG segments in mixed‑quality sessions.</w:t>
      </w:r>
    </w:p>
    <w:p>
      <w:pPr>
        <w:pStyle w:val="FirstParagraph"/>
      </w:pPr>
      <w:r>
        <w:t xml:space="preserve">This change should be viewed as a first‑line data‑quality safeguard for the Oregon wearable dataset, sitting alongside the existing alignment and sampling logic.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X589fac9d7e5d0d4a650d11582a0a4887eef5593"/>
    <w:p>
      <w:pPr>
        <w:pStyle w:val="Heading2"/>
      </w:pPr>
      <w:r>
        <w:t xml:space="preserve">10. Current Situation: Visualization Hurdles and Model Behavior</w:t>
      </w:r>
    </w:p>
    <w:p>
      <w:pPr>
        <w:pStyle w:val="FirstParagraph"/>
      </w:pPr>
      <w:r>
        <w:t xml:space="preserve">This section tracks the present set of visualization quirks and modeling hurdles encountered while bringing the Oregon wearable pipeline up to parity with the SeizeIT2 panels.</w:t>
      </w:r>
    </w:p>
    <w:bookmarkStart w:id="60" w:name="Xef0ea6c5b4e19fd3f1940f634d38a7e3a6758c0"/>
    <w:p>
      <w:pPr>
        <w:pStyle w:val="Heading3"/>
      </w:pPr>
      <w:r>
        <w:t xml:space="preserve">10.1 Signal Going into the Model vs. Signal Shown in Panels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Model input (wearable)</w:t>
      </w:r>
      <w:r>
        <w:t xml:space="preserve">:</w:t>
      </w:r>
    </w:p>
    <w:p>
      <w:pPr>
        <w:numPr>
          <w:ilvl w:val="1"/>
          <w:numId w:val="1062"/>
        </w:numPr>
        <w:pStyle w:val="Compact"/>
      </w:pPr>
      <w:r>
        <w:t xml:space="preserve">The model always receives a full feature tensor</w:t>
      </w:r>
      <w:r>
        <w:t xml:space="preserve"> </w:t>
      </w:r>
      <w:r>
        <w:rPr>
          <w:rStyle w:val="VerbatimChar"/>
        </w:rPr>
        <w:t xml:space="preserve">(T, F)</w:t>
      </w:r>
      <w:r>
        <w:t xml:space="preserve"> </w:t>
      </w:r>
      <w:r>
        <w:t xml:space="preserve">per window, built in</w:t>
      </w:r>
      <w:r>
        <w:t xml:space="preserve"> </w:t>
      </w:r>
      <w:r>
        <w:rPr>
          <w:rStyle w:val="VerbatimChar"/>
        </w:rPr>
        <w:t xml:space="preserve">_prepare_wearable_datasets</w:t>
      </w:r>
      <w:r>
        <w:t xml:space="preserve"> </w:t>
      </w:r>
      <w:r>
        <w:t xml:space="preserve">from PPG + ADXL (and any additional wearable channels) via</w:t>
      </w:r>
      <w:r>
        <w:t xml:space="preserve"> </w:t>
      </w:r>
      <w:r>
        <w:rPr>
          <w:rStyle w:val="VerbatimChar"/>
        </w:rPr>
        <w:t xml:space="preserve">_align_feature_matrix</w:t>
      </w:r>
      <w:r>
        <w:t xml:space="preserve">.</w:t>
      </w:r>
    </w:p>
    <w:p>
      <w:pPr>
        <w:numPr>
          <w:ilvl w:val="1"/>
          <w:numId w:val="1062"/>
        </w:numPr>
        <w:pStyle w:val="Compact"/>
      </w:pPr>
      <w:r>
        <w:t xml:space="preserve">During evaluation (</w:t>
      </w:r>
      <w:r>
        <w:rPr>
          <w:rStyle w:val="VerbatimChar"/>
        </w:rPr>
        <w:t xml:space="preserve">Evaluator.collect_predictions</w:t>
      </w:r>
      <w:r>
        <w:t xml:space="preserve">), we pass this tensor to the model without additional filtering beyond float casting and basic NaN sanitization.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Visualization input (epoch / wandb)</w:t>
      </w:r>
      <w:r>
        <w:t xml:space="preserve">:</w:t>
      </w:r>
    </w:p>
    <w:p>
      <w:pPr>
        <w:numPr>
          <w:ilvl w:val="1"/>
          <w:numId w:val="1063"/>
        </w:numPr>
        <w:pStyle w:val="Compact"/>
      </w:pPr>
      <w:r>
        <w:t xml:space="preserve">Epoch panels (logged to wandb) currently use</w:t>
      </w:r>
      <w:r>
        <w:t xml:space="preserve"> </w:t>
      </w:r>
      <w:r>
        <w:rPr>
          <w:bCs/>
          <w:b/>
        </w:rPr>
        <w:t xml:space="preserve">only channel 0</w:t>
      </w:r>
      <w:r>
        <w:t xml:space="preserve"> </w:t>
      </w:r>
      <w:r>
        <w:t xml:space="preserve">as a wearable proxy (PPG‑derived HR series), z‑scored for the top</w:t>
      </w:r>
      <w:r>
        <w:t xml:space="preserve"> </w:t>
      </w:r>
      <w:r>
        <w:t xml:space="preserve">“</w:t>
      </w:r>
      <w:r>
        <w:t xml:space="preserve">Signal</w:t>
      </w:r>
      <w:r>
        <w:t xml:space="preserve">”</w:t>
      </w:r>
      <w:r>
        <w:t xml:space="preserve"> </w:t>
      </w:r>
      <w:r>
        <w:t xml:space="preserve">and kept in native units for the HR subplot.</w:t>
      </w:r>
    </w:p>
    <w:p>
      <w:pPr>
        <w:numPr>
          <w:ilvl w:val="1"/>
          <w:numId w:val="1063"/>
        </w:numPr>
        <w:pStyle w:val="Compact"/>
      </w:pPr>
      <w:r>
        <w:t xml:space="preserve">This means wandb’s top trace is a single‑channel HR proxy, not the full multi‑channel wearable feature bank.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Visualization input (final offline GT‑vs‑inference panel)</w:t>
      </w:r>
      <w:r>
        <w:t xml:space="preserve">:</w:t>
      </w:r>
    </w:p>
    <w:p>
      <w:pPr>
        <w:numPr>
          <w:ilvl w:val="1"/>
          <w:numId w:val="1064"/>
        </w:numPr>
        <w:pStyle w:val="Compact"/>
      </w:pPr>
      <w:r>
        <w:t xml:space="preserve">The final test panel now overlays</w:t>
      </w:r>
      <w:r>
        <w:t xml:space="preserve"> </w:t>
      </w:r>
      <w:r>
        <w:rPr>
          <w:bCs/>
          <w:b/>
        </w:rPr>
        <w:t xml:space="preserve">all wearable feature channels</w:t>
      </w:r>
      <w:r>
        <w:t xml:space="preserve"> </w:t>
      </w:r>
      <w:r>
        <w:t xml:space="preserve">(PPG + ADXL, etc.) by taking a per‑window mean for each channel and standardizing the resulting</w:t>
      </w:r>
      <w:r>
        <w:t xml:space="preserve"> </w:t>
      </w:r>
      <w:r>
        <w:rPr>
          <w:rStyle w:val="VerbatimChar"/>
        </w:rPr>
        <w:t xml:space="preserve">(N_panel, F)</w:t>
      </w:r>
      <w:r>
        <w:t xml:space="preserve"> </w:t>
      </w:r>
      <w:r>
        <w:t xml:space="preserve">matrix.</w:t>
      </w:r>
    </w:p>
    <w:p>
      <w:pPr>
        <w:numPr>
          <w:ilvl w:val="1"/>
          <w:numId w:val="1064"/>
        </w:numPr>
        <w:pStyle w:val="Compact"/>
      </w:pPr>
      <w:r>
        <w:t xml:space="preserve">Matplotlib plots one line per feature column; the legend repeats the same label once per channel (e.g.,</w:t>
      </w:r>
      <w:r>
        <w:t xml:space="preserve"> </w:t>
      </w:r>
      <w:r>
        <w:t xml:space="preserve">“</w:t>
      </w:r>
      <w:r>
        <w:t xml:space="preserve">Wearable signals (PPG+ADXL, z‑score)</w:t>
      </w:r>
      <w:r>
        <w:t xml:space="preserve">”</w:t>
      </w:r>
      <w:r>
        <w:t xml:space="preserve"> </w:t>
      </w:r>
      <w:r>
        <w:t xml:space="preserve">appears multiple times), which can make the top legend crowded while the traces visually overlap.</w:t>
      </w:r>
    </w:p>
    <w:p>
      <w:pPr>
        <w:pStyle w:val="FirstParagraph"/>
      </w:pPr>
      <w:r>
        <w:rPr>
          <w:bCs/>
          <w:b/>
        </w:rPr>
        <w:t xml:space="preserve">Nuance</w:t>
      </w:r>
      <w:r>
        <w:t xml:space="preserve">: The model is always trained and evaluated on the full wearable feature bank; the</w:t>
      </w:r>
      <w:r>
        <w:t xml:space="preserve"> </w:t>
      </w:r>
      <w:r>
        <w:t xml:space="preserve">“</w:t>
      </w:r>
      <w:r>
        <w:t xml:space="preserve">flatness</w:t>
      </w:r>
      <w:r>
        <w:t xml:space="preserve">”</w:t>
      </w:r>
      <w:r>
        <w:t xml:space="preserve"> </w:t>
      </w:r>
      <w:r>
        <w:t xml:space="preserve">users sometimes see in panels is a property of how we summarize that bank (single HR channel vs. multi‑channel overlay), not a change in what the ML model actually sees.</w:t>
      </w:r>
    </w:p>
    <w:bookmarkEnd w:id="60"/>
    <w:bookmarkStart w:id="61" w:name="Xa40dee131249d32876c558a65e464c21ff16f66"/>
    <w:p>
      <w:pPr>
        <w:pStyle w:val="Heading3"/>
      </w:pPr>
      <w:r>
        <w:t xml:space="preserve">10.2 Flat Raw Probabilities and Countdown Predictions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Observation</w:t>
      </w:r>
      <w:r>
        <w:t xml:space="preserve">: In some wearable runs, the GT countdown row shows a proper down‑ramp, but the</w:t>
      </w:r>
      <w:r>
        <w:t xml:space="preserve"> </w:t>
      </w:r>
      <w:r>
        <w:rPr>
          <w:rStyle w:val="VerbatimChar"/>
        </w:rPr>
        <w:t xml:space="preserve">Raw Prob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Pred Countdown/10</w:t>
      </w:r>
      <w:r>
        <w:t xml:space="preserve"> </w:t>
      </w:r>
      <w:r>
        <w:t xml:space="preserve">rows look nearly constant across time.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Code path</w:t>
      </w:r>
      <w:r>
        <w:t xml:space="preserve">:</w:t>
      </w:r>
    </w:p>
    <w:p>
      <w:pPr>
        <w:numPr>
          <w:ilvl w:val="1"/>
          <w:numId w:val="1066"/>
        </w:numPr>
        <w:pStyle w:val="Compact"/>
      </w:pPr>
      <w:r>
        <w:rPr>
          <w:rStyle w:val="VerbatimChar"/>
        </w:rPr>
        <w:t xml:space="preserve">pred_preictal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pred_countdown</w:t>
      </w:r>
      <w:r>
        <w:t xml:space="preserve"> </w:t>
      </w:r>
      <w:r>
        <w:t xml:space="preserve">are taken directly from the model outputs in</w:t>
      </w:r>
      <w:r>
        <w:t xml:space="preserve"> </w:t>
      </w:r>
      <w:r>
        <w:rPr>
          <w:rStyle w:val="VerbatimChar"/>
        </w:rPr>
        <w:t xml:space="preserve">Evaluator.collect_predictions</w:t>
      </w:r>
      <w:r>
        <w:t xml:space="preserve"> </w:t>
      </w:r>
      <w:r>
        <w:t xml:space="preserve">and only clipped to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 </w:t>
      </w:r>
      <w:r>
        <w:t xml:space="preserve">(or divided by 10 and clipped) in the visualization.</w:t>
      </w:r>
    </w:p>
    <w:p>
      <w:pPr>
        <w:numPr>
          <w:ilvl w:val="1"/>
          <w:numId w:val="1066"/>
        </w:numPr>
        <w:pStyle w:val="Compact"/>
      </w:pPr>
      <w:r>
        <w:t xml:space="preserve">No extra smoothing is applied to the heatmap rows; the only smoothing is an optional causal filter used for the overlaid</w:t>
      </w:r>
      <w:r>
        <w:t xml:space="preserve"> </w:t>
      </w:r>
      <w:r>
        <w:t xml:space="preserve">“</w:t>
      </w:r>
      <w:r>
        <w:t xml:space="preserve">Smoothed alarm</w:t>
      </w:r>
      <w:r>
        <w:t xml:space="preserve">”</w:t>
      </w:r>
      <w:r>
        <w:t xml:space="preserve"> </w:t>
      </w:r>
      <w:r>
        <w:t xml:space="preserve">curve.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Interpretation</w:t>
      </w:r>
      <w:r>
        <w:t xml:space="preserve">:</w:t>
      </w:r>
    </w:p>
    <w:p>
      <w:pPr>
        <w:numPr>
          <w:ilvl w:val="1"/>
          <w:numId w:val="1067"/>
        </w:numPr>
        <w:pStyle w:val="Compact"/>
      </w:pPr>
      <w:r>
        <w:t xml:space="preserve">When</w:t>
      </w:r>
      <w:r>
        <w:t xml:space="preserve"> </w:t>
      </w:r>
      <w:r>
        <w:rPr>
          <w:rStyle w:val="VerbatimChar"/>
        </w:rPr>
        <w:t xml:space="preserve">Raw Prob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Pred Countdown/10</w:t>
      </w:r>
      <w:r>
        <w:t xml:space="preserve"> </w:t>
      </w:r>
      <w:r>
        <w:t xml:space="preserve">are nearly constant, this reflects</w:t>
      </w:r>
      <w:r>
        <w:t xml:space="preserve"> </w:t>
      </w:r>
      <w:r>
        <w:rPr>
          <w:bCs/>
          <w:b/>
        </w:rPr>
        <w:t xml:space="preserve">model saturation</w:t>
      </w:r>
      <w:r>
        <w:t xml:space="preserve"> </w:t>
      </w:r>
      <w:r>
        <w:t xml:space="preserve">(e.g., almost‑always‑preictal or almost‑always‑far‑from‑seizure) rather than a plotting bug.</w:t>
      </w:r>
    </w:p>
    <w:p>
      <w:pPr>
        <w:numPr>
          <w:ilvl w:val="1"/>
          <w:numId w:val="1067"/>
        </w:numPr>
        <w:pStyle w:val="Compact"/>
      </w:pPr>
      <w:r>
        <w:t xml:space="preserve">On highly imbalanced wearable segments or small test windows, the model can converge to a nearly constant operating point that still optimizes the loss locally but looks non‑responsive in the panel.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modeling hurdle</w:t>
      </w:r>
      <w:r>
        <w:t xml:space="preserve">, not a visualization one: improving it will require adjusting loss weighting, sampling/augmentation, or architecture so that the learned pre‑ictal probabilities and countdowns vary meaningfully with the wearable input.</w:t>
      </w:r>
    </w:p>
    <w:bookmarkEnd w:id="61"/>
    <w:bookmarkStart w:id="62" w:name="X91fe8e924c04e41470e858af9505f6e9f7994b8"/>
    <w:p>
      <w:pPr>
        <w:pStyle w:val="Heading3"/>
      </w:pPr>
      <w:r>
        <w:t xml:space="preserve">10.3 Offline vs. Wandb Panels: Different Projections, Different Intuition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Offline final panel</w:t>
      </w:r>
      <w:r>
        <w:t xml:space="preserve">:</w:t>
      </w:r>
    </w:p>
    <w:p>
      <w:pPr>
        <w:numPr>
          <w:ilvl w:val="1"/>
          <w:numId w:val="1069"/>
        </w:numPr>
        <w:pStyle w:val="Compact"/>
      </w:pPr>
      <w:r>
        <w:t xml:space="preserve">Uses test data and shows a multi‑channel wearable</w:t>
      </w:r>
      <w:r>
        <w:t xml:space="preserve"> </w:t>
      </w:r>
      <w:r>
        <w:t xml:space="preserve">“</w:t>
      </w:r>
      <w:r>
        <w:t xml:space="preserve">Signal</w:t>
      </w:r>
      <w:r>
        <w:t xml:space="preserve">”</w:t>
      </w:r>
      <w:r>
        <w:t xml:space="preserve"> </w:t>
      </w:r>
      <w:r>
        <w:t xml:space="preserve">(PPG + ADXL and others) with overlaid traces, plus HR/HRV derived from the first wearable feature channel.</w:t>
      </w:r>
    </w:p>
    <w:p>
      <w:pPr>
        <w:numPr>
          <w:ilvl w:val="1"/>
          <w:numId w:val="1069"/>
        </w:numPr>
        <w:pStyle w:val="Compact"/>
      </w:pPr>
      <w:r>
        <w:t xml:space="preserve">Often looks more</w:t>
      </w:r>
      <w:r>
        <w:t xml:space="preserve"> </w:t>
      </w:r>
      <w:r>
        <w:t xml:space="preserve">“</w:t>
      </w:r>
      <w:r>
        <w:t xml:space="preserve">alive</w:t>
      </w:r>
      <w:r>
        <w:t xml:space="preserve">”</w:t>
      </w:r>
      <w:r>
        <w:t xml:space="preserve"> </w:t>
      </w:r>
      <w:r>
        <w:t xml:space="preserve">on top because motion channels contribute visible variability even when HR is relatively smooth.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Wandb epoch panels</w:t>
      </w:r>
      <w:r>
        <w:t xml:space="preserve">:</w:t>
      </w:r>
    </w:p>
    <w:p>
      <w:pPr>
        <w:numPr>
          <w:ilvl w:val="1"/>
          <w:numId w:val="1070"/>
        </w:numPr>
        <w:pStyle w:val="Compact"/>
      </w:pPr>
      <w:r>
        <w:t xml:space="preserve">Use validation data and a 60‑minute metadata‑driven window.</w:t>
      </w:r>
    </w:p>
    <w:p>
      <w:pPr>
        <w:numPr>
          <w:ilvl w:val="1"/>
          <w:numId w:val="1070"/>
        </w:numPr>
        <w:pStyle w:val="Compact"/>
      </w:pPr>
      <w:r>
        <w:t xml:space="preserve">Top</w:t>
      </w:r>
      <w:r>
        <w:t xml:space="preserve"> </w:t>
      </w:r>
      <w:r>
        <w:t xml:space="preserve">“</w:t>
      </w:r>
      <w:r>
        <w:t xml:space="preserve">Signal</w:t>
      </w:r>
      <w:r>
        <w:t xml:space="preserve">”</w:t>
      </w:r>
      <w:r>
        <w:t xml:space="preserve"> </w:t>
      </w:r>
      <w:r>
        <w:t xml:space="preserve">is currently just the z‑scored HR proxy from channel 0; HR/HRV subplots are the corresponding per‑window mean/std.</w:t>
      </w:r>
    </w:p>
    <w:p>
      <w:pPr>
        <w:numPr>
          <w:ilvl w:val="1"/>
          <w:numId w:val="1070"/>
        </w:numPr>
        <w:pStyle w:val="Compact"/>
      </w:pPr>
      <w:r>
        <w:t xml:space="preserve">Depending on which validation window is selected, these series can appear quite flat, especially when the chosen segment is physiologically quiet or dominated by low‑variance engineered features.</w:t>
      </w:r>
    </w:p>
    <w:p>
      <w:pPr>
        <w:pStyle w:val="FirstParagraph"/>
      </w:pPr>
      <w:r>
        <w:rPr>
          <w:bCs/>
          <w:b/>
        </w:rPr>
        <w:t xml:space="preserve">Current hurdle</w:t>
      </w:r>
      <w:r>
        <w:t xml:space="preserve">: The mismatch between HR‑only wandb panels and multi‑channel offline panels can be confusing when debugging. A future alignment step is to reuse the same multi‑channel wearable projection for epoch panels so that wandb and offline views share the same notion of</w:t>
      </w:r>
      <w:r>
        <w:t xml:space="preserve"> </w:t>
      </w:r>
      <w:r>
        <w:t xml:space="preserve">“</w:t>
      </w:r>
      <w:r>
        <w:t xml:space="preserve">Signal</w:t>
      </w:r>
      <w:r>
        <w:t xml:space="preserve">”</w:t>
      </w:r>
      <w:r>
        <w:t xml:space="preserve"> </w:t>
      </w:r>
      <w:r>
        <w:t xml:space="preserve">while still keeping HR/HRV subplots interpretable.</w:t>
      </w:r>
    </w:p>
    <w:bookmarkEnd w:id="62"/>
    <w:bookmarkStart w:id="63" w:name="Xf962aabef20fff76451cb1eb76cd0414c2bdded"/>
    <w:p>
      <w:pPr>
        <w:pStyle w:val="Heading3"/>
      </w:pPr>
      <w:r>
        <w:t xml:space="preserve">10.4 Legend and Readability Issues for Wearable Signals</w:t>
      </w:r>
    </w:p>
    <w:p>
      <w:pPr>
        <w:numPr>
          <w:ilvl w:val="0"/>
          <w:numId w:val="1071"/>
        </w:numPr>
        <w:pStyle w:val="Compact"/>
      </w:pPr>
      <w:r>
        <w:t xml:space="preserve">Because the final panel now overlays one line per wearable feature channel, Matplotlib creates one legend entry per channel using the same label.</w:t>
      </w:r>
    </w:p>
    <w:p>
      <w:pPr>
        <w:numPr>
          <w:ilvl w:val="0"/>
          <w:numId w:val="1071"/>
        </w:numPr>
        <w:pStyle w:val="Compact"/>
      </w:pPr>
      <w:r>
        <w:t xml:space="preserve">This leads to legends with repeated text (e.g., the same</w:t>
      </w:r>
      <w:r>
        <w:t xml:space="preserve"> </w:t>
      </w:r>
      <w:r>
        <w:t xml:space="preserve">“</w:t>
      </w:r>
      <w:r>
        <w:t xml:space="preserve">Wearable signals (PPG+ADXL, z‑score)</w:t>
      </w:r>
      <w:r>
        <w:t xml:space="preserve">”</w:t>
      </w:r>
      <w:r>
        <w:t xml:space="preserve"> </w:t>
      </w:r>
      <w:r>
        <w:t xml:space="preserve">label 5–7 times) and can obscure more important legend entries (GT preictal, predicted preictal, seizure onset).</w:t>
      </w:r>
    </w:p>
    <w:p>
      <w:pPr>
        <w:pStyle w:val="FirstParagraph"/>
      </w:pPr>
      <w:r>
        <w:rPr>
          <w:bCs/>
          <w:b/>
        </w:rPr>
        <w:t xml:space="preserve">Planned refinement</w:t>
      </w:r>
      <w:r>
        <w:t xml:space="preserve">:</w:t>
      </w:r>
    </w:p>
    <w:p>
      <w:pPr>
        <w:numPr>
          <w:ilvl w:val="0"/>
          <w:numId w:val="1072"/>
        </w:numPr>
        <w:pStyle w:val="Compact"/>
      </w:pPr>
      <w:r>
        <w:t xml:space="preserve">Collapse the wearable channels into one or two logically named groups in the legend (e.g., a single</w:t>
      </w:r>
      <w:r>
        <w:t xml:space="preserve"> </w:t>
      </w:r>
      <w:r>
        <w:t xml:space="preserve">“</w:t>
      </w:r>
      <w:r>
        <w:t xml:space="preserve">PPG features</w:t>
      </w:r>
      <w:r>
        <w:t xml:space="preserve">”</w:t>
      </w:r>
      <w:r>
        <w:t xml:space="preserve"> </w:t>
      </w:r>
      <w:r>
        <w:t xml:space="preserve">entry and a single</w:t>
      </w:r>
      <w:r>
        <w:t xml:space="preserve"> </w:t>
      </w:r>
      <w:r>
        <w:t xml:space="preserve">“</w:t>
      </w:r>
      <w:r>
        <w:t xml:space="preserve">Motion features</w:t>
      </w:r>
      <w:r>
        <w:t xml:space="preserve">”</w:t>
      </w:r>
      <w:r>
        <w:t xml:space="preserve"> </w:t>
      </w:r>
      <w:r>
        <w:t xml:space="preserve">entry), while still plotting multiple lines, or selectively plot only the most informative subset of channels.</w:t>
      </w:r>
    </w:p>
    <w:bookmarkEnd w:id="63"/>
    <w:bookmarkStart w:id="64" w:name="summary-of-open-visualization-tasks"/>
    <w:p>
      <w:pPr>
        <w:pStyle w:val="Heading3"/>
      </w:pPr>
      <w:r>
        <w:t xml:space="preserve">10.5 Summary of Open Visualization Tasks</w:t>
      </w:r>
    </w:p>
    <w:p>
      <w:pPr>
        <w:numPr>
          <w:ilvl w:val="0"/>
          <w:numId w:val="1073"/>
        </w:numPr>
        <w:pStyle w:val="Compact"/>
      </w:pPr>
      <w:r>
        <w:t xml:space="preserve">Unify signal projections between wandb epoch panels and offline final panels for wearable runs.</w:t>
      </w:r>
    </w:p>
    <w:p>
      <w:pPr>
        <w:numPr>
          <w:ilvl w:val="0"/>
          <w:numId w:val="1073"/>
        </w:numPr>
        <w:pStyle w:val="Compact"/>
      </w:pPr>
      <w:r>
        <w:t xml:space="preserve">Improve legends and labeling when multiple wearable channels are overlaid, avoiding repeated labels.</w:t>
      </w:r>
    </w:p>
    <w:p>
      <w:pPr>
        <w:numPr>
          <w:ilvl w:val="0"/>
          <w:numId w:val="1073"/>
        </w:numPr>
        <w:pStyle w:val="Compact"/>
      </w:pPr>
      <w:r>
        <w:t xml:space="preserve">Add lightweight diagnostics (min/max/std logs) for</w:t>
      </w:r>
      <w:r>
        <w:t xml:space="preserve"> </w:t>
      </w:r>
      <w:r>
        <w:rPr>
          <w:rStyle w:val="VerbatimChar"/>
        </w:rPr>
        <w:t xml:space="preserve">pred_preictal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pred_countdown</w:t>
      </w:r>
      <w:r>
        <w:t xml:space="preserve"> </w:t>
      </w:r>
      <w:r>
        <w:t xml:space="preserve">on wearable runs to distinguish true model saturation from visualization scaling issues.</w:t>
      </w:r>
    </w:p>
    <w:p>
      <w:pPr>
        <w:numPr>
          <w:ilvl w:val="0"/>
          <w:numId w:val="1073"/>
        </w:numPr>
        <w:pStyle w:val="Compact"/>
      </w:pPr>
      <w:r>
        <w:t xml:space="preserve">Consider exposing a separate</w:t>
      </w:r>
      <w:r>
        <w:t xml:space="preserve"> </w:t>
      </w:r>
      <w:r>
        <w:t xml:space="preserve">“</w:t>
      </w:r>
      <w:r>
        <w:t xml:space="preserve">waveform</w:t>
      </w:r>
      <w:r>
        <w:t xml:space="preserve">”</w:t>
      </w:r>
      <w:r>
        <w:t xml:space="preserve"> </w:t>
      </w:r>
      <w:r>
        <w:t xml:space="preserve">view that plots a raw or downsampled PPG/ADXL segment alongside the feature‑based GT‑vs‑inference panel for richer qualitative analysis.</w:t>
      </w:r>
    </w:p>
    <w:p>
      <w:pPr>
        <w:pStyle w:val="FirstParagraph"/>
      </w:pPr>
      <w:r>
        <w:t xml:space="preserve">These items currently represent the main interpretability and debugging hurdles for the Oregon wearable pipeline, even after the flat‑window variance filtering has been applied.</w:t>
      </w:r>
    </w:p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27" Target="../..//media/tnzr/HDD11/Datasets/WearablwDevice-Oregon/Readme" TargetMode="External" /><Relationship Type="http://schemas.openxmlformats.org/officeDocument/2006/relationships/hyperlink" Id="rId21" Target="../..//media/tnzr/HDD11/Datasets/ds005873/READ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..//media/tnzr/HDD11/Datasets/WearablwDevice-Oregon/Readme" TargetMode="External" /><Relationship Type="http://schemas.openxmlformats.org/officeDocument/2006/relationships/hyperlink" Id="rId21" Target="../..//media/tnzr/HDD11/Datasets/ds005873/READ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2026-03-25T06:22:26Z</dcterms:created>
  <dcterms:modified xsi:type="dcterms:W3CDTF">2026-03-25T06:22:26Z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