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lang w:val="en-US" w:eastAsia="zh-CN"/>
        </w:rPr>
        <w:t>双臂电桥测低电阻</w:t>
      </w:r>
      <w:r>
        <w:rPr>
          <w:rFonts w:hint="eastAsia"/>
          <w:b/>
          <w:sz w:val="32"/>
          <w:szCs w:val="32"/>
        </w:rPr>
        <w:t>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</w:t>
      </w:r>
      <w:r>
        <w:rPr>
          <w:rFonts w:hint="eastAsia"/>
          <w:b/>
          <w:sz w:val="32"/>
          <w:szCs w:val="32"/>
          <w:lang w:val="en-US" w:eastAsia="zh-CN"/>
        </w:rPr>
        <w:t>王鲲</w:t>
      </w:r>
      <w:r>
        <w:rPr>
          <w:rFonts w:hint="eastAsia"/>
          <w:b/>
          <w:sz w:val="32"/>
          <w:szCs w:val="32"/>
        </w:rPr>
        <w:t>______________________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F98A384">
      <w:pPr>
        <w:jc w:val="right"/>
        <w:rPr>
          <w:b/>
          <w:sz w:val="24"/>
          <w:szCs w:val="24"/>
          <w:u w:val="single"/>
        </w:rPr>
      </w:pPr>
    </w:p>
    <w:p w14:paraId="41604098">
      <w:pPr>
        <w:jc w:val="right"/>
        <w:rPr>
          <w:b/>
          <w:sz w:val="24"/>
          <w:szCs w:val="24"/>
          <w:u w:val="single"/>
        </w:rPr>
      </w:pPr>
    </w:p>
    <w:p w14:paraId="03B7378A">
      <w:pPr>
        <w:jc w:val="right"/>
        <w:rPr>
          <w:b/>
          <w:sz w:val="24"/>
          <w:szCs w:val="24"/>
          <w:u w:val="single"/>
        </w:rPr>
      </w:pPr>
    </w:p>
    <w:p w14:paraId="7F789487">
      <w:pPr>
        <w:jc w:val="right"/>
        <w:rPr>
          <w:b/>
          <w:sz w:val="24"/>
          <w:szCs w:val="24"/>
          <w:u w:val="single"/>
        </w:rPr>
      </w:pPr>
    </w:p>
    <w:p w14:paraId="5A365643">
      <w:pPr>
        <w:jc w:val="right"/>
        <w:rPr>
          <w:b/>
          <w:sz w:val="24"/>
          <w:szCs w:val="24"/>
          <w:u w:val="single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32A6BCB4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5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783350A8">
      <w:pPr>
        <w:jc w:val="left"/>
        <w:rPr>
          <w:rFonts w:hint="eastAsia" w:ascii="Times New Roman" w:hAnsi="Times New Roman" w:eastAsia="仿宋" w:cs="Times New Roman"/>
          <w:b/>
          <w:bCs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323E4AC0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1. 实验目的</w:t>
      </w:r>
    </w:p>
    <w:p w14:paraId="68363C83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掌握直流双臂电桥（开尔文电桥）测量低值电阻的原理和操作方法；</w:t>
      </w:r>
    </w:p>
    <w:p w14:paraId="6E6A3540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了解单臂电桥与双臂电桥的区别与联系；</w:t>
      </w:r>
    </w:p>
    <w:p w14:paraId="28D99BC2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学习使用四端法接线以减小接触电阻和引线电阻的影响；</w:t>
      </w:r>
    </w:p>
    <w:p w14:paraId="0EBB4113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测量金属导体的电阻率及其温度系数。</w:t>
      </w:r>
    </w:p>
    <w:p w14:paraId="5BCA048E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486479DE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2. 实验原理</w:t>
      </w:r>
    </w:p>
    <w:p w14:paraId="0391AA5F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问题背景：在测量低电阻时，引线电阻和接触电阻（通常为0.01–1 Ω）会引入显著误差。</w:t>
      </w:r>
    </w:p>
    <w:p w14:paraId="1AEFDD97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四端法：通过将电流端（C1、C2）和电位端（P1、P2）分开，将附加电阻“转移”出测量回路，从而准确测量待测电阻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Rx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。</w:t>
      </w:r>
    </w:p>
    <w:p w14:paraId="66D735E4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双臂电桥结构：在惠斯登电桥基础上增加一对比例臂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R3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、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R4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，并用粗导线（r&lt;0.001Ω）连接 </w:t>
      </w:r>
    </w:p>
    <w:p w14:paraId="1FBD7E2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Rx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和标准电阻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Rs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。</w:t>
      </w:r>
    </w:p>
    <w:p w14:paraId="70EF5D1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68916135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平衡条件：当电桥平衡时（检流计指示为零），若满足</w:t>
      </w:r>
    </w:p>
    <w:p w14:paraId="59B5714D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30CE0F2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 w14:paraId="6FD5B337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，则有：</w:t>
      </w:r>
    </w:p>
    <w:p w14:paraId="5F4CE11F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br w:type="textWrapping"/>
      </w:r>
      <m:oMathPara>
        <m:oMath>
          <m:r>
            <m:rPr>
              <m:sty m:val="p"/>
            </m:rPr>
            <w:rPr>
              <w:rFonts w:hint="default" w:ascii="Cambria Math" w:hAnsi="Cambria Math" w:eastAsia="仿宋" w:cs="Times New Roman"/>
              <w:kern w:val="2"/>
              <w:sz w:val="24"/>
              <w:szCs w:val="24"/>
              <w:lang w:val="en-US" w:eastAsia="zh-CN" w:bidi="ar-SA"/>
            </w:rPr>
            <m:t>Rx=</m:t>
          </m:r>
          <m:f>
            <m:f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仿宋" w:cs="Times New Roman"/>
                  <w:kern w:val="2"/>
                  <w:sz w:val="24"/>
                  <w:szCs w:val="24"/>
                  <w:lang w:val="en-US" w:eastAsia="zh-CN" w:bidi="ar-SA"/>
                </w:rPr>
                <m:t>R1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仿宋" w:cs="Times New Roman"/>
                  <w:kern w:val="2"/>
                  <w:sz w:val="24"/>
                  <w:szCs w:val="24"/>
                  <w:lang w:val="en-US" w:eastAsia="zh-CN" w:bidi="ar-SA"/>
                </w:rPr>
                <m:t>R2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仿宋" w:cs="Times New Roman"/>
              <w:kern w:val="2"/>
              <w:sz w:val="24"/>
              <w:szCs w:val="24"/>
              <w:lang w:val="en-US" w:eastAsia="zh-CN" w:bidi="ar-SA"/>
            </w:rPr>
            <m:t>Rs</m:t>
          </m:r>
        </m:oMath>
      </m:oMathPara>
    </w:p>
    <w:p w14:paraId="3998970F">
      <w:pPr>
        <w:jc w:val="left"/>
        <w:rPr>
          <w:rFonts w:hint="eastAsia" w:ascii="宋体" w:hAnsi="宋体"/>
          <w:b w:val="0"/>
          <w:bCs w:val="0"/>
          <w:sz w:val="24"/>
          <w:szCs w:val="24"/>
        </w:rPr>
      </w:pPr>
    </w:p>
    <w:p w14:paraId="7207D1D7">
      <w:pPr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eastAsia" w:ascii="宋体" w:hAnsi="宋体" w:eastAsiaTheme="minorEastAsia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3522345" cy="2545080"/>
            <wp:effectExtent l="0" t="0" r="8255" b="7620"/>
            <wp:docPr id="10" name="图片 10" descr="445f242a93cb9a475a5dab817d5c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45f242a93cb9a475a5dab817d5c21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320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温度系数：金属电阻随温度变化近似为线性关系：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Rt=R0（1+αt），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其中α为电阻温度系数。</w:t>
      </w:r>
    </w:p>
    <w:p w14:paraId="2038EEB6">
      <w:pPr>
        <w:pStyle w:val="15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34F81821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二、 实验重点</w:t>
      </w:r>
    </w:p>
    <w:p w14:paraId="187CC7D3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sz w:val="24"/>
          <w:szCs w:val="24"/>
        </w:rPr>
        <w:t>四端法接线：必须正确识别并连接待测电阻的电流端和电位端。这是实验成功的基础，接错线将导致测量失败。</w:t>
      </w:r>
    </w:p>
    <w:p w14:paraId="02952E75">
      <w:pPr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sz w:val="24"/>
          <w:szCs w:val="24"/>
        </w:rPr>
        <w:t>规范的电桥调节流程：</w:t>
      </w:r>
    </w:p>
    <w:p w14:paraId="205078C7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遵循“先开电源，后开检流计；先断检流计，后断电源”的操作顺序，以保护灵敏的检流计。</w:t>
      </w:r>
    </w:p>
    <w:p w14:paraId="2B26E546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调节时遵循“从低灵敏度到高灵敏度”的原则，先粗调后细调，逐步逼近平衡点。</w:t>
      </w:r>
    </w:p>
    <w:p w14:paraId="562D8F2E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</w:rPr>
        <w:t>倍率的合理选择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根据待测电阻的估计值，选择合适的倍率档位，使读数有效位数最多，测量最精确。</w:t>
      </w:r>
    </w:p>
    <w:p w14:paraId="6C0585D3">
      <w:pPr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</w:rPr>
        <w:t>电阻率的测量：需准确测量金属导体的几何尺寸（长度和直径），其测量精度直接影响最终电阻率计算结果的可信度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52889808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</w:rPr>
        <w:t>温度系数的测量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在升温或降温过程中，需耐心等待温度稳定后再读取对应的电阻值，并记录足够多的数据点以描绘电阻-温度关系曲线。</w:t>
      </w:r>
    </w:p>
    <w:p w14:paraId="5D3D415F">
      <w:pPr>
        <w:jc w:val="left"/>
        <w:rPr>
          <w:rFonts w:hint="eastAsia" w:ascii="仿宋" w:hAnsi="仿宋" w:eastAsia="仿宋" w:cs="仿宋"/>
          <w:sz w:val="24"/>
          <w:szCs w:val="24"/>
        </w:rPr>
      </w:pPr>
    </w:p>
    <w:p w14:paraId="1201CAE2">
      <w:pPr>
        <w:jc w:val="left"/>
        <w:rPr>
          <w:rFonts w:hint="eastAsia" w:ascii="仿宋" w:hAnsi="仿宋" w:eastAsia="仿宋" w:cs="仿宋"/>
          <w:sz w:val="24"/>
          <w:szCs w:val="24"/>
        </w:rPr>
      </w:pPr>
    </w:p>
    <w:p w14:paraId="69D0ECC2">
      <w:pPr>
        <w:jc w:val="left"/>
        <w:rPr>
          <w:rFonts w:ascii="宋体" w:hAnsi="宋体"/>
          <w:sz w:val="24"/>
          <w:szCs w:val="24"/>
        </w:rPr>
      </w:pPr>
    </w:p>
    <w:p w14:paraId="0F17B236">
      <w:pPr>
        <w:jc w:val="left"/>
        <w:rPr>
          <w:rFonts w:ascii="宋体" w:hAnsi="宋体"/>
          <w:sz w:val="24"/>
          <w:szCs w:val="24"/>
        </w:rPr>
      </w:pP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3202488C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411F6DB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sz w:val="24"/>
          <w:szCs w:val="24"/>
        </w:rPr>
        <w:t>电桥的精细平衡： 在高灵敏度档位下，电桥非常灵敏，轻微扰动都可能导致检流计指针剧烈偏转。需要极大的耐心和细致的操作来找到真正的平衡点。</w:t>
      </w:r>
    </w:p>
    <w:p w14:paraId="57E32B59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sz w:val="24"/>
          <w:szCs w:val="24"/>
        </w:rPr>
        <w:t>误差的识别与控制：</w:t>
      </w:r>
    </w:p>
    <w:p w14:paraId="2D0FAE11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尽管采用了四端法，但接触不良、热电动势等因素仍可能引入微小误差。</w:t>
      </w:r>
    </w:p>
    <w:p w14:paraId="42E8E358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理论上要求两对比率臂严格同步，实际中难以完全实现，理解这一误差来源有助于正确分析实验结果。</w:t>
      </w:r>
    </w:p>
    <w:p w14:paraId="06E2BDF6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</w:rPr>
        <w:t>温度控制的稳定性： 在测量温度系数时，加热和冷却过程可能不均匀，导致温度读数波动。如何确保“温度”与“电阻”读数的对应关系准确可靠是一个挑战。</w:t>
      </w:r>
    </w:p>
    <w:p w14:paraId="2CEC5C89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</w:rPr>
        <w:t>数据处理的复杂性：计算电阻率的不确定度时，需要综合考量电阻、长度、直径等多个直接测量量的不确定性，过程较为繁琐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24"/>
        </w:rPr>
        <w:t>处理温度系数数据时，无论是采用逐点计算还是作图法，都需严谨细致，容易在计算过程中出错。</w:t>
      </w: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2DF01B99">
      <w:pPr>
        <w:jc w:val="left"/>
        <w:rPr>
          <w:rFonts w:ascii="宋体" w:hAnsi="宋体"/>
          <w:sz w:val="24"/>
          <w:szCs w:val="24"/>
        </w:rPr>
      </w:pPr>
    </w:p>
    <w:p w14:paraId="32EE0311">
      <w:pPr>
        <w:jc w:val="left"/>
        <w:rPr>
          <w:rFonts w:ascii="宋体" w:hAnsi="宋体"/>
          <w:sz w:val="24"/>
          <w:szCs w:val="24"/>
        </w:rPr>
      </w:pPr>
    </w:p>
    <w:p w14:paraId="0342EAB4">
      <w:pPr>
        <w:spacing w:line="400" w:lineRule="exact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44BB0FA7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587875" cy="7002780"/>
            <wp:effectExtent l="0" t="0" r="9525" b="7620"/>
            <wp:docPr id="1" name="图片 1" descr="a56d6dc8b5bdb6d4e38920851209b9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6d6dc8b5bdb6d4e38920851209b9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22F">
      <w:pPr>
        <w:jc w:val="left"/>
        <w:rPr>
          <w:sz w:val="24"/>
          <w:szCs w:val="24"/>
        </w:rPr>
      </w:pPr>
    </w:p>
    <w:p w14:paraId="5C126737">
      <w:pPr>
        <w:jc w:val="left"/>
        <w:rPr>
          <w:sz w:val="24"/>
          <w:szCs w:val="24"/>
        </w:rPr>
      </w:pPr>
    </w:p>
    <w:p w14:paraId="536BF5C4">
      <w:pPr>
        <w:jc w:val="left"/>
        <w:rPr>
          <w:sz w:val="24"/>
          <w:szCs w:val="24"/>
        </w:rPr>
      </w:pPr>
    </w:p>
    <w:p w14:paraId="00CEBDEE">
      <w:pPr>
        <w:jc w:val="left"/>
        <w:rPr>
          <w:sz w:val="24"/>
          <w:szCs w:val="24"/>
        </w:rPr>
      </w:pPr>
    </w:p>
    <w:p w14:paraId="6DE98A1B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数据处理与结果</w:t>
      </w:r>
    </w:p>
    <w:p w14:paraId="156FC315">
      <w:pP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（列出数据表格、选择适合的数据处理方法、写出测量或计算结果。）</w:t>
      </w:r>
    </w:p>
    <w:p w14:paraId="2CFAA2D8">
      <w:pPr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实验一：</w:t>
      </w:r>
    </w:p>
    <w:p w14:paraId="5DE5D6B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846"/>
        <w:gridCol w:w="1846"/>
      </w:tblGrid>
      <w:tr w14:paraId="7128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46" w:type="dxa"/>
          </w:tcPr>
          <w:p w14:paraId="2D03A924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R/Ω</w:t>
            </w:r>
          </w:p>
        </w:tc>
        <w:tc>
          <w:tcPr>
            <w:tcW w:w="1846" w:type="dxa"/>
          </w:tcPr>
          <w:p w14:paraId="777ECF5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L/cm</w:t>
            </w:r>
          </w:p>
        </w:tc>
        <w:tc>
          <w:tcPr>
            <w:tcW w:w="1846" w:type="dxa"/>
          </w:tcPr>
          <w:p w14:paraId="169CA0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d/mm</w:t>
            </w:r>
          </w:p>
        </w:tc>
      </w:tr>
      <w:tr w14:paraId="386C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846" w:type="dxa"/>
          </w:tcPr>
          <w:p w14:paraId="3BCF25B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5.212×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vertAlign w:val="baseline"/>
                      <w:lang w:val="en-US" w:eastAsia="zh-CN"/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vertAlign w:val="baseline"/>
                      <w:lang w:val="en-US" w:eastAsia="zh-CN"/>
                    </w:rPr>
                    <m:t>−4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sup>
              </m:sSup>
            </m:oMath>
          </w:p>
        </w:tc>
        <w:tc>
          <w:tcPr>
            <w:tcW w:w="1846" w:type="dxa"/>
          </w:tcPr>
          <w:p w14:paraId="1E3FAE22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24.90</w:t>
            </w:r>
          </w:p>
        </w:tc>
        <w:tc>
          <w:tcPr>
            <w:tcW w:w="1846" w:type="dxa"/>
          </w:tcPr>
          <w:p w14:paraId="627D863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4.02</w:t>
            </w:r>
          </w:p>
        </w:tc>
      </w:tr>
    </w:tbl>
    <w:p w14:paraId="28B035A7">
      <w:pPr>
        <w:jc w:val="left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统一单位后，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ρ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π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d</m:t>
            </m:r>
            <m:r>
              <m:rPr/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²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4L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=2.66</m:t>
        </m:r>
        <m:r>
          <m:rPr/>
          <w:rPr>
            <w:rFonts w:hint="eastAsia" w:ascii="Cambria Math" w:hAnsi="Cambria Math"/>
            <w:sz w:val="24"/>
            <w:szCs w:val="24"/>
            <w:lang w:val="en-US" w:eastAsia="zh-CN"/>
          </w:rPr>
          <m:t>×</m:t>
        </m:r>
        <m:sSup>
          <m:sSupPr>
            <m:ctrlPr>
              <w:rPr>
                <w:rFonts w:hint="eastAsia" w:ascii="Cambria Math" w:hAnsi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eastAsia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−8</m:t>
            </m:r>
            <m:ctrlPr>
              <w:rPr>
                <w:rFonts w:hint="eastAsia" w:ascii="Cambria Math" w:hAnsi="Cambria Math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Ω</m:t>
        </m:r>
        <m:r>
          <m:rPr/>
          <w:rPr>
            <w:rFonts w:hint="eastAsia" w:ascii="Cambria Math" w:hAnsi="Cambria Math"/>
            <w:sz w:val="24"/>
            <w:szCs w:val="24"/>
            <w:lang w:val="en-US" w:eastAsia="zh-CN"/>
          </w:rPr>
          <m:t>·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m</m:t>
        </m:r>
      </m:oMath>
    </w:p>
    <w:p w14:paraId="2D1C6923">
      <w:pPr>
        <w:jc w:val="left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不确定度的计算：</w:t>
      </w:r>
    </w:p>
    <w:p w14:paraId="62A95B5D">
      <w:pPr>
        <w:jc w:val="left"/>
      </w:pPr>
      <w:r>
        <w:drawing>
          <wp:inline distT="0" distB="0" distL="114300" distR="114300">
            <wp:extent cx="3923665" cy="492760"/>
            <wp:effectExtent l="0" t="0" r="63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4299"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13505" cy="458470"/>
            <wp:effectExtent l="0" t="0" r="10795" b="11430"/>
            <wp:docPr id="5" name="图片 5" descr="8c43a57bee3f2b64959cc068f5a63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c43a57bee3f2b64959cc068f5a636e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A17">
      <w:pPr>
        <w:jc w:val="left"/>
      </w:pPr>
      <w:r>
        <w:drawing>
          <wp:inline distT="0" distB="0" distL="114300" distR="114300">
            <wp:extent cx="4039235" cy="504825"/>
            <wp:effectExtent l="0" t="0" r="1206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9EF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根据公式</w:t>
      </w:r>
    </w:p>
    <w:p w14:paraId="49A80BB1">
      <w:pPr>
        <w:jc w:val="center"/>
      </w:pPr>
      <w:r>
        <w:drawing>
          <wp:inline distT="0" distB="0" distL="114300" distR="114300">
            <wp:extent cx="3251835" cy="554990"/>
            <wp:effectExtent l="0" t="0" r="12065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7D15">
      <w:pPr>
        <w:jc w:val="center"/>
      </w:pPr>
      <w:r>
        <w:drawing>
          <wp:inline distT="0" distB="0" distL="114300" distR="114300">
            <wp:extent cx="4518660" cy="439420"/>
            <wp:effectExtent l="0" t="0" r="2540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8537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修约后</w:t>
      </w:r>
    </w:p>
    <w:p w14:paraId="4C0FCAE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71775" cy="373380"/>
            <wp:effectExtent l="0" t="0" r="9525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CF36">
      <w:pPr>
        <w:jc w:val="left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实验二：</w:t>
      </w:r>
    </w:p>
    <w:tbl>
      <w:tblPr>
        <w:tblStyle w:val="7"/>
        <w:tblW w:w="627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1046"/>
        <w:gridCol w:w="1074"/>
        <w:gridCol w:w="1074"/>
        <w:gridCol w:w="1074"/>
        <w:gridCol w:w="1074"/>
      </w:tblGrid>
      <w:tr w14:paraId="2ACA9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EA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温度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/℃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AF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A9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4C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FC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61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</w:tr>
      <w:tr w14:paraId="49E92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FE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电阻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/Ω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7E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0.004834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12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0.004905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6D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0.005060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D1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0.005140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A5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0.005266</w:t>
            </w:r>
          </w:p>
        </w:tc>
      </w:tr>
      <w:tr w14:paraId="17033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3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温度/℃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D0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420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72D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C6A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E33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74.2</w:t>
            </w:r>
          </w:p>
        </w:tc>
      </w:tr>
      <w:tr w14:paraId="15423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C7E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电阻/Ω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DE6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0.005350 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B04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0.00543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1E8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0.005525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7CA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0.005625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C62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0.005711</w:t>
            </w:r>
          </w:p>
        </w:tc>
      </w:tr>
    </w:tbl>
    <w:p w14:paraId="6DC451D1">
      <w:pPr>
        <w:jc w:val="left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利用表格数据求解：</w:t>
      </w:r>
    </w:p>
    <w:p w14:paraId="59781555">
      <w:pPr>
        <w:jc w:val="left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利用公式</w:t>
      </w:r>
    </w:p>
    <w:p w14:paraId="09B7B0BE">
      <w:pPr>
        <w:jc w:val="center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1356995" cy="496570"/>
            <wp:effectExtent l="0" t="0" r="1905" b="11430"/>
            <wp:docPr id="3" name="图片 3" descr="354066ec6a1f737a3887b6cc32c5f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54066ec6a1f737a3887b6cc32c5f79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739">
      <w:p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求出五个α</w:t>
      </w:r>
    </w:p>
    <w:p w14:paraId="00A7F67E">
      <w:pPr>
        <w:jc w:val="both"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=4.877</m:t>
          </m:r>
          <m:r>
            <m:rPr/>
            <w:rPr>
              <w:rFonts w:hint="eastAsia" w:ascii="Cambria Math" w:hAnsi="Cambria Math"/>
              <w:sz w:val="24"/>
              <w:szCs w:val="24"/>
              <w:lang w:val="en-US" w:eastAsia="zh-CN"/>
            </w:rPr>
            <m:t>×</m:t>
          </m:r>
          <m:sSup>
            <m:sSupP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0BBF090D">
      <w:pPr>
        <w:jc w:val="both"/>
        <w:rPr>
          <w:rFonts w:hint="default" w:hAnsi="Cambria Math"/>
          <w:i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=5.016</m:t>
          </m:r>
          <m:r>
            <m:rPr/>
            <w:rPr>
              <w:rFonts w:hint="eastAsia" w:ascii="Cambria Math" w:hAnsi="Cambria Math"/>
              <w:sz w:val="24"/>
              <w:szCs w:val="24"/>
              <w:lang w:val="en-US" w:eastAsia="zh-CN"/>
            </w:rPr>
            <m:t>×</m:t>
          </m:r>
          <m:sSup>
            <m:sSupP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643DA3A6">
      <w:pPr>
        <w:jc w:val="both"/>
        <w:rPr>
          <w:rFonts w:hint="default" w:hAnsi="Cambria Math"/>
          <w:i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=4.295</m:t>
          </m:r>
          <m:r>
            <m:rPr/>
            <w:rPr>
              <w:rFonts w:hint="eastAsia" w:ascii="Cambria Math" w:hAnsi="Cambria Math"/>
              <w:sz w:val="24"/>
              <w:szCs w:val="24"/>
              <w:lang w:val="en-US" w:eastAsia="zh-CN"/>
            </w:rPr>
            <m:t>×</m:t>
          </m:r>
          <m:sSup>
            <m:sSupP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5CF3DC0B">
      <w:pPr>
        <w:jc w:val="both"/>
        <w:rPr>
          <w:rFonts w:hint="default" w:hAnsi="Cambria Math"/>
          <w:i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4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=4.530</m:t>
          </m:r>
          <m:r>
            <m:rPr/>
            <w:rPr>
              <w:rFonts w:hint="eastAsia" w:ascii="Cambria Math" w:hAnsi="Cambria Math"/>
              <w:sz w:val="24"/>
              <w:szCs w:val="24"/>
              <w:lang w:val="en-US" w:eastAsia="zh-CN"/>
            </w:rPr>
            <m:t>×</m:t>
          </m:r>
          <m:sSup>
            <m:sSupP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3056B580">
      <w:p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5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=4.055</m:t>
          </m:r>
          <m:r>
            <m:rPr/>
            <w:rPr>
              <w:rFonts w:hint="eastAsia" w:ascii="Cambria Math" w:hAnsi="Cambria Math"/>
              <w:sz w:val="24"/>
              <w:szCs w:val="24"/>
              <w:lang w:val="en-US" w:eastAsia="zh-CN"/>
            </w:rPr>
            <m:t>×</m:t>
          </m:r>
          <m:sSup>
            <m:sSupP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eastAsia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4F54A887">
      <w:pPr>
        <w:jc w:val="both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平均值：</w:t>
      </w:r>
    </w:p>
    <w:p w14:paraId="79043F42">
      <w:pPr>
        <w:jc w:val="both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m:oMathPara>
        <m:oMath>
          <m:acc>
            <m:accPr>
              <m:chr m:val="̅"/>
              <m:ctrlPr>
                <w:rPr>
                  <w:rFonts w:hint="default" w:ascii="Cambria Math" w:hAnsi="Cambria Math" w:cs="Times New Roman"/>
                  <w:i w:val="0"/>
                  <w:sz w:val="24"/>
                  <w:szCs w:val="24"/>
                  <w:lang w:val="en-US"/>
                </w:rPr>
              </m:ctrlPr>
            </m:acc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hint="default" w:ascii="Cambria Math" w:hAnsi="Cambria Math" w:cs="Times New Roman"/>
                  <w:i w:val="0"/>
                  <w:sz w:val="24"/>
                  <w:szCs w:val="24"/>
                  <w:lang w:val="en-US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  <w:lang w:val="en-US" w:eastAsia="zh-CN"/>
            </w:rPr>
            <m:t>=4.555×</m:t>
          </m:r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−3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6FAA45A3">
      <w:pPr>
        <w:jc w:val="center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52320" cy="744855"/>
            <wp:effectExtent l="0" t="0" r="508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59D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46830" cy="509270"/>
            <wp:effectExtent l="0" t="0" r="127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8685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α=（4.56±0.18）×</w:t>
      </w:r>
      <m:oMath>
        <m:sSup>
          <m:sSup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lang w:val="en-US" w:eastAsia="zh-CN"/>
              </w:rPr>
              <m:t>−3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up>
        </m:sSup>
      </m:oMath>
    </w:p>
    <w:p w14:paraId="584B5782">
      <w:pPr>
        <w:jc w:val="center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相对误差</w:t>
      </w: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1"/>
            <w:szCs w:val="22"/>
            <w:lang w:val="en-US" w:eastAsia="zh-CN" w:bidi="ar-SA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kern w:val="2"/>
                <w:sz w:val="21"/>
                <w:szCs w:val="22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kern w:val="2"/>
            <w:sz w:val="21"/>
            <w:szCs w:val="22"/>
            <w:lang w:val="en-US" w:eastAsia="zh-CN" w:bidi="ar-SA"/>
          </w:rPr>
          <m:t>=5.3%</m:t>
        </m:r>
      </m:oMath>
    </w:p>
    <w:p w14:paraId="56FACBE9">
      <w:pPr>
        <w:jc w:val="left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线性拟合：</w:t>
      </w:r>
    </w:p>
    <w:p w14:paraId="1CED4796">
      <w:pPr>
        <w:jc w:val="left"/>
      </w:pPr>
      <w:r>
        <w:drawing>
          <wp:inline distT="0" distB="0" distL="114300" distR="114300">
            <wp:extent cx="4614545" cy="3223260"/>
            <wp:effectExtent l="0" t="0" r="825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BFC1">
      <w:pPr>
        <w:jc w:val="both"/>
        <w:rPr>
          <w:rFonts w:hint="default" w:hAnsi="Cambria Math" w:cs="Times New Roman"/>
          <w:i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作图法</w:t>
      </w:r>
      <m:oMath>
        <m:r>
          <m:rPr/>
          <w:rPr>
            <w:rFonts w:ascii="Cambria Math" w:hAnsi="Cambria Math"/>
            <w:lang w:val="en-US"/>
          </w:rPr>
          <m:t>α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=4.64</m:t>
        </m:r>
        <m:r>
          <m:rPr/>
          <w:rPr>
            <w:rFonts w:hint="default" w:ascii="Cambria Math" w:hAnsi="Cambria Math" w:cs="Cambria Math"/>
            <w:lang w:val="en-US" w:eastAsia="zh-CN"/>
          </w:rPr>
          <m:t>×</m:t>
        </m:r>
        <m:sSup>
          <m:sSupP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10</m:t>
            </m: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lang w:val="en-US" w:eastAsia="zh-CN"/>
              </w:rPr>
              <m:t>−3</m:t>
            </m: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up>
        </m:sSup>
      </m:oMath>
    </w:p>
    <w:p w14:paraId="3361E7DA">
      <w:pPr>
        <w:jc w:val="both"/>
      </w:pPr>
      <w:r>
        <w:drawing>
          <wp:inline distT="0" distB="0" distL="114300" distR="114300">
            <wp:extent cx="2423160" cy="572770"/>
            <wp:effectExtent l="0" t="0" r="254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E12C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19680" cy="348615"/>
            <wp:effectExtent l="0" t="0" r="7620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6B94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 w:hAnsi="Cambria Math" w:cs="Cambria Math"/>
          <w:i w:val="0"/>
          <w:lang w:val="en-US" w:eastAsia="zh-CN"/>
        </w:rPr>
        <w:t>相对</w:t>
      </w:r>
      <w:r>
        <w:rPr>
          <w:rFonts w:hint="default" w:ascii="Times New Roman" w:hAnsi="Times New Roman" w:cs="Times New Roman"/>
          <w:i w:val="0"/>
          <w:lang w:val="en-US" w:eastAsia="zh-CN"/>
        </w:rPr>
        <w:t>误差</w:t>
      </w: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1"/>
            <w:szCs w:val="22"/>
            <w:lang w:val="en-US" w:eastAsia="zh-CN" w:bidi="ar-SA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2"/>
                <w:lang w:val="en-US" w:eastAsia="zh-CN" w:bidi="ar-SA"/>
              </w:rPr>
              <m:t>α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kern w:val="2"/>
                <w:sz w:val="21"/>
                <w:szCs w:val="22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kern w:val="2"/>
            <w:sz w:val="21"/>
            <w:szCs w:val="22"/>
            <w:lang w:val="en-US" w:eastAsia="zh-CN" w:bidi="ar-SA"/>
          </w:rPr>
          <m:t>=</m:t>
        </m:r>
      </m:oMath>
      <w:r>
        <m:rPr/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  <w:t>7.2%</w:t>
      </w:r>
      <w:bookmarkStart w:id="0" w:name="_GoBack"/>
      <w:bookmarkEnd w:id="0"/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①测量电阻率时，测量d、L时会出现读数的偶然误差，此外，导体形状也会造成误差。</w:t>
      </w:r>
    </w:p>
    <w:p w14:paraId="213D56F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②测量温度系数时，对电桥的调零有时不准，指针的不稳定会带来误差。</w:t>
      </w:r>
    </w:p>
    <w:p w14:paraId="220D12F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③测量温度系数时，温度会跳动，造成测量误差。</w:t>
      </w:r>
    </w:p>
    <w:p w14:paraId="09E4F588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④测量温度系数时，温度精度不够带来的误差。</w:t>
      </w:r>
    </w:p>
    <w:p w14:paraId="2408D997">
      <w:pPr>
        <w:jc w:val="left"/>
        <w:rPr>
          <w:sz w:val="24"/>
          <w:szCs w:val="24"/>
        </w:rPr>
      </w:pPr>
    </w:p>
    <w:p w14:paraId="67B77D80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</w:t>
      </w:r>
    </w:p>
    <w:p w14:paraId="7DC1102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实验通过双臂电桥和四端法，成功测量了低值电阻及其温度系数。实验中重点掌握了电桥平衡调节、倍率选择与四端接法，理解了如何消除附加电阻的影响。数据处理表明，测量结果与理论值吻合较好，但在温度稳定性、电桥灵敏度等方面仍需进一步优化操作以减小误差。整体上，实验加深了对低电阻测量原理与方法的理解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364A7E89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双臂电桥与惠斯登电桥有哪些异同？</w:t>
      </w:r>
    </w:p>
    <w:p w14:paraId="65D0DE49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相同点：</w:t>
      </w:r>
    </w:p>
    <w:p w14:paraId="03CAC8DD">
      <w:pPr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两者都是基于电桥平衡原理测量电阻的仪器，都需要调节桥臂电阻使检流计指示为零（电桥平衡），然后通过已知电阻计算未知电阻。</w:t>
      </w:r>
    </w:p>
    <w:p w14:paraId="7BE377F2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不同点：</w:t>
      </w:r>
    </w:p>
    <w:p w14:paraId="14B94FFA">
      <w:pPr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sz w:val="24"/>
          <w:szCs w:val="24"/>
        </w:rPr>
        <w:t>测量范围：惠斯登电桥适用于中高电阻（通常几欧姆到几兆欧姆），而双臂电桥适用于低电阻（通常10⁻⁶欧姆到几欧姆）。</w:t>
      </w:r>
    </w:p>
    <w:p w14:paraId="66846DD2">
      <w:pPr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sz w:val="24"/>
          <w:szCs w:val="24"/>
        </w:rPr>
        <w:t>结构特点：惠斯登电桥是四臂电桥，由两个比例臂、一个标准电阻和一个待测电阻组成；双臂电桥是六臂电桥，采用四端法连接，将电流端和电位端分离。</w:t>
      </w:r>
    </w:p>
    <w:p w14:paraId="41059693">
      <w:pPr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sz w:val="24"/>
          <w:szCs w:val="24"/>
        </w:rPr>
        <w:t>附加电阻影响：惠斯登电桥不能消除导线电阻和接触电阻的影响，因此不适合测量低电阻；双臂电桥通过四端法有效消除或减小了附加电阻的影响。</w:t>
      </w:r>
    </w:p>
    <w:p w14:paraId="6216B5F3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F34257D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eastAsia"/>
          <w:b/>
          <w:bCs/>
          <w:sz w:val="24"/>
          <w:szCs w:val="24"/>
        </w:rPr>
        <w:t>为什么双臂电桥测量低电阻时能够消除（或减小）附加电阻对测量结果的影响？</w:t>
      </w:r>
    </w:p>
    <w:p w14:paraId="76D02A7C">
      <w:pPr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答：</w:t>
      </w:r>
      <w:r>
        <w:rPr>
          <w:rFonts w:hint="default" w:ascii="Times New Roman" w:hAnsi="Times New Roman" w:eastAsia="仿宋" w:cs="Times New Roman"/>
          <w:sz w:val="24"/>
          <w:szCs w:val="24"/>
        </w:rPr>
        <w:t>双臂电桥采用四端法结构，将电流输入端（C₁、C₂）与电压测量端（P₁、P₂）分开：</w:t>
      </w:r>
    </w:p>
    <w:p w14:paraId="42BFF091">
      <w:pPr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电流端（C₁、C₂）：通过较大电流，其导线电阻与接触电阻不会影响电压测量。</w:t>
      </w:r>
    </w:p>
    <w:p w14:paraId="4A78FAEF">
      <w:pPr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电位端（P₁、P₂）：接入高阻抗测量回路，电流极小，因此该路径上的附加电阻对电压测量的影响可忽略。</w:t>
      </w:r>
    </w:p>
    <w:p w14:paraId="70FEA756">
      <w:pPr>
        <w:ind w:firstLine="480" w:firstLineChars="20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通过这种结构，双臂电桥将附加电阻排除在电压测量回路之外，从而显著减小了导线电阻、接触电阻对低电阻测量结果的影响。</w:t>
      </w:r>
    </w:p>
    <w:p w14:paraId="1B87F371">
      <w:pPr>
        <w:jc w:val="left"/>
        <w:rPr>
          <w:rFonts w:hint="default" w:ascii="Times New Roman" w:hAnsi="Times New Roman" w:eastAsia="仿宋" w:cs="Times New Roman"/>
          <w:sz w:val="24"/>
          <w:szCs w:val="24"/>
        </w:rPr>
      </w:pPr>
    </w:p>
    <w:p w14:paraId="6FE61927">
      <w:pPr>
        <w:jc w:val="left"/>
        <w:rPr>
          <w:rFonts w:hint="default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</w:rPr>
        <w:t>3. 如果四端电阻的电流端和电位端接反了，对测量结果有什么影响？</w:t>
      </w:r>
    </w:p>
    <w:p w14:paraId="656BC6A4">
      <w:pPr>
        <w:ind w:firstLine="480" w:firstLineChars="20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如果将四端电阻的电流端与电位端接反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仿宋" w:cs="Times New Roman"/>
          <w:sz w:val="24"/>
          <w:szCs w:val="24"/>
        </w:rPr>
        <w:t>附加电阻（导线电阻、接触电阻）会被计入电压测量回路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②进而</w:t>
      </w:r>
      <w:r>
        <w:rPr>
          <w:rFonts w:hint="default" w:ascii="Times New Roman" w:hAnsi="Times New Roman" w:eastAsia="仿宋" w:cs="Times New Roman"/>
          <w:sz w:val="24"/>
          <w:szCs w:val="24"/>
        </w:rPr>
        <w:t>测量误差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会</w:t>
      </w:r>
      <w:r>
        <w:rPr>
          <w:rFonts w:hint="default" w:ascii="Times New Roman" w:hAnsi="Times New Roman" w:eastAsia="仿宋" w:cs="Times New Roman"/>
          <w:sz w:val="24"/>
          <w:szCs w:val="24"/>
        </w:rPr>
        <w:t>增大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仿宋" w:cs="Times New Roman"/>
          <w:sz w:val="24"/>
          <w:szCs w:val="24"/>
        </w:rPr>
        <w:t>特别是对于低电阻，附加电阻可能与待测电阻同一数量级，导致测量值显著偏大，甚至失去低电阻测量的意义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仿宋" w:cs="Times New Roman"/>
          <w:sz w:val="24"/>
          <w:szCs w:val="24"/>
        </w:rPr>
        <w:t>若电流通过电位端，可能因电流过大而损坏精密测量电路。</w:t>
      </w:r>
    </w:p>
    <w:p w14:paraId="56256E5C">
      <w:pPr>
        <w:ind w:firstLine="480" w:firstLineChars="20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因此，必须正确连接四端电阻的电流端与电位端，以确保测量准确性。</w:t>
      </w: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4EF1E75F">
      <w:pPr>
        <w:jc w:val="both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2D1C62"/>
    <w:rsid w:val="05CB5478"/>
    <w:rsid w:val="064D7897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2DE07E8D"/>
    <w:rsid w:val="31FE2C25"/>
    <w:rsid w:val="3823302A"/>
    <w:rsid w:val="3B976656"/>
    <w:rsid w:val="45FE572D"/>
    <w:rsid w:val="497529E5"/>
    <w:rsid w:val="4D660E30"/>
    <w:rsid w:val="522318EF"/>
    <w:rsid w:val="585A1BAB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6">
    <w:name w:val="font01"/>
    <w:basedOn w:val="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7">
    <w:name w:val="font11"/>
    <w:basedOn w:val="9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416</Words>
  <Characters>591</Characters>
  <Lines>42</Lines>
  <Paragraphs>18</Paragraphs>
  <TotalTime>19</TotalTime>
  <ScaleCrop>false</ScaleCrop>
  <LinksUpToDate>false</LinksUpToDate>
  <CharactersWithSpaces>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2025-12-11T03:35:57Z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