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</w:t>
      </w:r>
      <w:r>
        <w:rPr>
          <w:rFonts w:hint="eastAsia"/>
          <w:b/>
          <w:sz w:val="32"/>
          <w:szCs w:val="32"/>
          <w:lang w:val="en-US" w:eastAsia="zh-CN"/>
        </w:rPr>
        <w:t>等厚干涉</w:t>
      </w:r>
      <w:r>
        <w:rPr>
          <w:rFonts w:hint="eastAsia"/>
          <w:b/>
          <w:sz w:val="32"/>
          <w:szCs w:val="32"/>
        </w:rPr>
        <w:t>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</w:t>
      </w:r>
      <w:r>
        <w:rPr>
          <w:rFonts w:hint="eastAsia"/>
          <w:b/>
          <w:sz w:val="32"/>
          <w:szCs w:val="32"/>
          <w:lang w:val="en-US" w:eastAsia="zh-CN"/>
        </w:rPr>
        <w:t>张俊香</w:t>
      </w:r>
      <w:r>
        <w:rPr>
          <w:rFonts w:hint="eastAsia"/>
          <w:b/>
          <w:sz w:val="32"/>
          <w:szCs w:val="32"/>
        </w:rPr>
        <w:t>____________________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11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3F98A384">
      <w:pPr>
        <w:jc w:val="right"/>
        <w:rPr>
          <w:b/>
          <w:sz w:val="24"/>
          <w:szCs w:val="24"/>
          <w:u w:val="single"/>
        </w:rPr>
      </w:pPr>
    </w:p>
    <w:p w14:paraId="41604098">
      <w:pPr>
        <w:jc w:val="right"/>
        <w:rPr>
          <w:b/>
          <w:sz w:val="24"/>
          <w:szCs w:val="24"/>
          <w:u w:val="single"/>
        </w:rPr>
      </w:pPr>
    </w:p>
    <w:p w14:paraId="03B7378A">
      <w:pPr>
        <w:jc w:val="right"/>
        <w:rPr>
          <w:b/>
          <w:sz w:val="24"/>
          <w:szCs w:val="24"/>
          <w:u w:val="single"/>
        </w:rPr>
      </w:pPr>
    </w:p>
    <w:p w14:paraId="7F789487">
      <w:pPr>
        <w:jc w:val="right"/>
        <w:rPr>
          <w:b/>
          <w:sz w:val="24"/>
          <w:szCs w:val="24"/>
          <w:u w:val="single"/>
        </w:rPr>
      </w:pPr>
    </w:p>
    <w:p w14:paraId="5A365643">
      <w:pPr>
        <w:jc w:val="right"/>
        <w:rPr>
          <w:b/>
          <w:sz w:val="24"/>
          <w:szCs w:val="24"/>
          <w:u w:val="single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32A6BCB4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4437047A">
      <w:pPr>
        <w:jc w:val="left"/>
        <w:rPr>
          <w:b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546FB4E9">
      <w:p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实验目的：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1.理解牛顿环和劈尖干涉条纹的成因；</w:t>
      </w:r>
    </w:p>
    <w:p w14:paraId="583CBC17">
      <w:pPr>
        <w:numPr>
          <w:ilvl w:val="0"/>
          <w:numId w:val="0"/>
        </w:numPr>
        <w:ind w:firstLine="1200" w:firstLineChars="50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2.学习用等厚干涉法测量平凸透镜的曲率半径和薄膜厚度；</w:t>
      </w:r>
    </w:p>
    <w:p w14:paraId="66C6B93E">
      <w:pPr>
        <w:numPr>
          <w:ilvl w:val="0"/>
          <w:numId w:val="0"/>
        </w:numPr>
        <w:ind w:firstLine="1200" w:firstLineChars="500"/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3.学会使用读数显微镜。</w:t>
      </w:r>
    </w:p>
    <w:p w14:paraId="3D4C5B8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实验现象：</w:t>
      </w:r>
    </w:p>
    <w:p w14:paraId="7326D806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：将一块曲率半径较大的平凸透镜的凸面置于一光学平板玻璃上，在透镜凸面和平板玻璃之间形成一个厚度随直径变化的空气薄膜。用单色光垂直照射时，从反射光方向观察，会看到以接触点为圆心的一系列明暗相间的同心圆环 ，且中心是暗斑。这些圆环间距不等，离中心越远，条纹越密集 。如果用白光照射，则会观察到彩色的同心圆环。</w:t>
      </w:r>
    </w:p>
    <w:p w14:paraId="756069F8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：两块光学平板玻璃，一端互相叠合，另一端夹一直径很小的细丝或薄片，这样在两玻璃片之间形成一个空气劈尖。当用单色光垂直照射时，在劈尖上表面会看到与两玻璃片交线平行的一系列明暗相间、间距相等的直条纹；若用白光照射，会出现彩色直条纹。</w:t>
      </w:r>
    </w:p>
    <w:p w14:paraId="59B86836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实验原理：</w:t>
      </w:r>
    </w:p>
    <w:p w14:paraId="5EC1D4EB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牛顿环原理：当单色光垂直照射牛顿环装置时，空气薄膜上、下表面反射的两束光会发生干涉。设空气薄膜厚度为e，由于空气薄膜上、下表面反射光存在半波损失，所以两束反射光的光程差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973455" cy="27178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。根据干涉条件，当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638935" cy="224155"/>
            <wp:effectExtent l="0" t="0" r="120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22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时，出现明条纹；当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220595" cy="211455"/>
            <wp:effectExtent l="0" t="0" r="19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时，出现暗条纹 。通过几何关系可以推导出牛顿环第k级暗环半径rk与平凸透镜曲率半径R的关系为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97230" cy="230505"/>
            <wp:effectExtent l="0" t="0" r="127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77A5C1D3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7CD5DF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劈尖干涉原理：对于劈尖，当单色光垂直入射时，在劈尖上、下表面反射的两束光的光程差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774065" cy="208915"/>
            <wp:effectExtent l="0" t="0" r="63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，其中e是某点处劈尖的厚度。同样根据干涉条件，当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645285" cy="178435"/>
            <wp:effectExtent l="0" t="0" r="571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时，出现明条纹；当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085340" cy="187960"/>
            <wp:effectExtent l="0" t="0" r="1016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时，出现暗条纹 。相邻明（暗）条纹对应的劈尖厚度差为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445135" cy="157480"/>
            <wp:effectExtent l="0" t="0" r="1206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。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857250" cy="289560"/>
            <wp:effectExtent l="0" t="0" r="635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条纹密度：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21665" cy="310515"/>
            <wp:effectExtent l="0" t="0" r="635" b="698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条纹间距（10条）：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537970" cy="357505"/>
            <wp:effectExtent l="0" t="0" r="11430" b="1079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317625" cy="378460"/>
            <wp:effectExtent l="0" t="0" r="3175" b="254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A57C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实验方法</w:t>
      </w:r>
    </w:p>
    <w:p w14:paraId="19863F3A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牛顿环实验</w:t>
      </w:r>
    </w:p>
    <w:p w14:paraId="76279384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仪器调节：将牛顿环装置放在读数显微镜的载物台上，调节读数显微镜的目镜，使十字叉丝清晰；然后调节物镜，使能看到清晰的牛顿环干涉图像。</w:t>
      </w:r>
    </w:p>
    <w:p w14:paraId="18AB18A1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测量数据：转动读数显微镜的测微鼓轮，使显微镜筒左右移动，找到牛顿环的中心暗斑，然后从中心开始，依次测量第k1级到第k2级暗环的直径（分别测量左右两边的位置，相减得到直径），重复测量多次。</w:t>
      </w:r>
    </w:p>
    <w:p w14:paraId="3602E69E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数据处理：根据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97230" cy="230505"/>
            <wp:effectExtent l="0" t="0" r="127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，采用逐差法等方法处理数据，计算出平凸透镜的曲率半径R。</w:t>
      </w:r>
    </w:p>
    <w:p w14:paraId="11C1FE97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劈尖干涉实验</w:t>
      </w:r>
    </w:p>
    <w:p w14:paraId="4B7385E5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仪器安装与调节：把劈尖装置放在读数显微镜的载物台上，调节读数显微镜，使能清晰观察到劈尖干涉条纹。</w:t>
      </w:r>
    </w:p>
    <w:p w14:paraId="05A04D75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测量数据：移动读数显微镜，测量若干条相邻明（暗）条纹的间距l，以及劈尖的总长度L ，并记录所用单色光的波长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93980" cy="145415"/>
            <wp:effectExtent l="0" t="0" r="762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980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5D0D694F">
      <w:pPr>
        <w:numPr>
          <w:ilvl w:val="0"/>
          <w:numId w:val="0"/>
        </w:numPr>
        <w:jc w:val="left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数据处理：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857250" cy="289560"/>
            <wp:effectExtent l="0" t="0" r="6350" b="254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条纹密度：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621665" cy="310515"/>
            <wp:effectExtent l="0" t="0" r="635" b="698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66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条纹间距（10条）：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537970" cy="357505"/>
            <wp:effectExtent l="0" t="0" r="11430" b="1079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7970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eastAsia="zh-CN"/>
        </w:rPr>
        <w:t>；</w:t>
      </w:r>
      <w:r>
        <w:rPr>
          <w:rFonts w:hint="eastAsia" w:ascii="仿宋" w:hAnsi="仿宋" w:eastAsia="仿宋" w:cs="仿宋"/>
          <w:lang w:val="en-US" w:eastAsia="zh-CN"/>
        </w:rPr>
        <w:t>薄片厚度：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1317625" cy="378460"/>
            <wp:effectExtent l="0" t="0" r="3175" b="254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431A5D16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06BE45B0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sz w:val="24"/>
          <w:szCs w:val="24"/>
        </w:rPr>
        <w:t>干涉光路调节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调节钠灯光源与半反半透镜，使视场明亮均匀；消除视差，确保叉丝清晰。</w:t>
      </w:r>
    </w:p>
    <w:p w14:paraId="14CD9FE4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sz w:val="24"/>
          <w:szCs w:val="24"/>
        </w:rPr>
        <w:t>牛顿环测量：找到环中心，沿单一方向转动鼓轮，依次测量暗环左右位置；使用直径平方差法计算曲率半径，避免中心定位误差和系统误差。</w:t>
      </w:r>
    </w:p>
    <w:p w14:paraId="6B5F00D7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sz w:val="24"/>
          <w:szCs w:val="24"/>
        </w:rPr>
        <w:t>劈尖测量：测量多条条纹间距，求平均值以提高精度；根据条纹密度计算薄膜厚度。</w:t>
      </w:r>
    </w:p>
    <w:p w14:paraId="38DB17CA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④</w:t>
      </w:r>
      <w:r>
        <w:rPr>
          <w:rFonts w:hint="eastAsia" w:ascii="仿宋" w:hAnsi="仿宋" w:eastAsia="仿宋" w:cs="仿宋"/>
          <w:sz w:val="24"/>
          <w:szCs w:val="24"/>
        </w:rPr>
        <w:t>仪器使用规范：读数显微镜使用中必须避免回程差；数据记录需完整，包括所有暗环位置和条纹间距。</w:t>
      </w:r>
    </w:p>
    <w:p w14:paraId="46B27E65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3CC22C2A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①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干涉条纹识别与调节：牛顿环中心不易找准，且可能受灰尘或挤压影响；劈尖条纹需调至清晰、平行且</w:t>
      </w:r>
    </w:p>
    <w:p w14:paraId="7C68140B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对比度明显。</w:t>
      </w:r>
    </w:p>
    <w:p w14:paraId="3B7C14EC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②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避免回程差：测量过程中鼓轮必须单向转动，否则会引入较大误差；在正式读数前需空转几圈以消除机</w:t>
      </w:r>
    </w:p>
    <w:p w14:paraId="7FD6B6C5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械间隙。</w:t>
      </w:r>
    </w:p>
    <w:p w14:paraId="76E72F2A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③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数据处理的精度控制：牛顿环测量中直径平方差的计算容易出错；劈尖实验中条纹间距的测量需多次平</w:t>
      </w:r>
    </w:p>
    <w:p w14:paraId="3FFA3A15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均，否则影响厚度结果。</w:t>
      </w:r>
    </w:p>
    <w:p w14:paraId="7D24E94C">
      <w:pPr>
        <w:pStyle w:val="12"/>
        <w:ind w:left="720" w:hanging="72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  <w:lang w:val="en-US" w:eastAsia="zh-CN"/>
        </w:rPr>
        <w:t>④</w:t>
      </w:r>
      <w:r>
        <w:rPr>
          <w:rFonts w:hint="eastAsia" w:ascii="仿宋" w:hAnsi="仿宋" w:eastAsia="仿宋" w:cs="仿宋"/>
          <w:b w:val="0"/>
          <w:bCs/>
          <w:sz w:val="21"/>
          <w:szCs w:val="18"/>
        </w:rPr>
        <w:t>环境与操作干扰：实验对振动敏感，轻微震动会导致条纹晃动；光源稳定性、玻璃清洁度等也会影响条</w:t>
      </w:r>
    </w:p>
    <w:p w14:paraId="4846F661">
      <w:pPr>
        <w:pStyle w:val="12"/>
        <w:ind w:left="0" w:leftChars="0" w:firstLine="0" w:firstLineChars="0"/>
        <w:jc w:val="left"/>
        <w:rPr>
          <w:rFonts w:hint="eastAsia" w:ascii="仿宋" w:hAnsi="仿宋" w:eastAsia="仿宋" w:cs="仿宋"/>
          <w:b w:val="0"/>
          <w:bCs/>
          <w:sz w:val="21"/>
          <w:szCs w:val="18"/>
        </w:rPr>
      </w:pPr>
      <w:r>
        <w:rPr>
          <w:rFonts w:hint="eastAsia" w:ascii="仿宋" w:hAnsi="仿宋" w:eastAsia="仿宋" w:cs="仿宋"/>
          <w:b w:val="0"/>
          <w:bCs/>
          <w:sz w:val="21"/>
          <w:szCs w:val="18"/>
        </w:rPr>
        <w:t>纹质量。</w:t>
      </w:r>
    </w:p>
    <w:p w14:paraId="7B6B25BE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5EF77AFD">
      <w:pPr>
        <w:jc w:val="left"/>
        <w:rPr>
          <w:rFonts w:ascii="宋体" w:hAnsi="宋体"/>
          <w:sz w:val="24"/>
          <w:szCs w:val="24"/>
        </w:rPr>
      </w:pPr>
    </w:p>
    <w:p w14:paraId="5FDD042A">
      <w:pPr>
        <w:jc w:val="left"/>
        <w:rPr>
          <w:rFonts w:ascii="宋体" w:hAnsi="宋体"/>
          <w:sz w:val="24"/>
          <w:szCs w:val="24"/>
        </w:rPr>
      </w:pPr>
    </w:p>
    <w:p w14:paraId="51518F83">
      <w:pPr>
        <w:jc w:val="left"/>
        <w:rPr>
          <w:rFonts w:ascii="宋体" w:hAnsi="宋体"/>
          <w:sz w:val="24"/>
          <w:szCs w:val="24"/>
        </w:rPr>
      </w:pPr>
    </w:p>
    <w:p w14:paraId="61833CED">
      <w:pPr>
        <w:jc w:val="left"/>
        <w:rPr>
          <w:rFonts w:ascii="宋体" w:hAnsi="宋体"/>
          <w:sz w:val="24"/>
          <w:szCs w:val="24"/>
        </w:rPr>
      </w:pPr>
    </w:p>
    <w:p w14:paraId="72C17FD4">
      <w:pPr>
        <w:jc w:val="left"/>
        <w:rPr>
          <w:rFonts w:ascii="宋体" w:hAnsi="宋体"/>
          <w:sz w:val="24"/>
          <w:szCs w:val="24"/>
        </w:rPr>
      </w:pPr>
    </w:p>
    <w:p w14:paraId="331D4CB0">
      <w:pPr>
        <w:jc w:val="left"/>
        <w:rPr>
          <w:rFonts w:ascii="宋体" w:hAnsi="宋体"/>
          <w:sz w:val="24"/>
          <w:szCs w:val="24"/>
        </w:rPr>
      </w:pPr>
    </w:p>
    <w:p w14:paraId="21C3D84F">
      <w:pPr>
        <w:jc w:val="left"/>
        <w:rPr>
          <w:rFonts w:ascii="宋体" w:hAnsi="宋体"/>
          <w:sz w:val="24"/>
          <w:szCs w:val="24"/>
        </w:rPr>
      </w:pPr>
    </w:p>
    <w:p w14:paraId="57450647">
      <w:pPr>
        <w:jc w:val="left"/>
        <w:rPr>
          <w:rFonts w:ascii="宋体" w:hAnsi="宋体"/>
          <w:sz w:val="24"/>
          <w:szCs w:val="24"/>
        </w:rPr>
      </w:pPr>
    </w:p>
    <w:p w14:paraId="6F4FE155">
      <w:pPr>
        <w:jc w:val="left"/>
        <w:rPr>
          <w:rFonts w:ascii="宋体" w:hAnsi="宋体"/>
          <w:sz w:val="24"/>
          <w:szCs w:val="24"/>
        </w:rPr>
      </w:pPr>
    </w:p>
    <w:p w14:paraId="62465F48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4344670" cy="5794375"/>
            <wp:effectExtent l="0" t="0" r="11430" b="9525"/>
            <wp:docPr id="9" name="图片 9" descr="45c33529158ac05d1308ed1c04e29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5c33529158ac05d1308ed1c04e295a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5DE5D6BD">
      <w:pPr>
        <w:jc w:val="left"/>
        <w:rPr>
          <w:sz w:val="24"/>
          <w:szCs w:val="24"/>
        </w:rPr>
      </w:pPr>
    </w:p>
    <w:p w14:paraId="2D03A924">
      <w:pPr>
        <w:jc w:val="left"/>
        <w:rPr>
          <w:sz w:val="24"/>
          <w:szCs w:val="24"/>
        </w:rPr>
      </w:pPr>
    </w:p>
    <w:p w14:paraId="4608AC2B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（一）牛顿环</w:t>
      </w:r>
    </w:p>
    <w:p w14:paraId="23B30E0D">
      <w:pPr>
        <w:jc w:val="left"/>
        <w:rPr>
          <w:sz w:val="24"/>
          <w:szCs w:val="24"/>
        </w:rPr>
      </w:pPr>
    </w:p>
    <w:tbl>
      <w:tblPr>
        <w:tblStyle w:val="6"/>
        <w:tblW w:w="873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821"/>
        <w:gridCol w:w="821"/>
        <w:gridCol w:w="1036"/>
        <w:gridCol w:w="1451"/>
        <w:gridCol w:w="2100"/>
        <w:gridCol w:w="1734"/>
      </w:tblGrid>
      <w:tr w14:paraId="384D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148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圈数k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F5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d右/mm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7E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d左/mm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4F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d右-d左/mm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80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直径平方/mm²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37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相隔6圈直径平方差/mm²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75AA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R/m</w:t>
            </w:r>
          </w:p>
        </w:tc>
      </w:tr>
      <w:tr w14:paraId="5585A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D03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9425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28.299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821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21.56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238F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6.739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037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45.4141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3FA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13.7735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7CD9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0.973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7F1E3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A6A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355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28.224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B339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21.661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E8B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6.563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2A5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43.073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0FD2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13.8049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E5A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9761</w:t>
            </w:r>
          </w:p>
        </w:tc>
      </w:tr>
      <w:tr w14:paraId="38E5D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3744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175B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28.142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04B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21.75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005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6.392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FE4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40.8577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139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13.6719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CA90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9667</w:t>
            </w:r>
          </w:p>
        </w:tc>
      </w:tr>
      <w:tr w14:paraId="0AFB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E6C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66E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28.074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7C2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21.853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03B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6.221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F019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38.7008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16A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14.3762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630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0164</w:t>
            </w:r>
          </w:p>
        </w:tc>
      </w:tr>
      <w:tr w14:paraId="554B9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65F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B2AC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27.967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EA1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21.953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693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6.014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FE3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36.1682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773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14.097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99E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9967</w:t>
            </w:r>
          </w:p>
        </w:tc>
      </w:tr>
      <w:tr w14:paraId="27135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1E5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ACAD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27.873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17A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22.04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1685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5.833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B7E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34.0239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817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14.4521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7EE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02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694BF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81D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1681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27.77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CAB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22.145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FD5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5.625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D583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31.6406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BA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EE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0B6E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177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2F14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27.652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FB8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22.242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9B4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5.41</w:t>
            </w:r>
            <w:r>
              <w:rPr>
                <w:rFonts w:hint="eastAsia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0B8F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29.2681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A37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57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2EAAE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ACC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C59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27.535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C85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22.321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3C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5.214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D6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27.1858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639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8E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1AC0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A73C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AEA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27.416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D439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22.484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25E1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4.932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FC4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24.3246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463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5D4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25D13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3A51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F36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27.314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90C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22.616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61A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4.698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E8B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22.0712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8F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A8F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5E776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DFB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473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27.175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89F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22.751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0D3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4.424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66B6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19.5718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BB9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0E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</w:p>
        </w:tc>
      </w:tr>
      <w:tr w14:paraId="4B5E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142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F45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C31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F0FA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CEB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B0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3D7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egoe UI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1D7DF462">
      <w:pPr>
        <w:jc w:val="center"/>
        <w:rPr>
          <w:sz w:val="24"/>
          <w:szCs w:val="24"/>
        </w:rPr>
      </w:pPr>
    </w:p>
    <w:p w14:paraId="2B2D924D">
      <w:pPr>
        <w:jc w:val="center"/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  <m:oMath>
        <m:acc>
          <m:accPr>
            <m:chr m:val="̅"/>
            <m:ctrlPr>
              <w:rPr>
                <w:rFonts w:hint="default" w:ascii="Cambria Math" w:hAnsi="Cambria Math" w:cs="Times New Roman"/>
                <w:i/>
                <w:iCs w:val="0"/>
                <w:color w:val="0F1115"/>
                <w:kern w:val="0"/>
                <w:sz w:val="22"/>
                <w:szCs w:val="22"/>
                <w:u w:val="none"/>
                <w:lang w:val="en-US" w:bidi="ar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color w:val="0F1115"/>
                <w:kern w:val="0"/>
                <w:sz w:val="22"/>
                <w:szCs w:val="22"/>
                <w:u w:val="none"/>
                <w:lang w:val="en-US" w:bidi="ar"/>
              </w:rPr>
            </m:ctrlPr>
          </m:e>
        </m:acc>
      </m:oMath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=</w:t>
      </w:r>
      <w:r>
        <w:rPr>
          <w:rFonts w:hint="eastAsia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0.9919</w:t>
      </w:r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m</w:t>
      </w:r>
    </w:p>
    <w:p w14:paraId="3DB6E4A2">
      <w:pPr>
        <w:jc w:val="center"/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 w:val="0"/>
                  <w:color w:val="0F1115"/>
                  <w:kern w:val="0"/>
                  <w:sz w:val="22"/>
                  <w:szCs w:val="22"/>
                  <w:u w:val="none"/>
                  <w:lang w:val="en-US" w:bidi="ar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iCs w:val="0"/>
                  <w:color w:val="0F1115"/>
                  <w:kern w:val="0"/>
                  <w:sz w:val="22"/>
                  <w:szCs w:val="22"/>
                  <w:u w:val="none"/>
                  <w:lang w:val="en-US" w:eastAsia="zh-CN" w:bidi="ar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iCs w:val="0"/>
                  <w:color w:val="0F1115"/>
                  <w:kern w:val="0"/>
                  <w:sz w:val="22"/>
                  <w:szCs w:val="22"/>
                  <w:u w:val="none"/>
                  <w:lang w:val="en-US" w:bidi="ar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iCs w:val="0"/>
                  <w:color w:val="0F1115"/>
                  <w:kern w:val="0"/>
                  <w:sz w:val="22"/>
                  <w:szCs w:val="22"/>
                  <w:u w:val="none"/>
                  <w:lang w:val="en-US" w:eastAsia="zh-CN" w:bidi="ar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iCs w:val="0"/>
                  <w:color w:val="0F1115"/>
                  <w:kern w:val="0"/>
                  <w:sz w:val="22"/>
                  <w:szCs w:val="22"/>
                  <w:u w:val="none"/>
                  <w:lang w:val="en-US" w:bidi="ar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0F1115"/>
              <w:kern w:val="0"/>
              <w:sz w:val="22"/>
              <w:szCs w:val="22"/>
              <w:u w:val="none"/>
              <w:lang w:val="en-US" w:eastAsia="zh-CN" w:bidi="ar"/>
            </w:rPr>
            <m:t>=0.0095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0F1115"/>
              <w:kern w:val="0"/>
              <w:sz w:val="22"/>
              <w:szCs w:val="22"/>
              <w:u w:val="none"/>
              <w:lang w:val="en-US" w:eastAsia="zh-CN" w:bidi="ar"/>
            </w:rPr>
            <m:t>m</m:t>
          </m:r>
        </m:oMath>
      </m:oMathPara>
    </w:p>
    <w:p w14:paraId="6C53C259">
      <w:pPr>
        <w:jc w:val="center"/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曲率半径</w:t>
      </w:r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R=</w:t>
      </w:r>
      <w:r>
        <w:rPr>
          <w:rFonts w:hint="eastAsia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0.9919</w:t>
      </w:r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±</w:t>
      </w:r>
      <w:r>
        <w:rPr>
          <w:rFonts w:hint="eastAsia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0.0095</w:t>
      </w:r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（m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）</w:t>
      </w:r>
    </w:p>
    <w:p w14:paraId="33F050C7">
      <w:pPr>
        <w:jc w:val="both"/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（二）劈尖干涉</w:t>
      </w:r>
    </w:p>
    <w:tbl>
      <w:tblPr>
        <w:tblStyle w:val="6"/>
        <w:tblW w:w="808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1320"/>
        <w:gridCol w:w="1866"/>
        <w:gridCol w:w="2690"/>
      </w:tblGrid>
      <w:tr w14:paraId="2E81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4F90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s(x)/mm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D1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s(x+10)/mm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675D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s(x+10)-s(x)/mm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94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e/mm</w:t>
            </w:r>
          </w:p>
        </w:tc>
      </w:tr>
      <w:tr w14:paraId="7A238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DD3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FEB6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9.850 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31D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3.702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FC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  <w:lang w:val="en-US" w:eastAsia="zh-CN"/>
              </w:rPr>
              <w:t>0.03992</w:t>
            </w:r>
          </w:p>
        </w:tc>
      </w:tr>
      <w:tr w14:paraId="6843C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9D6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100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10.198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9F9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3.659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828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12560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4E0A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F0A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10.560 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8594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3.632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662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31ACC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E5E5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46A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10.891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F0F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3.6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B97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3A69E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DB1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59B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11.278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ADD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3.546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8205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090EA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A9C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8.030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2BB0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11.591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6DD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3.561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1F1C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308FA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E38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2AC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11.921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A65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3.482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539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1B03B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6F9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8.790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0B9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12.271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C1E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3.481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046A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293E2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A5B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795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12.585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26D5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3.416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89E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1738A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F143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E9F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12.890 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DE4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3.352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97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</w:tr>
      <w:tr w14:paraId="40ABF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514C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9E4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747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B325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20C47B23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算劈尖厚度</w:t>
      </w:r>
    </w:p>
    <w:p w14:paraId="40660D62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77010" cy="407035"/>
            <wp:effectExtent l="0" t="0" r="8890" b="12065"/>
            <wp:docPr id="15" name="图片 15" descr="e8ea21ddc59cd7c7a7e6e8a78973e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8ea21ddc59cd7c7a7e6e8a78973e8f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6E4D">
      <w:pPr>
        <w:jc w:val="center"/>
      </w:pPr>
      <w:r>
        <w:rPr>
          <w:rFonts w:hint="eastAsia"/>
          <w:lang w:val="en-US" w:eastAsia="zh-CN"/>
        </w:rPr>
        <w:t>代入数据得</w:t>
      </w:r>
      <w:r>
        <w:drawing>
          <wp:inline distT="0" distB="0" distL="114300" distR="114300">
            <wp:extent cx="3712845" cy="532765"/>
            <wp:effectExtent l="0" t="0" r="825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F876">
      <w:pPr>
        <w:jc w:val="center"/>
      </w:pPr>
      <w:r>
        <w:rPr>
          <w:rFonts w:hint="eastAsia"/>
          <w:lang w:val="en-US" w:eastAsia="zh-CN"/>
        </w:rPr>
        <w:t>A类不确定度</w:t>
      </w:r>
      <w:r>
        <w:drawing>
          <wp:inline distT="0" distB="0" distL="114300" distR="114300">
            <wp:extent cx="3557905" cy="402590"/>
            <wp:effectExtent l="0" t="0" r="10795" b="381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65930" cy="304800"/>
            <wp:effectExtent l="0" t="0" r="127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742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修约后，</w:t>
      </w:r>
    </w:p>
    <w:p w14:paraId="32C1ADAA">
      <w:pPr>
        <w:jc w:val="center"/>
      </w:pPr>
    </w:p>
    <w:p w14:paraId="116F3C1A">
      <w:pPr>
        <w:jc w:val="center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解得e=（3.99±0.04）×</w:t>
      </w:r>
      <m:oMath>
        <m:sSup>
          <m:sSupP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10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lang w:val="en-US" w:eastAsia="zh-CN"/>
              </w:rPr>
              <m:t>−5</m:t>
            </m:r>
            <m:ctrlPr>
              <w:rPr>
                <w:rFonts w:hint="default" w:ascii="Cambria Math" w:hAnsi="Cambria Math" w:cs="Times New Roman"/>
                <w:i/>
                <w:lang w:val="en-US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lang w:val="en-US" w:eastAsia="zh-CN"/>
        </w:rPr>
        <w:t>m</w:t>
      </w:r>
    </w:p>
    <w:p w14:paraId="60A1B864">
      <w:pPr>
        <w:jc w:val="both"/>
        <w:rPr>
          <w:rFonts w:hint="default" w:ascii="Times New Roman" w:hAnsi="Times New Roman" w:cs="Times New Roman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569A447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sz w:val="24"/>
          <w:szCs w:val="24"/>
        </w:rPr>
        <w:t>测量误差：读数显微镜的测微鼓轮存在分度误差，测量暗环直径时，十字叉丝与暗环中心的对准程度会引入误差；平凸透镜与平板玻璃的接触点可能存在灰尘或形变，导致中心暗斑偏离，影响条纹级数的判断。</w:t>
      </w:r>
    </w:p>
    <w:p w14:paraId="32AD87A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sz w:val="24"/>
          <w:szCs w:val="24"/>
        </w:rPr>
        <w:t>系统误差：平凸透镜的曲率半径并非完全均匀，单色光的波长存在一定的不确定性，这些都会对结果产生系统误差。</w:t>
      </w:r>
    </w:p>
    <w:p w14:paraId="2CE5838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cs="Times New Roman"/>
          <w:sz w:val="24"/>
          <w:szCs w:val="24"/>
        </w:rPr>
        <w:t>不确定度分析：不确定度由A类不确定度（多次测量的统计不确定度）和B类不确定度（仪器分度值引起的不确定度）组成。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D16DA17">
      <w:pPr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本次等厚干涉实验成功观察了牛顿环与劈尖干涉的清晰条纹，验证了干涉理论。通过读数显微镜精确测量暗环直径与条纹间距，结合逐差法与公式计算，得出平凸透镜曲率半径与薄膜厚度，结果合理。实验过程中体会到光学测量对操作稳定性与仪器调节的高要求，也认识到避免回程差、准确定位中心的重要性。整体上，实验加深了对等厚干涉原理的理解，提升了精密测量与误差分析的能力。</w:t>
      </w:r>
    </w:p>
    <w:p w14:paraId="76D2EFCB">
      <w:pPr>
        <w:jc w:val="left"/>
        <w:rPr>
          <w:sz w:val="24"/>
          <w:szCs w:val="24"/>
        </w:rPr>
      </w:pPr>
    </w:p>
    <w:p w14:paraId="4815522F">
      <w:pPr>
        <w:jc w:val="left"/>
        <w:rPr>
          <w:sz w:val="24"/>
          <w:szCs w:val="24"/>
        </w:rPr>
      </w:pP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1C9E083C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1.如何消除读数显微镜引起的空程差？</w:t>
      </w:r>
    </w:p>
    <w:p w14:paraId="610BC45D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整个测量过程中，保持测微鼓轮单方向转动，不中途反向，确保读数连续且无空程误差。</w:t>
      </w:r>
    </w:p>
    <w:p w14:paraId="53200653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084FE8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2.为什么随着牛顿圈半径增大，条纹越来越密？</w:t>
      </w:r>
    </w:p>
    <w:p w14:paraId="57B5B0ED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根据牛顿环暗环半径公式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912495" cy="229870"/>
            <wp:effectExtent l="0" t="0" r="1905" b="1143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（R为透镜曲率半径，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16840" cy="165100"/>
            <wp:effectExtent l="0" t="0" r="10160" b="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为光波长），相邻暗环半径差 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35885" cy="207645"/>
            <wp:effectExtent l="0" t="0" r="5715" b="825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</w:p>
    <w:p w14:paraId="5B8E3395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随着 k 增大（即半径 rk增大），△r逐渐减小，相邻条纹间距变小，因此条纹越来越密。</w:t>
      </w:r>
    </w:p>
    <w:p w14:paraId="79951B06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37F5F5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3.在透射光中是否也可以观测干涉条纹？</w:t>
      </w:r>
    </w:p>
    <w:p w14:paraId="4AECEA52">
      <w:pPr>
        <w:numPr>
          <w:ilvl w:val="0"/>
          <w:numId w:val="0"/>
        </w:num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能观测到干涉条纹，但条纹明暗与反射光互补。反射光中因存在半波损失，中心为暗斑；透射光中无额外半波损失，中心为亮斑，且条纹对比度低于反射光（因部分光直接透射，干扰干涉信号）。</w:t>
      </w:r>
    </w:p>
    <w:p w14:paraId="4A2B2282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4EF1E75F">
      <w:pPr>
        <w:jc w:val="both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0DC43C57"/>
    <w:rsid w:val="12356D59"/>
    <w:rsid w:val="14AF7DF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22318EF"/>
    <w:rsid w:val="5A3638E2"/>
    <w:rsid w:val="5D115478"/>
    <w:rsid w:val="5D9841DC"/>
    <w:rsid w:val="60AF4559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1627</Words>
  <Characters>1796</Characters>
  <Lines>42</Lines>
  <Paragraphs>18</Paragraphs>
  <TotalTime>10</TotalTime>
  <ScaleCrop>false</ScaleCrop>
  <LinksUpToDate>false</LinksUpToDate>
  <CharactersWithSpaces>1812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2025-12-12T11:55:25Z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