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</w:t>
      </w:r>
      <w:r>
        <w:rPr>
          <w:rFonts w:hint="eastAsia"/>
          <w:b/>
          <w:sz w:val="32"/>
          <w:szCs w:val="32"/>
          <w:lang w:val="en-US" w:eastAsia="zh-CN"/>
        </w:rPr>
        <w:t>非平衡电桥</w:t>
      </w:r>
      <w:r>
        <w:rPr>
          <w:rFonts w:hint="eastAsia"/>
          <w:b/>
          <w:sz w:val="32"/>
          <w:szCs w:val="32"/>
        </w:rPr>
        <w:t>_____________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实验桌号：_________________________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</w:t>
      </w:r>
      <w:r>
        <w:rPr>
          <w:rFonts w:hint="eastAsia"/>
          <w:b/>
          <w:sz w:val="32"/>
          <w:szCs w:val="32"/>
          <w:lang w:val="en-US" w:eastAsia="zh-CN"/>
        </w:rPr>
        <w:t>郑远</w:t>
      </w:r>
      <w:r>
        <w:rPr>
          <w:rFonts w:hint="eastAsia"/>
          <w:b/>
          <w:sz w:val="32"/>
          <w:szCs w:val="32"/>
        </w:rPr>
        <w:t>_________________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</w:t>
      </w:r>
      <w:r>
        <w:rPr>
          <w:rFonts w:hint="eastAsia"/>
          <w:b/>
          <w:sz w:val="28"/>
          <w:szCs w:val="28"/>
          <w:lang w:val="en-US" w:eastAsia="zh-CN"/>
        </w:rPr>
        <w:t>电气2405</w:t>
      </w:r>
      <w:r>
        <w:rPr>
          <w:rFonts w:hint="eastAsia"/>
          <w:b/>
          <w:sz w:val="28"/>
          <w:szCs w:val="28"/>
        </w:rPr>
        <w:t>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</w:t>
      </w:r>
    </w:p>
    <w:p w14:paraId="1CE2933C">
      <w:pPr>
        <w:tabs>
          <w:tab w:val="right" w:pos="7778"/>
        </w:tabs>
        <w:spacing w:line="360" w:lineRule="auto"/>
        <w:ind w:firstLine="1968" w:firstLineChars="700"/>
        <w:rPr>
          <w:rFonts w:hint="eastAsia" w:eastAsiaTheme="minorEastAsia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学号：___________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</w:t>
      </w:r>
      <w:r>
        <w:rPr>
          <w:rFonts w:hint="eastAsia"/>
          <w:b/>
          <w:sz w:val="28"/>
          <w:szCs w:val="28"/>
          <w:lang w:val="en-US" w:eastAsia="zh-CN"/>
        </w:rPr>
        <w:t>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_月_</w:t>
      </w:r>
      <w:r>
        <w:rPr>
          <w:rFonts w:hint="eastAsia"/>
          <w:b/>
          <w:sz w:val="28"/>
          <w:szCs w:val="28"/>
          <w:lang w:val="en-US" w:eastAsia="zh-CN"/>
        </w:rPr>
        <w:t>18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四_</w:t>
      </w:r>
      <w:r>
        <w:rPr>
          <w:rFonts w:hint="eastAsia"/>
          <w:b/>
          <w:sz w:val="28"/>
          <w:szCs w:val="28"/>
        </w:rPr>
        <w:t>下午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09C3757F">
      <w:pPr>
        <w:jc w:val="righ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3F98A384">
      <w:pPr>
        <w:jc w:val="righ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41604098">
      <w:pPr>
        <w:jc w:val="righ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03B7378A">
      <w:pPr>
        <w:jc w:val="righ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7F789487">
      <w:pPr>
        <w:jc w:val="righ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5A365643">
      <w:pPr>
        <w:jc w:val="right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61DF1C7D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1737A8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FAA5E86">
      <w:pPr>
        <w:pStyle w:val="16"/>
        <w:ind w:left="720" w:hanging="720" w:firstLineChars="0"/>
        <w:jc w:val="left"/>
        <w:rPr>
          <w:rFonts w:hint="default" w:ascii="Times New Roman" w:hAnsi="Times New Roman" w:eastAsia="黑体" w:cs="Times New Roman"/>
          <w:b/>
          <w:sz w:val="32"/>
          <w:szCs w:val="24"/>
        </w:rPr>
      </w:pPr>
      <w:r>
        <w:rPr>
          <w:rFonts w:hint="default" w:ascii="Times New Roman" w:hAnsi="Times New Roman" w:eastAsia="黑体" w:cs="Times New Roman"/>
          <w:b/>
          <w:sz w:val="32"/>
          <w:szCs w:val="24"/>
        </w:rPr>
        <w:t>一、预习报告（10分）</w:t>
      </w:r>
    </w:p>
    <w:p w14:paraId="77E458F2">
      <w:pPr>
        <w:pStyle w:val="17"/>
        <w:ind w:firstLine="0" w:firstLineChars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1. 实验综述（5分）</w:t>
      </w:r>
    </w:p>
    <w:p w14:paraId="31F1B23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（自述实验现象、实验原理和实验方法，包括必要的光路图、电路图、公式等。不超过500字。）</w:t>
      </w:r>
    </w:p>
    <w:p w14:paraId="1668574E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实验背景</w:t>
      </w:r>
    </w:p>
    <w:p w14:paraId="2CB01C96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惠斯登电桥自19世纪发明以来，一直是电阻测量的重要工具。传统平衡电桥适用于测量稳定电阻，但在实际工程与科学研究中，许多物理量（如温度、压力、形变等）是连续变化的。非平衡电桥正是为解决这类动态测量问题而发展的一种方法，它能够将电阻的变化转化为电压信号输出，实现对环境变量连续、灵敏的检测与控制。</w:t>
      </w:r>
    </w:p>
    <w:p w14:paraId="24B2AEA9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default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caps w:val="0"/>
          <w:color w:val="0F1115"/>
          <w:spacing w:val="0"/>
          <w:sz w:val="24"/>
          <w:szCs w:val="24"/>
          <w:shd w:val="clear" w:fill="FFFFFF"/>
        </w:rPr>
        <w:t>实验原理</w:t>
      </w:r>
    </w:p>
    <w:p w14:paraId="09F05D58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非平衡电桥在结构上与平衡电桥类似，由四个电阻臂构成。当待测电阻 Rx因外界因素（如温度变化）发生改变时，电桥失去平衡，输出一个与电阻变化量相关的电压 U。通过测量该电压，即可反推 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x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的变化情况。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Rg→∞时，公式如下：</w:t>
      </w:r>
    </w:p>
    <w:p w14:paraId="768307D0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jc w:val="center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845435" cy="494030"/>
            <wp:effectExtent l="0" t="0" r="12065" b="1270"/>
            <wp:docPr id="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49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67C0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对于金属材料，在室温附近其电阻与温度近似呈线性关系，可表示为：</w:t>
      </w:r>
    </w:p>
    <w:p w14:paraId="7AD64A1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Rt=R0(1+αt)</w:t>
      </w:r>
    </w:p>
    <w:p w14:paraId="4FDA5E44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其中 R0为0℃时的电阻值，α 为电阻温度系数。本实验中，通过非平衡电桥测量不同温度下电桥的输出电压，结合已知电源电压 E，可计算出温度系数 α。</w:t>
      </w:r>
    </w:p>
    <w:p w14:paraId="0610F01C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181090" cy="2020570"/>
            <wp:effectExtent l="0" t="0" r="3810" b="11430"/>
            <wp:docPr id="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202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9A378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0918263">
      <w:pPr>
        <w:pStyle w:val="8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68C3FB4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515A018">
      <w:pPr>
        <w:pStyle w:val="17"/>
        <w:ind w:firstLine="0" w:firstLineChars="0"/>
        <w:jc w:val="left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2.实验重点（3分）</w:t>
      </w:r>
    </w:p>
    <w:p w14:paraId="190A02CD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（简述本实验的学习重点，不超过100字。）</w:t>
      </w:r>
    </w:p>
    <w:p w14:paraId="15FBD57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理解非平衡电桥的工作原理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：掌握其如何将电阻变化转化为电压信号，以及该电压与电阻变化之间的关系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660B49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掌握实验操作流程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：包括电路连接、仪器设置（如功能开关选择、电阻初值设定）、温度控制与数据记录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689D49A5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数据处理与分析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：学会从测得的电压值计算温度系数，并与理论值进行比较，评估实验结果的可靠性。</w:t>
      </w:r>
    </w:p>
    <w:p w14:paraId="0B382382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对比平衡与非平衡电桥的应用场景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：理解两者在测量静态与动态电阻时的不同特点与适用性。</w:t>
      </w:r>
    </w:p>
    <w:p w14:paraId="772FF66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64E1F83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46DE71E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B8B5FCB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3.实验难点</w:t>
      </w:r>
      <w:r>
        <w:rPr>
          <w:rFonts w:hint="default" w:ascii="Times New Roman" w:hAnsi="Times New Roman" w:cs="Times New Roman"/>
          <w:b/>
          <w:sz w:val="28"/>
          <w:szCs w:val="28"/>
        </w:rPr>
        <w:t>（2分）</w:t>
      </w:r>
    </w:p>
    <w:p w14:paraId="122BC55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（简述本实验的实现难点，不超过100字。）</w:t>
      </w:r>
    </w:p>
    <w:p w14:paraId="22DEE87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· </w:t>
      </w: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电路连接与参数设置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：需确保电桥各臂电阻初值设定正确，特别是待测电阻为铜电阻（Cu50），其0℃阻值为50Ω，要求 R1=R2=R3=50Ω</w:t>
      </w:r>
    </w:p>
    <w:p w14:paraId="3B7E3EB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温度控制与稳定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：实验中需在温控装置上设置并保持多个温度点，温度波动会影响电压读数的准确性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6800EAEA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电压测量的灵敏度与误差控制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：非平衡电压值通常较小（毫伏级），需注意仪器调零、读数稳定性及环境干扰的影响。</w:t>
      </w:r>
    </w:p>
    <w:p w14:paraId="2F6F5FC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</w:rPr>
      </w:pP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·</w:t>
      </w:r>
      <w:r>
        <w:rPr>
          <w:rStyle w:val="12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理论公式的理解与应用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：虽然公式已简化，但在推导电压与温度系数的关系时，仍需注意各物理量的对应关系，避免代入错误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5551FA9E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CC33FFF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4D7375C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00657CD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872207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BD70C7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AEF13B4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C6DD22A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22F33AE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0F6C27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9226E59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541584F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EF78393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00118ED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7BF851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AA65C64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ACFAB8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B5D9862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2E53D7B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8D1DBA0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D5B132F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31F955F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9538ED5">
      <w:pPr>
        <w:pStyle w:val="16"/>
        <w:ind w:left="720" w:hanging="720" w:firstLineChars="0"/>
        <w:jc w:val="left"/>
        <w:rPr>
          <w:rFonts w:hint="default" w:ascii="Times New Roman" w:hAnsi="Times New Roman" w:eastAsia="黑体" w:cs="Times New Roman"/>
          <w:b/>
          <w:sz w:val="32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sz w:val="32"/>
          <w:szCs w:val="24"/>
        </w:rPr>
        <w:t>二、原始数据</w:t>
      </w:r>
    </w:p>
    <w:p w14:paraId="682F9CA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4941422F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3928745" cy="5915025"/>
            <wp:effectExtent l="0" t="0" r="8255" b="3175"/>
            <wp:docPr id="6" name="图片 6" descr="cca9d3bf12777ea6c1298d2ebb6070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ca9d3bf12777ea6c1298d2ebb6070e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98A1B">
      <w:pPr>
        <w:pStyle w:val="16"/>
        <w:ind w:left="0" w:leftChars="0" w:firstLine="0" w:firstLineChars="0"/>
        <w:jc w:val="left"/>
        <w:rPr>
          <w:rFonts w:hint="default" w:ascii="Times New Roman" w:hAnsi="Times New Roman" w:eastAsia="黑体" w:cs="Times New Roman"/>
          <w:b/>
          <w:sz w:val="32"/>
          <w:szCs w:val="24"/>
        </w:rPr>
      </w:pPr>
      <w:r>
        <w:rPr>
          <w:rFonts w:hint="eastAsia" w:ascii="Times New Roman" w:hAnsi="Times New Roman" w:eastAsia="黑体" w:cs="Times New Roman"/>
          <w:b/>
          <w:sz w:val="32"/>
          <w:szCs w:val="24"/>
          <w:lang w:val="en-US" w:eastAsia="zh-CN"/>
        </w:rPr>
        <w:t>三、结</w:t>
      </w:r>
      <w:r>
        <w:rPr>
          <w:rFonts w:hint="default" w:ascii="Times New Roman" w:hAnsi="Times New Roman" w:eastAsia="黑体" w:cs="Times New Roman"/>
          <w:b/>
          <w:sz w:val="32"/>
          <w:szCs w:val="24"/>
        </w:rPr>
        <w:t>果与分析</w:t>
      </w:r>
    </w:p>
    <w:p w14:paraId="22C490CA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数据处理与结果</w:t>
      </w:r>
    </w:p>
    <w:p w14:paraId="67153997">
      <w:pPr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（列出数据表格、选择适合的数据处理方法、写出测量或计算结果。）</w:t>
      </w:r>
    </w:p>
    <w:p w14:paraId="5496E8CD">
      <w:pPr>
        <w:jc w:val="left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①铜50的温度系数</w:t>
      </w:r>
    </w:p>
    <w:tbl>
      <w:tblPr>
        <w:tblStyle w:val="9"/>
        <w:tblW w:w="46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990"/>
        <w:gridCol w:w="990"/>
        <w:gridCol w:w="1641"/>
      </w:tblGrid>
      <w:tr w14:paraId="7EDE7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2840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834CD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T/℃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1D28A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U/mV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B13EB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α/</w:t>
            </w:r>
            <m:oMath>
              <m:sSup>
                <m:sSupPr>
                  <m:ctrlPr>
                    <w:rPr>
                      <w:rFonts w:hint="default" w:ascii="Cambria Math" w:hAnsi="Cambria Math" w:cs="Times New Roman"/>
                      <w:bCs/>
                      <w:i/>
                      <w:iCs w:val="0"/>
                      <w:color w:val="1A1C1E"/>
                      <w:kern w:val="0"/>
                      <w:sz w:val="21"/>
                      <w:szCs w:val="21"/>
                      <w:u w:val="none"/>
                      <w:lang w:val="en-US" w:bidi="ar"/>
                    </w:rPr>
                  </m:ctrlPr>
                </m:sSupPr>
                <m:e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 w:val="0"/>
                      <w:color w:val="1A1C1E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m:t>℃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iCs w:val="0"/>
                      <w:color w:val="1A1C1E"/>
                      <w:kern w:val="0"/>
                      <w:sz w:val="21"/>
                      <w:szCs w:val="21"/>
                      <w:u w:val="none"/>
                      <w:lang w:val="en-US" w:bidi="ar"/>
                    </w:rPr>
                  </m:ctrlPr>
                </m:e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cs="Times New Roman"/>
                      <w:b w:val="0"/>
                      <w:bCs/>
                      <w:i w:val="0"/>
                      <w:iCs w:val="0"/>
                      <w:color w:val="1A1C1E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m:t>−1</m:t>
                  </m:r>
                  <m:ctrlPr>
                    <w:rPr>
                      <w:rFonts w:hint="default" w:ascii="Cambria Math" w:hAnsi="Cambria Math" w:cs="Times New Roman"/>
                      <w:bCs/>
                      <w:i/>
                      <w:iCs w:val="0"/>
                      <w:color w:val="1A1C1E"/>
                      <w:kern w:val="0"/>
                      <w:sz w:val="21"/>
                      <w:szCs w:val="21"/>
                      <w:u w:val="none"/>
                      <w:lang w:val="en-US" w:bidi="ar"/>
                    </w:rPr>
                  </m:ctrlPr>
                </m:sup>
              </m:sSup>
            </m:oMath>
          </w:p>
        </w:tc>
      </w:tr>
      <w:tr w14:paraId="4942B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F4BF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050F6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20.9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214C1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71D1F6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0.004147</w:t>
            </w:r>
          </w:p>
        </w:tc>
      </w:tr>
      <w:tr w14:paraId="07A9A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4199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963C2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8D15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32.5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F8BC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0.004211</w:t>
            </w:r>
          </w:p>
        </w:tc>
      </w:tr>
      <w:tr w14:paraId="1CD6C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6AFD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0F1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29.9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B1D04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38.1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0917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0.004165</w:t>
            </w:r>
          </w:p>
        </w:tc>
      </w:tr>
      <w:tr w14:paraId="40CEE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73F8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AB02D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35.3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7DEFF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45.8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F0F31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0.004295</w:t>
            </w:r>
          </w:p>
        </w:tc>
      </w:tr>
      <w:tr w14:paraId="58388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8A08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8D27ED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A425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82BEF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0.004257</w:t>
            </w:r>
          </w:p>
        </w:tc>
      </w:tr>
      <w:tr w14:paraId="664D8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E765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99036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45.6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EB9AA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57.1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7A42F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0.004224</w:t>
            </w:r>
          </w:p>
        </w:tc>
      </w:tr>
      <w:tr w14:paraId="434A7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DA588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6AE9B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51.8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19602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64.3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2B9FE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0.004239</w:t>
            </w:r>
          </w:p>
        </w:tc>
      </w:tr>
      <w:tr w14:paraId="65573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E1D2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D1B5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1CAD5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70.3</w:t>
            </w:r>
          </w:p>
        </w:tc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B38804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1A1C1E"/>
                <w:kern w:val="0"/>
                <w:sz w:val="21"/>
                <w:szCs w:val="21"/>
                <w:u w:val="none"/>
                <w:lang w:val="en-US" w:eastAsia="zh-CN" w:bidi="ar"/>
              </w:rPr>
              <w:t>0.004255</w:t>
            </w:r>
          </w:p>
        </w:tc>
      </w:tr>
    </w:tbl>
    <w:p w14:paraId="5A059E2D">
      <w:pPr>
        <w:jc w:val="center"/>
        <w:rPr>
          <w:rFonts w:hint="default" w:ascii="Times New Roman" w:hAnsi="Times New Roman" w:cs="Times New Roman"/>
          <w:i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m:oMath>
        <m:acc>
          <m:accPr>
            <m:chr m:val="̅"/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  <w:lang w:val="en-US" w:eastAsia="zh-CN"/>
              </w:rPr>
              <m:t>α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/>
              </w:rPr>
            </m:ctrlPr>
          </m:e>
        </m:acc>
      </m:oMath>
      <w:r>
        <w:rPr>
          <w:rFonts w:hint="default" w:ascii="Times New Roman" w:hAnsi="Times New Roman" w:eastAsia="宋体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  <w:t>=</w:t>
      </w:r>
      <w:r>
        <w:rPr>
          <w:rFonts w:hint="default" w:ascii="Times New Roman" w:hAnsi="Times New Roman" w:eastAsia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0.00422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  <w:t>4</w:t>
      </w:r>
      <m:oMath>
        <m:sSup>
          <m:sSupP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sup>
        </m:sSup>
      </m:oMath>
    </w:p>
    <w:p w14:paraId="29F1E915">
      <w:pPr>
        <w:jc w:val="center"/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  <w:lang w:val="en-US" w:eastAsia="zh-CN"/>
                </w:rPr>
                <m:t>α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  <w:lang w:val="en-US" w:eastAsia="zh-CN"/>
            </w:rPr>
            <m:t>=0.004280</m:t>
          </m:r>
          <m:sSup>
            <m:sSupPr>
              <m:ctrlPr>
                <w:rPr>
                  <w:rFonts w:hint="default" w:ascii="Cambria Math" w:hAnsi="Cambria Math" w:cs="Times New Roman"/>
                  <w:i/>
                  <w:iCs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 w:eastAsia="zh-CN"/>
                </w:rPr>
                <m:t>℃</m:t>
              </m:r>
              <m:ctrlPr>
                <w:rPr>
                  <w:rFonts w:hint="default" w:ascii="Cambria Math" w:hAnsi="Cambria Math" w:cs="Times New Roman"/>
                  <w:i/>
                  <w:iCs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iCs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/>
                </w:rPr>
              </m:ctrlPr>
            </m:sup>
          </m:sSup>
        </m:oMath>
      </m:oMathPara>
    </w:p>
    <w:p w14:paraId="3EC50AFC">
      <w:pPr>
        <w:tabs>
          <w:tab w:val="left" w:pos="2285"/>
        </w:tabs>
        <w:jc w:val="center"/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  <w:t>E=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  <w:caps w:val="0"/>
            <w:color w:val="1A1C1E"/>
            <w:spacing w:val="0"/>
            <w:sz w:val="24"/>
            <w:szCs w:val="24"/>
            <w:shd w:val="clear" w:fill="FFFFFF"/>
            <w:lang w:val="en-US" w:eastAsia="zh-CN"/>
          </w:rPr>
          <m:t>|</m:t>
        </m:r>
        <m:f>
          <m:fP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  <w:t>|=1.31%</w:t>
      </w:r>
    </w:p>
    <w:p w14:paraId="7504AEC2">
      <w:pPr>
        <w:tabs>
          <w:tab w:val="left" w:pos="2285"/>
        </w:tabs>
        <w:jc w:val="both"/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  <w:t>②平衡电桥 用Rt=R0（1+αt）计算</w:t>
      </w:r>
    </w:p>
    <w:tbl>
      <w:tblPr>
        <w:tblStyle w:val="9"/>
        <w:tblW w:w="890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5"/>
        <w:gridCol w:w="2966"/>
        <w:gridCol w:w="2969"/>
      </w:tblGrid>
      <w:tr w14:paraId="60E8A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9036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B07B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T/℃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A3C7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Rt/Ω</w:t>
            </w:r>
          </w:p>
        </w:tc>
      </w:tr>
      <w:tr w14:paraId="1F060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9E7378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4DC0BF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36"/>
                <w:szCs w:val="36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20.9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FC2B5A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55.50</w:t>
            </w:r>
          </w:p>
        </w:tc>
      </w:tr>
      <w:tr w14:paraId="50DD3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53FA20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485E55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36"/>
                <w:szCs w:val="36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25.0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37C59D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56.40</w:t>
            </w:r>
          </w:p>
        </w:tc>
      </w:tr>
      <w:tr w14:paraId="5CCB1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0F8273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2587A05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36"/>
                <w:szCs w:val="36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29.9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E1181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57.48</w:t>
            </w:r>
          </w:p>
        </w:tc>
      </w:tr>
      <w:tr w14:paraId="51F84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0010B7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BF240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36"/>
                <w:szCs w:val="36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35.3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E40163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58.65</w:t>
            </w:r>
          </w:p>
        </w:tc>
      </w:tr>
      <w:tr w14:paraId="2693CC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F91D24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4EAAD2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36"/>
                <w:szCs w:val="36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40.0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4D6D23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59.68</w:t>
            </w:r>
          </w:p>
        </w:tc>
      </w:tr>
      <w:tr w14:paraId="43204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4B0589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55F350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36"/>
                <w:szCs w:val="36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45.6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3D83DD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60.90</w:t>
            </w:r>
          </w:p>
        </w:tc>
      </w:tr>
      <w:tr w14:paraId="394D7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357ADA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7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202D7C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1A1C1E"/>
                <w:sz w:val="36"/>
                <w:szCs w:val="36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51.8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43FDC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62.25</w:t>
            </w:r>
          </w:p>
        </w:tc>
      </w:tr>
      <w:tr w14:paraId="025B71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21556F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8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E58C1E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57.0</w:t>
            </w:r>
          </w:p>
        </w:tc>
        <w:tc>
          <w:tcPr>
            <w:tcW w:w="2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C6CAE">
            <w:pPr>
              <w:keepNext w:val="0"/>
              <w:keepLines w:val="0"/>
              <w:widowControl/>
              <w:suppressLineNumbers w:val="0"/>
              <w:spacing w:line="200" w:lineRule="atLeast"/>
              <w:jc w:val="center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A1C1E"/>
                <w:spacing w:val="0"/>
                <w:kern w:val="0"/>
                <w:sz w:val="21"/>
                <w:szCs w:val="21"/>
                <w:lang w:val="en-US" w:eastAsia="zh-CN" w:bidi="ar"/>
              </w:rPr>
              <w:t>63.38</w:t>
            </w:r>
          </w:p>
        </w:tc>
      </w:tr>
    </w:tbl>
    <w:p w14:paraId="506A3B89">
      <w:pPr>
        <w:tabs>
          <w:tab w:val="left" w:pos="2285"/>
        </w:tabs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</w:p>
    <w:p w14:paraId="39D40CA5">
      <w:pPr>
        <w:tabs>
          <w:tab w:val="left" w:pos="2285"/>
        </w:tabs>
        <w:jc w:val="center"/>
        <w:rPr>
          <w:rFonts w:hint="default" w:ascii="Times New Roman" w:hAnsi="Times New Roman" w:cs="Times New Roman"/>
          <w:i w:val="0"/>
          <w:kern w:val="2"/>
          <w:sz w:val="21"/>
          <w:szCs w:val="22"/>
          <w:lang w:val="en-US" w:eastAsia="zh-CN" w:bidi="ar-SA"/>
        </w:rPr>
      </w:pPr>
      <m:oMath>
        <m:r>
          <m:rPr>
            <m:nor/>
          </m:rPr>
          <w:rPr>
            <w:rFonts w:hint="default" w:ascii="Times New Roman" w:hAnsi="Times New Roman" w:cs="Times New Roman"/>
            <w:i/>
            <w:kern w:val="2"/>
            <w:sz w:val="21"/>
            <w:szCs w:val="22"/>
            <w:lang w:val="en-US" w:eastAsia="zh-CN" w:bidi="ar-SA"/>
          </w:rPr>
          <m:t>α</m:t>
        </m:r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  <w:kern w:val="2"/>
                <w:sz w:val="21"/>
                <w:szCs w:val="22"/>
                <w:lang w:val="en-US" w:eastAsia="zh-CN" w:bidi="ar-SA"/>
              </w:rPr>
              <m:t>k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  <w:kern w:val="2"/>
                <w:sz w:val="21"/>
                <w:szCs w:val="22"/>
                <w:lang w:val="en-US" w:eastAsia="zh-CN" w:bidi="ar-SA"/>
              </w:rPr>
              <m:t>R</m:t>
            </m:r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kern w:val="2"/>
            <w:sz w:val="21"/>
            <w:szCs w:val="22"/>
            <w:lang w:val="en-US" w:eastAsia="zh-CN" w:bidi="ar-SA"/>
          </w:rPr>
          <m:t>=0.0</m:t>
        </m:r>
      </m:oMath>
      <w:r>
        <w:rPr>
          <w:rFonts w:hint="default" w:ascii="Times New Roman" w:hAnsi="Times New Roman" w:cs="Times New Roman"/>
          <w:i w:val="0"/>
          <w:kern w:val="2"/>
          <w:sz w:val="21"/>
          <w:szCs w:val="22"/>
          <w:lang w:val="en-US" w:eastAsia="zh-CN" w:bidi="ar-SA"/>
        </w:rPr>
        <w:t>04285</w:t>
      </w:r>
    </w:p>
    <w:p w14:paraId="6115C6E4">
      <w:pPr>
        <w:jc w:val="center"/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</w:pPr>
      <m:oMathPara>
        <m:oMath>
          <m:sSub>
            <m:sSubP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cs="Times New Roman"/>
                  <w:i/>
                  <w:sz w:val="24"/>
                  <w:szCs w:val="24"/>
                  <w:lang w:val="en-US" w:eastAsia="zh-CN"/>
                </w:rPr>
                <m:t>α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sz w:val="24"/>
                  <w:szCs w:val="24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cs="Times New Roman"/>
              <w:b w:val="0"/>
              <w:i w:val="0"/>
              <w:sz w:val="24"/>
              <w:szCs w:val="24"/>
              <w:lang w:val="en-US" w:eastAsia="zh-CN"/>
            </w:rPr>
            <m:t>=0.004280</m:t>
          </m:r>
          <m:sSup>
            <m:sSupPr>
              <m:ctrlPr>
                <w:rPr>
                  <w:rFonts w:hint="default" w:ascii="Cambria Math" w:hAnsi="Cambria Math" w:cs="Times New Roman"/>
                  <w:i/>
                  <w:iCs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 w:eastAsia="zh-CN"/>
                </w:rPr>
                <m:t>℃</m:t>
              </m:r>
              <m:ctrlPr>
                <w:rPr>
                  <w:rFonts w:hint="default" w:ascii="Cambria Math" w:hAnsi="Cambria Math" w:cs="Times New Roman"/>
                  <w:i/>
                  <w:iCs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cs="Times New Roman"/>
                  <w:b w:val="0"/>
                  <w:i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iCs w:val="0"/>
                  <w:caps w:val="0"/>
                  <w:color w:val="1A1C1E"/>
                  <w:spacing w:val="0"/>
                  <w:sz w:val="24"/>
                  <w:szCs w:val="24"/>
                  <w:shd w:val="clear" w:fill="FFFFFF"/>
                  <w:lang w:val="en-US"/>
                </w:rPr>
              </m:ctrlPr>
            </m:sup>
          </m:sSup>
        </m:oMath>
      </m:oMathPara>
    </w:p>
    <w:p w14:paraId="0BD7511D">
      <w:pPr>
        <w:tabs>
          <w:tab w:val="left" w:pos="2285"/>
        </w:tabs>
        <w:jc w:val="center"/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  <w:t>E=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b w:val="0"/>
            <w:i w:val="0"/>
            <w:iCs w:val="0"/>
            <w:caps w:val="0"/>
            <w:color w:val="1A1C1E"/>
            <w:spacing w:val="0"/>
            <w:sz w:val="24"/>
            <w:szCs w:val="24"/>
            <w:shd w:val="clear" w:fill="FFFFFF"/>
            <w:lang w:val="en-US" w:eastAsia="zh-CN"/>
          </w:rPr>
          <m:t>|</m:t>
        </m:r>
        <m:f>
          <m:fPr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fPr>
          <m:num>
            <m:acc>
              <m:accPr>
                <m:chr m:val="̅"/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e>
            </m:acc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  <w:lang w:val="en-US" w:eastAsia="zh-CN"/>
              </w:rPr>
              <m:t>−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cs="Times New Roman"/>
                    <w:i/>
                    <w:sz w:val="24"/>
                    <w:szCs w:val="24"/>
                    <w:lang w:val="en-US" w:eastAsia="zh-CN"/>
                  </w:rPr>
                  <m:t>α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cs="Times New Roman"/>
                    <w:b w:val="0"/>
                    <w:i w:val="0"/>
                    <w:sz w:val="24"/>
                    <w:szCs w:val="24"/>
                    <w:lang w:val="en-US" w:eastAsia="zh-CN"/>
                  </w:rPr>
                  <m:t>0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iCs w:val="0"/>
                <w:caps w:val="0"/>
                <w:color w:val="1A1C1E"/>
                <w:spacing w:val="0"/>
                <w:sz w:val="24"/>
                <w:szCs w:val="24"/>
                <w:shd w:val="clear" w:fill="FFFFFF"/>
                <w:lang w:val="en-US"/>
              </w:rPr>
            </m:ctrlPr>
          </m:den>
        </m:f>
      </m:oMath>
      <w:r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  <w:t>|=0.12%</w:t>
      </w:r>
    </w:p>
    <w:p w14:paraId="4D9000FA">
      <w:pPr>
        <w:tabs>
          <w:tab w:val="left" w:pos="2285"/>
        </w:tabs>
        <w:jc w:val="both"/>
        <w:rPr>
          <w:rFonts w:hint="default" w:ascii="Times New Roman" w:hAnsi="Times New Roman" w:cs="Times New Roman"/>
          <w:i w:val="0"/>
          <w:kern w:val="2"/>
          <w:sz w:val="21"/>
          <w:szCs w:val="22"/>
          <w:lang w:val="en-US" w:eastAsia="zh-CN" w:bidi="ar-SA"/>
        </w:rPr>
      </w:pPr>
    </w:p>
    <w:p w14:paraId="080CA5AD">
      <w:pPr>
        <w:tabs>
          <w:tab w:val="left" w:pos="2285"/>
        </w:tabs>
        <w:jc w:val="both"/>
        <w:rPr>
          <w:rFonts w:hint="default" w:ascii="Times New Roman" w:hAnsi="Times New Roman" w:cs="Times New Roman"/>
          <w:i w:val="0"/>
          <w:kern w:val="2"/>
          <w:sz w:val="21"/>
          <w:szCs w:val="22"/>
          <w:lang w:val="en-US" w:eastAsia="zh-CN" w:bidi="ar-SA"/>
        </w:rPr>
      </w:pPr>
    </w:p>
    <w:p w14:paraId="7331B7E0">
      <w:pPr>
        <w:tabs>
          <w:tab w:val="left" w:pos="2285"/>
        </w:tabs>
        <w:jc w:val="both"/>
        <w:rPr>
          <w:rFonts w:hint="default" w:ascii="Times New Roman" w:hAnsi="Times New Roman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71645" cy="2985770"/>
            <wp:effectExtent l="0" t="0" r="8255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298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19665">
      <w:pPr>
        <w:tabs>
          <w:tab w:val="left" w:pos="2285"/>
        </w:tabs>
        <w:jc w:val="both"/>
        <w:rPr>
          <w:rFonts w:hint="default" w:ascii="Times New Roman" w:hAnsi="Times New Roman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 w:eastAsia="zh-CN"/>
        </w:rPr>
      </w:pPr>
    </w:p>
    <w:p w14:paraId="13F86189">
      <w:pPr>
        <w:jc w:val="center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</w:p>
    <w:p w14:paraId="7F86E011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2．误差分析</w:t>
      </w:r>
    </w:p>
    <w:p w14:paraId="4C47F3D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2408D997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①非平衡电桥实验前，未在0℃条件下对电桥进行预调平衡操作，带来误差。</w:t>
      </w:r>
    </w:p>
    <w:p w14:paraId="0B0D7591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②非平衡电桥中，E按照1.3V计算，实际值可能有偏差。</w:t>
      </w:r>
    </w:p>
    <w:p w14:paraId="13993557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③平衡电桥实验中，使得电桥平衡的值不唯一，带来误差。</w:t>
      </w:r>
    </w:p>
    <w:p w14:paraId="4DB9D750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④电阻阻值随温度变化，U与Rt有可能不在同一时刻读数，带来误差。</w:t>
      </w:r>
    </w:p>
    <w:p w14:paraId="571B6D07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⑤铜电阻本身氧化，导致温度系数和标准值有误差。</w:t>
      </w:r>
    </w:p>
    <w:p w14:paraId="7EC77E51">
      <w:pPr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3．实验探讨</w:t>
      </w:r>
    </w:p>
    <w:p w14:paraId="7B0C2439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（对实验内容、现象和过程的小结，不超过100字。）</w:t>
      </w:r>
    </w:p>
    <w:p w14:paraId="6F9E6BA1">
      <w:p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本实验通过非平衡电桥测量了铜电阻随温度变化的输出电压，并计算出其温度系数α ≈ 0.004224℃⁻¹，与理论值吻合较好（相对误差1.31%），验证了非平衡电桥在动态测量中的有效性。实验中，输出电压随温度升高而线性增大，符合理论预期。操作中需注意电桥初态平衡、温度稳定与电压读数准确性，这些是影响结果的关键因素。非平衡电桥适用于连续变化的物理量检测，具有响应快、便于自动化处理的优点，是工程测量中的重要工具。</w:t>
      </w:r>
    </w:p>
    <w:p w14:paraId="7EDD4AE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264FCA4A">
      <w:pPr>
        <w:jc w:val="left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05CCF56">
      <w:pPr>
        <w:pStyle w:val="16"/>
        <w:ind w:left="720" w:hanging="720" w:firstLineChars="0"/>
        <w:jc w:val="left"/>
        <w:rPr>
          <w:rFonts w:hint="default" w:ascii="Times New Roman" w:hAnsi="Times New Roman" w:eastAsia="黑体" w:cs="Times New Roman"/>
          <w:b/>
          <w:sz w:val="32"/>
          <w:szCs w:val="24"/>
        </w:rPr>
      </w:pPr>
      <w:r>
        <w:rPr>
          <w:rFonts w:hint="default" w:ascii="Times New Roman" w:hAnsi="Times New Roman" w:eastAsia="黑体" w:cs="Times New Roman"/>
          <w:b/>
          <w:sz w:val="32"/>
          <w:szCs w:val="24"/>
        </w:rPr>
        <w:t>四、思考题</w:t>
      </w:r>
    </w:p>
    <w:p w14:paraId="188A310E">
      <w:pPr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（解答教材或讲义或老师布置的思考题，请先写题干，再作答。）</w:t>
      </w:r>
    </w:p>
    <w:p w14:paraId="746D47A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1. 非平衡电桥与平衡电桥的主要区别是什么？非平衡电桥的优点是什么？</w:t>
      </w:r>
    </w:p>
    <w:p w14:paraId="57AF186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主要区别：</w:t>
      </w:r>
    </w:p>
    <w:p w14:paraId="36DA0C2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平衡电桥：通过调节桥臂电阻使电桥输出为零（平衡），从而通过已知电阻值计算未知电阻，适用于静态电阻测量。</w:t>
      </w:r>
    </w:p>
    <w:p w14:paraId="0FE6E2C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非平衡电桥：电桥处于不平衡状态，输出信号（电压或电流）随被测电阻的变化而变化，适用于动态或连续变化的物理量（如温度、应变）测量。</w:t>
      </w:r>
    </w:p>
    <w:p w14:paraId="16958035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非平衡电桥的优点：</w:t>
      </w:r>
    </w:p>
    <w:p w14:paraId="4BB7C59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可实时测量变化的物理量，响应速度快。</w:t>
      </w:r>
    </w:p>
    <w:p w14:paraId="7F44680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无需反复调节平衡，适合自动化测量和连续监测。</w:t>
      </w:r>
    </w:p>
    <w:p w14:paraId="36FADCEC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输出信号与被测物理量的变化成比例，便于信号处理和记录。</w:t>
      </w:r>
    </w:p>
    <w:p w14:paraId="5EE9D9B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4BBFBCD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2. 能否通过实验推测0°C时Cu50电阻？</w:t>
      </w:r>
    </w:p>
    <w:p w14:paraId="080B17AA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可以。</w:t>
      </w:r>
    </w:p>
    <w:p w14:paraId="76531A5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50是一种铜热电阻，其在0°C时的标称电阻为50Ω。通过实验方法（如在不同温度下测量其电阻值），可以利用其温度-电阻特性（通常为线性或近似线性关系）进行拟合，从而推测0°C时的电阻值。常用的方法包括：</w:t>
      </w:r>
    </w:p>
    <w:p w14:paraId="2C622B4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在不同温度点（如冰水混合物、室温、热水等）测量电阻。</w:t>
      </w:r>
    </w:p>
    <w:p w14:paraId="0218DB3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绘制电阻-温度曲线，进行线性拟合。</w:t>
      </w:r>
    </w:p>
    <w:p w14:paraId="7B290EB3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外推或内插得到0°C时的电阻值。</w:t>
      </w:r>
    </w:p>
    <w:p w14:paraId="60694967">
      <w:pPr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B56883A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</w:rPr>
        <w:t>3. 什么是非平衡电桥的灵敏度？如何提高灵敏度？</w:t>
      </w:r>
    </w:p>
    <w:p w14:paraId="2E814A20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灵敏度：指非平衡电桥输出信号（如电压）随被测电阻变化的变化率，</w:t>
      </w:r>
    </w:p>
    <w:p w14:paraId="32AA0F51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i w:val="0"/>
          <w:sz w:val="24"/>
          <w:szCs w:val="24"/>
          <w:lang w:val="en-US" w:eastAsia="zh-CN"/>
        </w:rPr>
        <w:t xml:space="preserve">S= </w:t>
      </w:r>
      <m:oMath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  <w:lang w:val="en-US" w:eastAsia="zh-CN"/>
              </w:rPr>
              <m:t>△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  <w:lang w:val="en-US" w:eastAsia="zh-CN"/>
              </w:rPr>
              <m:t>U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b w:val="0"/>
                <w:i w:val="0"/>
                <w:sz w:val="24"/>
                <w:szCs w:val="24"/>
                <w:lang w:val="en-US" w:eastAsia="zh-CN"/>
              </w:rPr>
              <m:t>△</m:t>
            </m:r>
            <m:r>
              <m:rPr>
                <m:nor/>
              </m:rPr>
              <w:rPr>
                <w:rFonts w:hint="default" w:ascii="Times New Roman" w:hAnsi="Times New Roman" w:cs="Times New Roman"/>
                <w:i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</w:rPr>
            </m:ctrlPr>
          </m:den>
        </m:f>
      </m:oMath>
    </w:p>
    <w:p w14:paraId="10C8C104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它反映了电桥对被测量的响应能力。</w:t>
      </w:r>
    </w:p>
    <w:p w14:paraId="260EB3B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提高灵敏度的方法：</w:t>
      </w:r>
    </w:p>
    <w:p w14:paraId="2CBDBFC6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提高电源电压：在不过载的前提下增加激励电压。</w:t>
      </w:r>
    </w:p>
    <w:p w14:paraId="106F214E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优化桥臂电阻比例：选择合适的桥臂电阻，使电桥工作在灵敏度较高的工作点。</w:t>
      </w:r>
    </w:p>
    <w:p w14:paraId="52C8A958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选择高灵敏度的检测器：如使用高增益放大器或灵敏电压表。</w:t>
      </w:r>
    </w:p>
    <w:p w14:paraId="66B922B3">
      <w:pPr>
        <w:jc w:val="left"/>
        <w:rPr>
          <w:rFonts w:hint="eastAsia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采用全桥或半桥结构：多臂参与</w:t>
      </w:r>
      <w:r>
        <w:rPr>
          <w:rFonts w:hint="eastAsia"/>
          <w:sz w:val="24"/>
          <w:szCs w:val="24"/>
        </w:rPr>
        <w:t>变化可提高输出信号。</w:t>
      </w:r>
    </w:p>
    <w:p w14:paraId="70FEA75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减小内阻影响：降低电源内阻和导线电阻</w:t>
      </w:r>
    </w:p>
    <w:p w14:paraId="1C9E083C">
      <w:pPr>
        <w:jc w:val="left"/>
        <w:rPr>
          <w:sz w:val="24"/>
          <w:szCs w:val="24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3B574415">
      <w:pPr>
        <w:jc w:val="both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3823302A"/>
    <w:rsid w:val="3B976656"/>
    <w:rsid w:val="3CC92926"/>
    <w:rsid w:val="425678D5"/>
    <w:rsid w:val="45FE572D"/>
    <w:rsid w:val="4D660E30"/>
    <w:rsid w:val="522318EF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9"/>
    <w:pPr>
      <w:widowControl w:val="0"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semiHidden/>
    <w:unhideWhenUsed/>
    <w:uiPriority w:val="99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table" w:styleId="10">
    <w:name w:val="Table Grid"/>
    <w:basedOn w:val="9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2">
    <w:name w:val="Strong"/>
    <w:qFormat/>
    <w:uiPriority w:val="22"/>
    <w:rPr>
      <w:b/>
    </w:rPr>
  </w:style>
  <w:style w:type="character" w:customStyle="1" w:styleId="13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17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2003</Words>
  <Characters>2476</Characters>
  <Lines>42</Lines>
  <Paragraphs>18</Paragraphs>
  <TotalTime>81</TotalTime>
  <ScaleCrop>false</ScaleCrop>
  <LinksUpToDate>false</LinksUpToDate>
  <CharactersWithSpaces>2501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2025-12-19T07:14:50Z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