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2D336D79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</w:t>
      </w:r>
      <w:r>
        <w:rPr>
          <w:rFonts w:hint="eastAsia"/>
          <w:b/>
          <w:sz w:val="32"/>
          <w:szCs w:val="32"/>
          <w:lang w:val="en-US" w:eastAsia="zh-CN"/>
        </w:rPr>
        <w:t>等厚干涉</w:t>
      </w:r>
      <w:r>
        <w:rPr>
          <w:rFonts w:hint="eastAsia"/>
          <w:b/>
          <w:sz w:val="32"/>
          <w:szCs w:val="32"/>
        </w:rPr>
        <w:t>________________________</w:t>
      </w:r>
    </w:p>
    <w:p w14:paraId="60E11AC3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</w:t>
      </w:r>
      <w:r>
        <w:rPr>
          <w:rFonts w:hint="eastAsia"/>
          <w:b/>
          <w:sz w:val="32"/>
          <w:szCs w:val="32"/>
          <w:lang w:val="en-US" w:eastAsia="zh-CN"/>
        </w:rPr>
        <w:t>张俊香</w:t>
      </w:r>
      <w:r>
        <w:rPr>
          <w:rFonts w:hint="eastAsia"/>
          <w:b/>
          <w:sz w:val="32"/>
          <w:szCs w:val="32"/>
        </w:rPr>
        <w:t>________________________</w:t>
      </w:r>
    </w:p>
    <w:p w14:paraId="65F4D411"/>
    <w:p w14:paraId="20A161E5"/>
    <w:p w14:paraId="13736FFB"/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</w:t>
      </w:r>
      <w:r>
        <w:rPr>
          <w:rFonts w:hint="eastAsia"/>
          <w:b/>
          <w:sz w:val="28"/>
          <w:szCs w:val="28"/>
          <w:lang w:val="en-US" w:eastAsia="zh-CN"/>
        </w:rPr>
        <w:t>周四下午678</w:t>
      </w:r>
      <w:r>
        <w:rPr>
          <w:rFonts w:hint="eastAsia"/>
          <w:b/>
          <w:sz w:val="28"/>
          <w:szCs w:val="28"/>
        </w:rPr>
        <w:t>______________________________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______________________________</w:t>
      </w:r>
    </w:p>
    <w:p w14:paraId="0C401DA7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_月_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>__日   星期_</w:t>
      </w:r>
      <w:r>
        <w:rPr>
          <w:rFonts w:hint="eastAsia"/>
          <w:b/>
          <w:sz w:val="28"/>
          <w:szCs w:val="28"/>
          <w:lang w:val="en-US" w:eastAsia="zh-CN"/>
        </w:rPr>
        <w:t>四</w:t>
      </w:r>
      <w:r>
        <w:rPr>
          <w:rFonts w:hint="eastAsia"/>
          <w:b/>
          <w:sz w:val="28"/>
          <w:szCs w:val="28"/>
        </w:rPr>
        <w:t>_下午</w:t>
      </w:r>
    </w:p>
    <w:p w14:paraId="39876F50">
      <w:pPr>
        <w:spacing w:line="360" w:lineRule="auto"/>
        <w:ind w:firstLine="1687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1"/>
        <w:ind w:firstLine="0" w:firstLineChars="0"/>
        <w:jc w:val="left"/>
        <w:rPr>
          <w:b/>
          <w:sz w:val="28"/>
          <w:szCs w:val="28"/>
        </w:rPr>
      </w:pPr>
    </w:p>
    <w:p w14:paraId="06CAA41C">
      <w:pPr>
        <w:pStyle w:val="11"/>
        <w:ind w:firstLine="0" w:firstLineChars="0"/>
        <w:jc w:val="left"/>
        <w:rPr>
          <w:b/>
          <w:sz w:val="28"/>
          <w:szCs w:val="28"/>
        </w:rPr>
      </w:pPr>
    </w:p>
    <w:p w14:paraId="32A6BCB4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4437047A">
      <w:pPr>
        <w:jc w:val="left"/>
        <w:rPr>
          <w:b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546FB4E9">
      <w:p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实验目的：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1.理解牛顿环和劈尖干涉条纹的成因；</w:t>
      </w:r>
    </w:p>
    <w:p w14:paraId="583CBC17">
      <w:pPr>
        <w:numPr>
          <w:ilvl w:val="0"/>
          <w:numId w:val="0"/>
        </w:numPr>
        <w:ind w:firstLine="1200" w:firstLineChars="500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2.学习用等厚干涉法测量平凸透镜的曲率半径和薄膜厚度；</w:t>
      </w:r>
    </w:p>
    <w:p w14:paraId="66C6B93E">
      <w:pPr>
        <w:numPr>
          <w:ilvl w:val="0"/>
          <w:numId w:val="0"/>
        </w:numPr>
        <w:ind w:firstLine="1200" w:firstLineChars="500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3.学会使用读数显微镜。</w:t>
      </w:r>
    </w:p>
    <w:p w14:paraId="3D4C5B8A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实验现象：</w:t>
      </w:r>
    </w:p>
    <w:p w14:paraId="7326D806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牛顿环：将一块曲率半径较大的平凸透镜的凸面置于一光学平板玻璃上，在透镜凸面和平板玻璃之间形成一个厚度随直径变化的空气薄膜。用单色光垂直照射时，从反射光方向观察，会看到以接触点为圆心的一系列明暗相间的同心圆环 ，且中心是暗斑。这些圆环间距不等，离中心越远，条纹越密集 。如果用白光照射，则会观察到彩色的同心圆环。</w:t>
      </w:r>
    </w:p>
    <w:p w14:paraId="756069F8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劈尖干涉：两块光学平板玻璃，一端互相叠合，另一端夹一直径很小的细丝或薄片，这样在两玻璃片之间形成一个空气劈尖。当用单色光垂直照射时，在劈尖上表面会看到与两玻璃片交线平行的一系列明暗相间、间距相等的直条纹；若用白光照射，会出现彩色直条纹。</w:t>
      </w:r>
    </w:p>
    <w:p w14:paraId="59B86836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实验原理：</w:t>
      </w:r>
    </w:p>
    <w:p w14:paraId="5EC1D4EB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牛顿环原理：当单色光垂直照射牛顿环装置时，空气薄膜上、下表面反射的两束光会发生干涉。设空气薄膜厚度为e，由于空气薄膜上、下表面反射光存在半波损失，所以两束反射光的光程差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973455" cy="271780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。根据干涉条件，当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638935" cy="224155"/>
            <wp:effectExtent l="0" t="0" r="1206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时，出现明条纹；当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2220595" cy="211455"/>
            <wp:effectExtent l="0" t="0" r="190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时，出现暗条纹 。通过几何关系可以推导出牛顿环第k级暗环半径rk与平凸透镜曲率半径R的关系为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697230" cy="230505"/>
            <wp:effectExtent l="0" t="0" r="127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23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</w:p>
    <w:p w14:paraId="77A5C1D3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7CD5DFA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劈尖干涉原理：对于劈尖，当单色光垂直入射时，在劈尖上、下表面反射的两束光的光程差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774065" cy="208915"/>
            <wp:effectExtent l="0" t="0" r="63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406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，其中e是某点处劈尖的厚度。同样根据干涉条件，当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645285" cy="178435"/>
            <wp:effectExtent l="0" t="0" r="571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时，出现明条纹；当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2085340" cy="187960"/>
            <wp:effectExtent l="0" t="0" r="1016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时，出现暗条纹 。相邻明（暗）条纹对应的劈尖厚度差为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445135" cy="157480"/>
            <wp:effectExtent l="0" t="0" r="1206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。</w:t>
      </w:r>
      <w:r>
        <w:rPr>
          <w:rFonts w:hint="eastAsia" w:ascii="仿宋" w:hAnsi="仿宋" w:eastAsia="仿宋" w:cs="仿宋"/>
          <w:lang w:val="en-US" w:eastAsia="zh-CN"/>
        </w:rPr>
        <w:t>薄片厚度：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857250" cy="289560"/>
            <wp:effectExtent l="0" t="0" r="635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条纹密度：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621665" cy="310515"/>
            <wp:effectExtent l="0" t="0" r="635" b="698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条纹间距（10条）：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537970" cy="357505"/>
            <wp:effectExtent l="0" t="0" r="11430" b="1079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薄片厚度：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317625" cy="378460"/>
            <wp:effectExtent l="0" t="0" r="3175" b="254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3A57C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实验方法</w:t>
      </w:r>
    </w:p>
    <w:p w14:paraId="19863F3A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牛顿环实验</w:t>
      </w:r>
    </w:p>
    <w:p w14:paraId="76279384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仪器调节：将牛顿环装置放在读数显微镜的载物台上，调节读数显微镜的目镜，使十字叉丝清晰；然后调节物镜，使能看到清晰的牛顿环干涉图像。</w:t>
      </w:r>
    </w:p>
    <w:p w14:paraId="18AB18A1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测量数据：转动读数显微镜的测微鼓轮，使显微镜筒左右移动，找到牛顿环的中心暗斑，然后从中心开始，依次测量第k1级到第k2级暗环的直径（分别测量左右两边的位置，相减得到直径），重复测量多次。</w:t>
      </w:r>
    </w:p>
    <w:p w14:paraId="3602E69E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数据处理：根据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697230" cy="230505"/>
            <wp:effectExtent l="0" t="0" r="127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23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，采用逐差法等方法处理数据，计算出平凸透镜的曲率半径R。</w:t>
      </w:r>
    </w:p>
    <w:p w14:paraId="11C1FE97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劈尖干涉实验</w:t>
      </w:r>
    </w:p>
    <w:p w14:paraId="4B7385E5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仪器安装与调节：把劈尖装置放在读数显微镜的载物台上，调节读数显微镜，使能清晰观察到劈尖干涉条纹。</w:t>
      </w:r>
    </w:p>
    <w:p w14:paraId="05A04D75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测量数据：移动读数显微镜，测量若干条相邻明（暗）条纹的间距l，以及劈尖的总长度L ，并记录所用单色光的波长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93980" cy="145415"/>
            <wp:effectExtent l="0" t="0" r="7620" b="69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980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</w:p>
    <w:p w14:paraId="5D0D694F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数据处理：</w:t>
      </w:r>
      <w:r>
        <w:rPr>
          <w:rFonts w:hint="eastAsia" w:ascii="仿宋" w:hAnsi="仿宋" w:eastAsia="仿宋" w:cs="仿宋"/>
          <w:lang w:val="en-US" w:eastAsia="zh-CN"/>
        </w:rPr>
        <w:t>薄片厚度：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857250" cy="289560"/>
            <wp:effectExtent l="0" t="0" r="6350" b="254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条纹密度：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621665" cy="310515"/>
            <wp:effectExtent l="0" t="0" r="635" b="698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条纹间距（10条）：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537970" cy="357505"/>
            <wp:effectExtent l="0" t="0" r="11430" b="10795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薄片厚度：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317625" cy="378460"/>
            <wp:effectExtent l="0" t="0" r="3175" b="254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</w:p>
    <w:p w14:paraId="431A5D1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06BE45B0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①</w:t>
      </w:r>
      <w:r>
        <w:rPr>
          <w:rFonts w:hint="eastAsia" w:ascii="仿宋" w:hAnsi="仿宋" w:eastAsia="仿宋" w:cs="仿宋"/>
          <w:sz w:val="24"/>
          <w:szCs w:val="24"/>
        </w:rPr>
        <w:t>干涉光路调节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调节钠灯光源与半反半透镜，使视场明亮均匀；消除视差，确保叉丝清晰。</w:t>
      </w:r>
    </w:p>
    <w:p w14:paraId="14CD9FE4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②</w:t>
      </w:r>
      <w:r>
        <w:rPr>
          <w:rFonts w:hint="eastAsia" w:ascii="仿宋" w:hAnsi="仿宋" w:eastAsia="仿宋" w:cs="仿宋"/>
          <w:sz w:val="24"/>
          <w:szCs w:val="24"/>
        </w:rPr>
        <w:t>牛顿环测量：找到环中心，沿单一方向转动鼓轮，依次测量暗环左右位置；使用直径平方差法计算曲率半径，避免中心定位误差和系统误差。</w:t>
      </w:r>
    </w:p>
    <w:p w14:paraId="6B5F00D7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③</w:t>
      </w:r>
      <w:r>
        <w:rPr>
          <w:rFonts w:hint="eastAsia" w:ascii="仿宋" w:hAnsi="仿宋" w:eastAsia="仿宋" w:cs="仿宋"/>
          <w:sz w:val="24"/>
          <w:szCs w:val="24"/>
        </w:rPr>
        <w:t>劈尖测量：测量多条条纹间距，求平均值以提高精度；根据条纹密度计算薄膜厚度。</w:t>
      </w:r>
    </w:p>
    <w:p w14:paraId="38DB17CA">
      <w:pPr>
        <w:jc w:val="left"/>
        <w:rPr>
          <w:rFonts w:ascii="宋体" w:hAnsi="宋体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④</w:t>
      </w:r>
      <w:r>
        <w:rPr>
          <w:rFonts w:hint="eastAsia" w:ascii="仿宋" w:hAnsi="仿宋" w:eastAsia="仿宋" w:cs="仿宋"/>
          <w:sz w:val="24"/>
          <w:szCs w:val="24"/>
        </w:rPr>
        <w:t>仪器使用规范：读数显微镜使用中必须避免回程差；数据记录需完整，包括所有暗环位置和条纹间距。</w:t>
      </w:r>
    </w:p>
    <w:p w14:paraId="46B27E65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3CC22C2A">
      <w:pPr>
        <w:pStyle w:val="11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  <w:lang w:val="en-US" w:eastAsia="zh-CN"/>
        </w:rPr>
        <w:t>①</w:t>
      </w:r>
      <w:r>
        <w:rPr>
          <w:rFonts w:hint="eastAsia" w:ascii="仿宋" w:hAnsi="仿宋" w:eastAsia="仿宋" w:cs="仿宋"/>
          <w:b w:val="0"/>
          <w:bCs/>
          <w:sz w:val="21"/>
          <w:szCs w:val="18"/>
        </w:rPr>
        <w:t>干涉条纹识别与调节：牛顿环中心不易找准，且可能受灰尘或挤压影响；劈尖条纹需调至清晰、平行且</w:t>
      </w:r>
    </w:p>
    <w:p w14:paraId="7C68140B">
      <w:pPr>
        <w:pStyle w:val="11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</w:rPr>
        <w:t>对比度明显。</w:t>
      </w:r>
    </w:p>
    <w:p w14:paraId="3B7C14EC">
      <w:pPr>
        <w:pStyle w:val="11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  <w:lang w:eastAsia="zh-CN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  <w:lang w:val="en-US" w:eastAsia="zh-CN"/>
        </w:rPr>
        <w:t>②</w:t>
      </w:r>
      <w:r>
        <w:rPr>
          <w:rFonts w:hint="eastAsia" w:ascii="仿宋" w:hAnsi="仿宋" w:eastAsia="仿宋" w:cs="仿宋"/>
          <w:b w:val="0"/>
          <w:bCs/>
          <w:sz w:val="21"/>
          <w:szCs w:val="18"/>
        </w:rPr>
        <w:t>避免回程差：测量过程中鼓轮必须单向转动，否则会引入较大误差；在正式读数前需空转几圈以消除机</w:t>
      </w:r>
    </w:p>
    <w:p w14:paraId="7FD6B6C5">
      <w:pPr>
        <w:pStyle w:val="11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</w:rPr>
        <w:t>械间隙。</w:t>
      </w:r>
    </w:p>
    <w:p w14:paraId="76E72F2A">
      <w:pPr>
        <w:pStyle w:val="11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  <w:lang w:val="en-US" w:eastAsia="zh-CN"/>
        </w:rPr>
        <w:t>③</w:t>
      </w:r>
      <w:r>
        <w:rPr>
          <w:rFonts w:hint="eastAsia" w:ascii="仿宋" w:hAnsi="仿宋" w:eastAsia="仿宋" w:cs="仿宋"/>
          <w:b w:val="0"/>
          <w:bCs/>
          <w:sz w:val="21"/>
          <w:szCs w:val="18"/>
        </w:rPr>
        <w:t>数据处理的精度控制：牛顿环测量中直径平方差的计算容易出错；劈尖实验中条纹间距的测量需多次平</w:t>
      </w:r>
    </w:p>
    <w:p w14:paraId="3FFA3A15">
      <w:pPr>
        <w:pStyle w:val="11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</w:rPr>
        <w:t>均，否则影响厚度结果。</w:t>
      </w:r>
    </w:p>
    <w:p w14:paraId="7D24E94C">
      <w:pPr>
        <w:pStyle w:val="11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  <w:lang w:val="en-US" w:eastAsia="zh-CN"/>
        </w:rPr>
        <w:t>④</w:t>
      </w:r>
      <w:r>
        <w:rPr>
          <w:rFonts w:hint="eastAsia" w:ascii="仿宋" w:hAnsi="仿宋" w:eastAsia="仿宋" w:cs="仿宋"/>
          <w:b w:val="0"/>
          <w:bCs/>
          <w:sz w:val="21"/>
          <w:szCs w:val="18"/>
        </w:rPr>
        <w:t>环境与操作干扰：实验对振动敏感，轻微震动会导致条纹晃动；光源稳定性、玻璃清洁度等也会影响条</w:t>
      </w:r>
    </w:p>
    <w:p w14:paraId="4846F661">
      <w:pPr>
        <w:pStyle w:val="11"/>
        <w:ind w:left="0" w:leftChars="0" w:firstLine="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</w:rPr>
        <w:t>纹质量。</w:t>
      </w:r>
    </w:p>
    <w:p w14:paraId="7B6B25BE">
      <w:pPr>
        <w:spacing w:line="400" w:lineRule="exact"/>
        <w:ind w:firstLine="3132" w:firstLineChars="1300"/>
        <w:jc w:val="left"/>
        <w:rPr>
          <w:b/>
          <w:sz w:val="24"/>
          <w:szCs w:val="24"/>
          <w:u w:val="single"/>
        </w:rPr>
      </w:pP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0062319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350</Words>
  <Characters>521</Characters>
  <Lines>25</Lines>
  <Paragraphs>11</Paragraphs>
  <TotalTime>0</TotalTime>
  <ScaleCrop>false</ScaleCrop>
  <LinksUpToDate>false</LinksUpToDate>
  <CharactersWithSpaces>526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2020-02-17T08:32:00Z</cp:lastPrinted>
  <dcterms:modified xsi:type="dcterms:W3CDTF">2025-11-30T12:38:13Z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