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HT-2025-C186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2025-03-06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张伟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华东理工大学化学工程学院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中度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B类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陈静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2025-05-20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王建国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2025-03-18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2025-04-08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2025-04-25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2025-05-08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2025-05-12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2025-05-15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审核意见：升降结构按 B 类小非标执行，PID 图随单，触摸屏程序需单独排期。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升降式高压反应釜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96000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CJF-10L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10000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316L，内衬可拆卸 PTFE，法兰螺栓 35CrMoA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釜盖升降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10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15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12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350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1～2000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框式桨配底部刮壁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0～800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油浴控夹套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 U 形管冷却，接电磁阀与温控连锁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下展阀 DN25，带保温夹套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8 处：进气口 M12、出气口 M12、测温套管 φ8、压力表口 M20、安全阀口 M20、加料口 DN25、视镜 DN50、备用口 M12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釜体侧壁 1 处视镜 DN50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380V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900×700 mm，含升降立柱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高压柱塞泵连续进料，进料口带止回阀与压力表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出气口接列管冷凝器与回收罐，回收罐带液位计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带高压取样阀，可在 10 MPa 工况下取样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釜盖升降行程不小于 300 mm，配限位与防坠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新款触摸屏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釜盖未锁紧禁止升温；超温超压自动断电并报警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导热油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40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YD-350 合成导热油，L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PTFE 内衬桶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φ180×420 mm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高压取样阀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DN6 / 25 MPa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送货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有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