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C8A" w:rsidRPr="001A216A" w:rsidRDefault="004F19EF" w:rsidP="001C564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Практическая</w:t>
      </w:r>
      <w:r w:rsidR="001C5C8A" w:rsidRPr="001A21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работа № 1 Разработка стратегии организации</w:t>
      </w:r>
      <w:r w:rsidR="001C5C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1C5C8A" w:rsidRPr="001A21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методом SWOT-анализа</w:t>
      </w:r>
    </w:p>
    <w:p w:rsidR="001C5C8A" w:rsidRDefault="001C5C8A" w:rsidP="001C564D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работы: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выполнить </w:t>
      </w:r>
      <w:r w:rsidRPr="001C5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SWOT-анализ</w:t>
      </w:r>
      <w:r w:rsidRPr="00A9361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внешнеторговой фирмы «</w:t>
      </w:r>
      <w:r w:rsidR="00EC5CD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Вид</w:t>
      </w:r>
      <w:r w:rsidRPr="00A9361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»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предложить стратегию ее развития. </w:t>
      </w:r>
    </w:p>
    <w:p w:rsidR="001C5C8A" w:rsidRPr="001A216A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идея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SWOT-анализа (strengths − силы; weaknesses – слабости; opportunities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возможности; threats – угрозы) сфокусирована на том,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тратегия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учитывать внутренние возможности фирмы (ее сильные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слабые стороны) и внешнюю ситуацию (отраженную частично в возможностях и угрозах).</w:t>
      </w:r>
    </w:p>
    <w:p w:rsidR="001C5C8A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Краткая характеристика фирмы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EC5CD2" w:rsidRPr="00EC5CD2" w:rsidRDefault="00EC5CD2" w:rsidP="001C564D">
      <w:pPr>
        <w:pStyle w:val="a9"/>
        <w:shd w:val="clear" w:color="auto" w:fill="FFFFFF"/>
        <w:spacing w:before="120" w:beforeAutospacing="0" w:after="120" w:afterAutospacing="0"/>
        <w:ind w:firstLine="708"/>
        <w:rPr>
          <w:color w:val="000000" w:themeColor="text1"/>
          <w:sz w:val="28"/>
          <w:szCs w:val="28"/>
        </w:rPr>
      </w:pPr>
      <w:r w:rsidRPr="00EC5CD2">
        <w:rPr>
          <w:color w:val="000000" w:themeColor="text1"/>
          <w:sz w:val="28"/>
          <w:szCs w:val="28"/>
          <w:u w:val="single"/>
        </w:rPr>
        <w:t>Швейная фирма «ВИД»</w:t>
      </w:r>
      <w:r w:rsidRPr="00EC5CD2">
        <w:rPr>
          <w:color w:val="000000" w:themeColor="text1"/>
          <w:sz w:val="28"/>
          <w:szCs w:val="28"/>
        </w:rPr>
        <w:t xml:space="preserve"> - старейшее предприятие легкой промышленности г. Иркутска, крупнейший производитель одежды в Восточной Сибири с 80-летним опытом работы. Фирма входит в число ведущих предприятий России по производству мужского и детского делового ассортимента. На сегодняшний день швейная фирма «ВИД» это хорошо оснащенное высокотехнологичное предприятие, с широкой сетью оптовой и розничной торговли, с профессиональными специалистами, сертифицированной продукцией, производимой по техническим регламентам Таможенного Союза, имеет государственные награды и входящее в Реестр «100 Лучших товаров России». Форменную и специальную одежду заказывают государственные структуры и промышленные предприятия.</w:t>
      </w:r>
    </w:p>
    <w:p w:rsidR="00EC5CD2" w:rsidRPr="00EC5CD2" w:rsidRDefault="00EC5CD2" w:rsidP="001C564D">
      <w:pPr>
        <w:pStyle w:val="aa"/>
        <w:spacing w:before="120" w:after="120" w:line="24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Основной выпускаемый ассортимент фирмы</w:t>
      </w: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мужской костюм и детская школьная форма, а также спецодежда. В день организация выпускает 200 костюмов мужских, 225 мальчиковых. Женская одежда также шьется, но не в больших количествах, т.к. фирма ориентирована больше на мужские костюмы.</w:t>
      </w:r>
    </w:p>
    <w:p w:rsidR="00EC5CD2" w:rsidRPr="00EC5CD2" w:rsidRDefault="00EC5CD2" w:rsidP="001C564D">
      <w:pPr>
        <w:pStyle w:val="a9"/>
        <w:shd w:val="clear" w:color="auto" w:fill="FFFFFF"/>
        <w:spacing w:before="120" w:beforeAutospacing="0" w:after="120" w:afterAutospacing="0"/>
        <w:ind w:firstLine="708"/>
        <w:rPr>
          <w:color w:val="000000" w:themeColor="text1"/>
          <w:sz w:val="28"/>
          <w:szCs w:val="28"/>
        </w:rPr>
      </w:pPr>
      <w:r w:rsidRPr="00EC5CD2">
        <w:rPr>
          <w:color w:val="000000" w:themeColor="text1"/>
          <w:sz w:val="28"/>
          <w:szCs w:val="28"/>
          <w:u w:val="single"/>
        </w:rPr>
        <w:t>Форма собственности</w:t>
      </w:r>
      <w:r w:rsidRPr="00EC5CD2">
        <w:rPr>
          <w:color w:val="000000" w:themeColor="text1"/>
          <w:sz w:val="28"/>
          <w:szCs w:val="28"/>
        </w:rPr>
        <w:t xml:space="preserve"> – открытое акционерное общество.</w:t>
      </w:r>
    </w:p>
    <w:p w:rsidR="00EC5CD2" w:rsidRPr="00EC5CD2" w:rsidRDefault="00EC5CD2" w:rsidP="001C564D">
      <w:pPr>
        <w:spacing w:before="120" w:after="12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Внешнее окружение организации</w:t>
      </w: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это иркутские заказчики, государственные структуры, промышленные предприятия. Заказчики представлены как частными лицами, так и крупными компаниями. Ресурсами компании «Вид» являются кадры, технологическое оборудование, ресурсы и материалы, и все, что связанно с производством, связи с руководителями компаний потенциальных заказчиков.</w:t>
      </w:r>
      <w:r w:rsidRPr="00EC5CD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C5CD2" w:rsidRPr="00EC5CD2" w:rsidRDefault="00EC5CD2" w:rsidP="001C564D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Кадровая политика</w:t>
      </w: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направлена на обеспечение ОАО «Вид» квалифицированным персоналом, мотивированным на высокопроизводительный труд, и создание сплоченного коллектива единомышленников. На данный момент на предприятии пиджаки шьют 63 человека, брюки – 41 человек. Это сдельные рабочие. В модельно-конструкторском цехе трудится шесть человек. Кадровый вопрос на фирме сегодня стоит очень остро. Из инженерных кадров на предприятии сегодня только два человека с высшим швейным образованием, причем один из них </w:t>
      </w: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пенсионного возраста. Проблема кадров – не столько проблема фирмы, сколько проблема отрасли в целом. В настоящее время выпускается мало профессиональных кадров в области инженерии.</w:t>
      </w:r>
    </w:p>
    <w:p w:rsidR="00EC5CD2" w:rsidRPr="00EC5CD2" w:rsidRDefault="00EC5CD2" w:rsidP="001C564D">
      <w:pPr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На основном производстве</w:t>
      </w: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швейных цехах компании «Вид» работает около 150 единиц швейной техники. Это универсальное швейное оборудование, специализированные машины, утюжильные столы и прессы для внутрипроцессной и окончательной влажно-тепловой обработки (ВТО). Компания постоянно занимается точечным перевооружением.</w:t>
      </w:r>
    </w:p>
    <w:p w:rsidR="00EC5CD2" w:rsidRPr="00EC5CD2" w:rsidRDefault="00EC5CD2" w:rsidP="001C564D">
      <w:pPr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Оборудование у компании не только российское. Так, из универсальных швейных машин только 70% – российского производства. Остальные 30% – это Япония, фирма «Джуки». Специальное оборудование закупается немецкое, японское, американское. Новейшие машины стоят от 200 тысяч до миллиона рублей. Немецкое оборудование для  влажно-тепловой обработки еще дороже – до полутора миллионов рублей за единицу.</w:t>
      </w:r>
    </w:p>
    <w:p w:rsidR="00EC5CD2" w:rsidRPr="00EC5CD2" w:rsidRDefault="00EC5CD2" w:rsidP="001C564D">
      <w:pPr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Сейчас компания начинает перевооружаться под детское производство, взяты прессы и станки исключительно для детского костюма. В этом году купили три новых утюжильных стола и один пресс ВТО на сумму 1,9 миллиона рублей.</w:t>
      </w:r>
    </w:p>
    <w:p w:rsidR="001C5C8A" w:rsidRPr="001C564D" w:rsidRDefault="00EC5CD2" w:rsidP="001C564D">
      <w:pPr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Для рынка одежды</w:t>
      </w:r>
      <w:r w:rsidRPr="00EC5C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последние три-четыре года наблюдается жесткая конкуренция на одежду для школьников. Государство стремится ограничить количество поступающей из-за границы продукции, что благоприятно сказывается на деятельности компании. Развитие производственного оборудования позволяет успешно функционировать компании, автоматизировать свою систему, ведет к широкому внедрению инноваций.</w:t>
      </w:r>
    </w:p>
    <w:p w:rsidR="001C5C8A" w:rsidRPr="001C564D" w:rsidRDefault="001C5C8A" w:rsidP="001C564D">
      <w:pPr>
        <w:shd w:val="clear" w:color="auto" w:fill="FFFFFF"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C56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Перечень внутренних слабых и сильных сторон организации, возможностей и угроз со стороны внешнего окружения.</w:t>
      </w:r>
    </w:p>
    <w:p w:rsidR="001C5C8A" w:rsidRPr="008A26C5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26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Сильные стороны фирмы:</w:t>
      </w:r>
    </w:p>
    <w:p w:rsidR="001C5C8A" w:rsidRDefault="00EC5CD2" w:rsidP="001C564D">
      <w:pPr>
        <w:pStyle w:val="aa"/>
        <w:numPr>
          <w:ilvl w:val="0"/>
          <w:numId w:val="1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государственными структурами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CD2" w:rsidRDefault="00EC5CD2" w:rsidP="001C564D">
      <w:pPr>
        <w:pStyle w:val="aa"/>
        <w:numPr>
          <w:ilvl w:val="0"/>
          <w:numId w:val="1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Высокотехнологичное оборудование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CD2" w:rsidRDefault="00EC5CD2" w:rsidP="001C564D">
      <w:pPr>
        <w:pStyle w:val="aa"/>
        <w:numPr>
          <w:ilvl w:val="0"/>
          <w:numId w:val="1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Репутация фирмы и большой опыт работы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CD2" w:rsidRDefault="00EC5CD2" w:rsidP="001C564D">
      <w:pPr>
        <w:pStyle w:val="aa"/>
        <w:numPr>
          <w:ilvl w:val="0"/>
          <w:numId w:val="1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Невысокая стоимость продукции за хорошее качество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CD2" w:rsidRDefault="00EC5CD2" w:rsidP="001C564D">
      <w:pPr>
        <w:pStyle w:val="aa"/>
        <w:numPr>
          <w:ilvl w:val="0"/>
          <w:numId w:val="1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 является почти монополией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CD2" w:rsidRDefault="00EC5CD2" w:rsidP="001C564D">
      <w:pPr>
        <w:pStyle w:val="aa"/>
        <w:numPr>
          <w:ilvl w:val="0"/>
          <w:numId w:val="1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Широкая сеть оптовой и розничной торговли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CD2" w:rsidRPr="00EC5CD2" w:rsidRDefault="00EC5CD2" w:rsidP="001C564D">
      <w:pPr>
        <w:pStyle w:val="aa"/>
        <w:numPr>
          <w:ilvl w:val="0"/>
          <w:numId w:val="1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государством деятельности компании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5CD2" w:rsidRPr="00EC5CD2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26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Слабые стороны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1C5C8A" w:rsidRDefault="00EC5CD2" w:rsidP="001C564D">
      <w:pPr>
        <w:pStyle w:val="aa"/>
        <w:numPr>
          <w:ilvl w:val="0"/>
          <w:numId w:val="3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Недостаточное количество высококвалифицированных работников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CD2" w:rsidRPr="00EC5CD2" w:rsidRDefault="00EC5CD2" w:rsidP="001C564D">
      <w:pPr>
        <w:pStyle w:val="aa"/>
        <w:numPr>
          <w:ilvl w:val="0"/>
          <w:numId w:val="3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Невозможность переоборудования на другой вид выпускаемой продукции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C5C8A" w:rsidRPr="001A216A" w:rsidRDefault="001C5C8A" w:rsidP="001C564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5C8A" w:rsidRPr="008A26C5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26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Внешние возможности фирмы:</w:t>
      </w:r>
    </w:p>
    <w:p w:rsidR="001C5C8A" w:rsidRDefault="00EC5CD2" w:rsidP="001C564D">
      <w:pPr>
        <w:pStyle w:val="aa"/>
        <w:numPr>
          <w:ilvl w:val="0"/>
          <w:numId w:val="4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на новые рынки сбыта продукции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CD2" w:rsidRDefault="00EC5CD2" w:rsidP="001C564D">
      <w:pPr>
        <w:pStyle w:val="aa"/>
        <w:numPr>
          <w:ilvl w:val="0"/>
          <w:numId w:val="4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кадров для работы на производстве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C5C8A" w:rsidRPr="001C564D" w:rsidRDefault="00EC5CD2" w:rsidP="001C564D">
      <w:pPr>
        <w:pStyle w:val="aa"/>
        <w:numPr>
          <w:ilvl w:val="0"/>
          <w:numId w:val="4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 новой смежной продукции (женской одежды)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C5C8A" w:rsidRPr="008A26C5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26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Внешние угрозы:</w:t>
      </w:r>
    </w:p>
    <w:p w:rsidR="00EC5CD2" w:rsidRDefault="00EC5CD2" w:rsidP="001C564D">
      <w:pPr>
        <w:pStyle w:val="aa"/>
        <w:numPr>
          <w:ilvl w:val="0"/>
          <w:numId w:val="5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Новая конкуренция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C5C8A" w:rsidRDefault="00EC5CD2" w:rsidP="001C564D">
      <w:pPr>
        <w:pStyle w:val="aa"/>
        <w:numPr>
          <w:ilvl w:val="0"/>
          <w:numId w:val="5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Прекращение лояльной политики государства к отечественным производителям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EC5CD2" w:rsidRPr="00EC5CD2" w:rsidRDefault="00EC5CD2" w:rsidP="001C564D">
      <w:pPr>
        <w:pStyle w:val="aa"/>
        <w:numPr>
          <w:ilvl w:val="0"/>
          <w:numId w:val="5"/>
        </w:numPr>
        <w:shd w:val="clear" w:color="auto" w:fill="FFFFFF"/>
        <w:spacing w:before="120" w:after="12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Недостаточное количество работников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C5C8A" w:rsidRPr="001C564D" w:rsidRDefault="001C564D" w:rsidP="001C564D">
      <w:pPr>
        <w:shd w:val="clear" w:color="auto" w:fill="FFFFFF"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C56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</w:t>
      </w:r>
      <w:r w:rsidR="001C5C8A" w:rsidRPr="001C56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ыводы</w:t>
      </w:r>
    </w:p>
    <w:p w:rsidR="00665BDC" w:rsidRPr="00665BDC" w:rsidRDefault="00252A9B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Принятие участия</w:t>
      </w:r>
      <w:r w:rsidR="00665BDC" w:rsidRPr="00665B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обучении кадров,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сотрудничество с вузами для привлечения будущих специалистов, </w:t>
      </w:r>
      <w:r w:rsidR="00665BDC" w:rsidRPr="00665B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благоприятных условий работы, повышение зарплаты сотрудникам, выделение социальных пакетов поможет решить нехватку кадров.</w:t>
      </w:r>
    </w:p>
    <w:p w:rsidR="001C5C8A" w:rsidRPr="00252A9B" w:rsidRDefault="00665BDC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Закупка нового оборудования, подходящего для перехода на выпуск нового вида продукции, проведение обучающих мероприятий </w:t>
      </w:r>
      <w:r w:rsidR="00252A9B"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работе нового оборудования </w:t>
      </w:r>
      <w:r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сотрудников</w:t>
      </w:r>
      <w:r w:rsidR="00252A9B"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изучение технологии изготовления новой продукции позволят полностью перейти на выпуск новой продукции.</w:t>
      </w:r>
    </w:p>
    <w:p w:rsidR="001C5C8A" w:rsidRPr="00252A9B" w:rsidRDefault="00252A9B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Укрепление позиций на рынке, проведение маркетинговых исследований рынка, проведение мероприятий и рекламной компании помогут компании завоевать большую часть рынка и составить сильную конкуренцию для новых фирм.</w:t>
      </w:r>
    </w:p>
    <w:p w:rsidR="001C5C8A" w:rsidRPr="001C564D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на новые рынки и ожидаемый рост спроса на продукцию позволят привлечь необходимые средства на за</w:t>
      </w:r>
      <w:r w:rsidR="00252A9B"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купку нов</w:t>
      </w:r>
      <w:r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52A9B"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о</w:t>
      </w:r>
      <w:r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борудования</w:t>
      </w:r>
      <w:r w:rsidR="00252A9B"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укрепить позиции предприятия на рынке</w:t>
      </w:r>
      <w:r w:rsidRPr="00252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1C5C8A" w:rsidRPr="001C564D" w:rsidRDefault="001C5C8A" w:rsidP="001C564D">
      <w:pPr>
        <w:shd w:val="clear" w:color="auto" w:fill="FFFFFF"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C56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Заполняем таблицу</w:t>
      </w:r>
    </w:p>
    <w:p w:rsidR="001C5C8A" w:rsidRPr="00EC5CD2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Количественная оценка сильных и слабых сторон, угроз и возможностей внешней среды приведена в табл. 1 </w:t>
      </w:r>
    </w:p>
    <w:p w:rsidR="001C564D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дается по 5-балльной шкале на основе личного опыта эксперта.</w:t>
      </w:r>
    </w:p>
    <w:p w:rsidR="001C5C8A" w:rsidRPr="00EC5CD2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Суммируя полученные оценки, можно определить общую значимость сильных и слабых сторон, угроз и возможностей (табл. 2).</w:t>
      </w:r>
    </w:p>
    <w:p w:rsidR="001C5C8A" w:rsidRPr="00EC5CD2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Суммирование ведется по вертикали и горизонтали.</w:t>
      </w:r>
    </w:p>
    <w:p w:rsidR="001C5C8A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5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Проблемы, возникшие в комбинации сторон с угрозами и возможностями, представлены в проблемном поле (табл. 3). Здесь же формируются возможные пути решения проблем и дается количественная оценка решений (табл. 4).</w:t>
      </w:r>
    </w:p>
    <w:p w:rsidR="001C5C8A" w:rsidRDefault="001C5C8A" w:rsidP="001C564D">
      <w:pPr>
        <w:spacing w:before="120" w:after="12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216A">
        <w:rPr>
          <w:rFonts w:ascii="Times New Roman" w:hAnsi="Times New Roman" w:cs="Times New Roman"/>
          <w:sz w:val="28"/>
          <w:szCs w:val="28"/>
        </w:rPr>
        <w:t>Таблица 1</w:t>
      </w:r>
      <w:r w:rsidRPr="001A21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959B6" w:rsidRDefault="003959B6" w:rsidP="001C564D">
      <w:pPr>
        <w:spacing w:before="120" w:after="12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highlight w:val="yellow"/>
          <w:shd w:val="clear" w:color="auto" w:fill="FFFFFF"/>
        </w:rPr>
        <w:sectPr w:rsidR="003959B6" w:rsidSect="003959B6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C5C8A" w:rsidRPr="006D09B4" w:rsidRDefault="001C5C8A" w:rsidP="001C564D">
      <w:pPr>
        <w:spacing w:before="120"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00E0C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lastRenderedPageBreak/>
        <w:t>Оценки показателей деятельности фирмы, балл</w:t>
      </w:r>
    </w:p>
    <w:tbl>
      <w:tblPr>
        <w:tblStyle w:val="a3"/>
        <w:tblW w:w="14878" w:type="dxa"/>
        <w:tblLayout w:type="fixed"/>
        <w:tblLook w:val="04A0" w:firstRow="1" w:lastRow="0" w:firstColumn="1" w:lastColumn="0" w:noHBand="0" w:noVBand="1"/>
      </w:tblPr>
      <w:tblGrid>
        <w:gridCol w:w="1261"/>
        <w:gridCol w:w="1853"/>
        <w:gridCol w:w="992"/>
        <w:gridCol w:w="927"/>
        <w:gridCol w:w="1029"/>
        <w:gridCol w:w="1276"/>
        <w:gridCol w:w="1417"/>
        <w:gridCol w:w="1418"/>
        <w:gridCol w:w="1445"/>
        <w:gridCol w:w="1559"/>
        <w:gridCol w:w="1701"/>
      </w:tblGrid>
      <w:tr w:rsidR="00F8788D" w:rsidRPr="001A216A" w:rsidTr="00C27CCD">
        <w:tc>
          <w:tcPr>
            <w:tcW w:w="1261" w:type="dxa"/>
            <w:vMerge w:val="restart"/>
          </w:tcPr>
          <w:p w:rsidR="00F8788D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Угрозы и возможности</w:t>
            </w:r>
          </w:p>
        </w:tc>
        <w:tc>
          <w:tcPr>
            <w:tcW w:w="1853" w:type="dxa"/>
            <w:vMerge w:val="restart"/>
          </w:tcPr>
          <w:p w:rsidR="00F8788D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Решение проблемы</w:t>
            </w:r>
          </w:p>
        </w:tc>
        <w:tc>
          <w:tcPr>
            <w:tcW w:w="8504" w:type="dxa"/>
            <w:gridSpan w:val="7"/>
          </w:tcPr>
          <w:p w:rsidR="00F8788D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Сильные стороны</w:t>
            </w:r>
          </w:p>
        </w:tc>
        <w:tc>
          <w:tcPr>
            <w:tcW w:w="3260" w:type="dxa"/>
            <w:gridSpan w:val="2"/>
          </w:tcPr>
          <w:p w:rsidR="00F8788D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Слабые стороны</w:t>
            </w:r>
          </w:p>
        </w:tc>
      </w:tr>
      <w:tr w:rsidR="003959B6" w:rsidRPr="001A216A" w:rsidTr="00F8788D">
        <w:tc>
          <w:tcPr>
            <w:tcW w:w="1261" w:type="dxa"/>
            <w:vMerge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  <w:vMerge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гос. структурами</w:t>
            </w:r>
          </w:p>
        </w:tc>
        <w:tc>
          <w:tcPr>
            <w:tcW w:w="927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Высокотехнологичное оборудование</w:t>
            </w:r>
          </w:p>
        </w:tc>
        <w:tc>
          <w:tcPr>
            <w:tcW w:w="1029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Репутация фирмы и опыт работы</w:t>
            </w:r>
          </w:p>
        </w:tc>
        <w:tc>
          <w:tcPr>
            <w:tcW w:w="1276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Невысокая стоимость продукции</w:t>
            </w:r>
          </w:p>
        </w:tc>
        <w:tc>
          <w:tcPr>
            <w:tcW w:w="1417" w:type="dxa"/>
          </w:tcPr>
          <w:p w:rsidR="003959B6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 почти</w:t>
            </w:r>
            <w:r w:rsidR="003959B6">
              <w:rPr>
                <w:rFonts w:ascii="Times New Roman" w:hAnsi="Times New Roman" w:cs="Times New Roman"/>
                <w:sz w:val="24"/>
                <w:szCs w:val="24"/>
              </w:rPr>
              <w:t xml:space="preserve"> монополия</w:t>
            </w:r>
          </w:p>
        </w:tc>
        <w:tc>
          <w:tcPr>
            <w:tcW w:w="1418" w:type="dxa"/>
          </w:tcPr>
          <w:p w:rsidR="003959B6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Широкая сеть торговли</w:t>
            </w:r>
          </w:p>
        </w:tc>
        <w:tc>
          <w:tcPr>
            <w:tcW w:w="1445" w:type="dxa"/>
          </w:tcPr>
          <w:p w:rsidR="003959B6" w:rsidRDefault="003959B6" w:rsidP="001C564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государства</w:t>
            </w:r>
          </w:p>
        </w:tc>
        <w:tc>
          <w:tcPr>
            <w:tcW w:w="1559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Недостаток кадров</w:t>
            </w:r>
          </w:p>
        </w:tc>
        <w:tc>
          <w:tcPr>
            <w:tcW w:w="1701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переоборудования</w:t>
            </w:r>
          </w:p>
        </w:tc>
      </w:tr>
      <w:tr w:rsidR="003959B6" w:rsidRPr="001A216A" w:rsidTr="00F8788D">
        <w:tc>
          <w:tcPr>
            <w:tcW w:w="1261" w:type="dxa"/>
            <w:vMerge w:val="restart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Угрозы</w:t>
            </w:r>
          </w:p>
        </w:tc>
        <w:tc>
          <w:tcPr>
            <w:tcW w:w="1853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конкуренция</w:t>
            </w:r>
          </w:p>
        </w:tc>
        <w:tc>
          <w:tcPr>
            <w:tcW w:w="992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7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5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959B6" w:rsidRPr="001A216A" w:rsidTr="00F8788D">
        <w:tc>
          <w:tcPr>
            <w:tcW w:w="1261" w:type="dxa"/>
            <w:vMerge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Недостаточное количество кадров</w:t>
            </w:r>
          </w:p>
        </w:tc>
        <w:tc>
          <w:tcPr>
            <w:tcW w:w="992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7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59B6" w:rsidRPr="001A216A" w:rsidTr="00F8788D">
        <w:tc>
          <w:tcPr>
            <w:tcW w:w="1261" w:type="dxa"/>
            <w:vMerge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3959B6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Прекращение лояльной политики государства</w:t>
            </w:r>
          </w:p>
        </w:tc>
        <w:tc>
          <w:tcPr>
            <w:tcW w:w="992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7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5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59B6" w:rsidRPr="001A216A" w:rsidTr="00F8788D">
        <w:tc>
          <w:tcPr>
            <w:tcW w:w="1261" w:type="dxa"/>
            <w:vMerge w:val="restart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1853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Выход на новые рынки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сбыта</w:t>
            </w:r>
          </w:p>
        </w:tc>
        <w:tc>
          <w:tcPr>
            <w:tcW w:w="992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3959B6" w:rsidRPr="00F8788D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5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59B6" w:rsidRPr="001A216A" w:rsidTr="00F8788D">
        <w:tc>
          <w:tcPr>
            <w:tcW w:w="1261" w:type="dxa"/>
            <w:vMerge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 кадров для работы</w:t>
            </w:r>
          </w:p>
        </w:tc>
        <w:tc>
          <w:tcPr>
            <w:tcW w:w="992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7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59B6" w:rsidRPr="001A216A" w:rsidTr="00F8788D">
        <w:tc>
          <w:tcPr>
            <w:tcW w:w="1261" w:type="dxa"/>
            <w:vMerge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3959B6" w:rsidRPr="00B07E18" w:rsidRDefault="003959B6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 новой продукции</w:t>
            </w:r>
          </w:p>
        </w:tc>
        <w:tc>
          <w:tcPr>
            <w:tcW w:w="992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5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3959B6" w:rsidRPr="00B07E18" w:rsidRDefault="00F8788D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8788D" w:rsidRDefault="00F8788D" w:rsidP="001C564D">
      <w:pPr>
        <w:spacing w:before="120" w:after="120" w:line="240" w:lineRule="auto"/>
        <w:ind w:left="708"/>
        <w:jc w:val="right"/>
        <w:rPr>
          <w:rFonts w:ascii="Times New Roman" w:hAnsi="Times New Roman" w:cs="Times New Roman"/>
          <w:b/>
          <w:i/>
          <w:sz w:val="28"/>
          <w:szCs w:val="28"/>
        </w:rPr>
        <w:sectPr w:rsidR="00F8788D" w:rsidSect="003959B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C5C8A" w:rsidRPr="001A216A" w:rsidRDefault="001C5C8A" w:rsidP="001C564D">
      <w:pPr>
        <w:spacing w:before="120" w:after="120" w:line="240" w:lineRule="auto"/>
        <w:ind w:left="708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1A216A">
        <w:rPr>
          <w:rFonts w:ascii="Times New Roman" w:hAnsi="Times New Roman" w:cs="Times New Roman"/>
          <w:b/>
          <w:i/>
          <w:sz w:val="28"/>
          <w:szCs w:val="28"/>
        </w:rPr>
        <w:lastRenderedPageBreak/>
        <w:t>Таблица 2</w:t>
      </w:r>
    </w:p>
    <w:p w:rsidR="001C5C8A" w:rsidRPr="001A216A" w:rsidRDefault="001C5C8A" w:rsidP="001C564D">
      <w:pPr>
        <w:spacing w:before="120"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A216A">
        <w:rPr>
          <w:rFonts w:ascii="Times New Roman" w:hAnsi="Times New Roman" w:cs="Times New Roman"/>
          <w:b/>
          <w:i/>
          <w:sz w:val="28"/>
          <w:szCs w:val="28"/>
        </w:rPr>
        <w:t>Суммарные оценки деятельности фирмы, балл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5C8A" w:rsidRPr="001A216A" w:rsidTr="003377AA">
        <w:tc>
          <w:tcPr>
            <w:tcW w:w="4672" w:type="dxa"/>
          </w:tcPr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216A">
              <w:rPr>
                <w:rFonts w:ascii="Times New Roman" w:hAnsi="Times New Roman" w:cs="Times New Roman"/>
                <w:b/>
                <w:sz w:val="28"/>
                <w:szCs w:val="28"/>
              </w:rPr>
              <w:t>Сильные стороны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с государственными структурами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12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Высокотехнологичное оборудование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Репутация фирмы и большой опыт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17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Невысокая стоимость продукции за хорошее качество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Фирма является почти монополией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Широкая сеть оптовой и розничной торговли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14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Поддержка государством деятельности компании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14</w:t>
            </w:r>
          </w:p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216A">
              <w:rPr>
                <w:rFonts w:ascii="Times New Roman" w:hAnsi="Times New Roman" w:cs="Times New Roman"/>
                <w:b/>
                <w:sz w:val="28"/>
                <w:szCs w:val="28"/>
              </w:rPr>
              <w:t>Слабые стороны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Недостаточное количество высококвалифицированных работников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15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Невозможность переоборудования на другой вид выпускаемой продукции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14</w:t>
            </w:r>
          </w:p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5C8A" w:rsidRPr="001A216A" w:rsidTr="003377AA">
        <w:tc>
          <w:tcPr>
            <w:tcW w:w="4672" w:type="dxa"/>
          </w:tcPr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216A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Возможности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на новые рынки сбыта продукции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Обучение кадров для работы на производстве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Выпуск новой смежной продукции (женской одежды)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23</w:t>
            </w:r>
          </w:p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216A">
              <w:rPr>
                <w:rFonts w:ascii="Times New Roman" w:hAnsi="Times New Roman" w:cs="Times New Roman"/>
                <w:b/>
                <w:sz w:val="28"/>
                <w:szCs w:val="28"/>
              </w:rPr>
              <w:t>Угрозы</w:t>
            </w:r>
            <w:r w:rsidRPr="001A21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Новая конкуренция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24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Прекращение лояльной политики государства к отечественным производителям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19</w:t>
            </w:r>
          </w:p>
          <w:p w:rsidR="00CC0D44" w:rsidRPr="00CC0D44" w:rsidRDefault="00CC0D44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C0D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Недостаточное количество работников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15</w:t>
            </w:r>
          </w:p>
          <w:p w:rsidR="001C5C8A" w:rsidRPr="001A216A" w:rsidRDefault="001C5C8A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C5C8A" w:rsidRDefault="001C5C8A" w:rsidP="001C56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1C5C8A" w:rsidRDefault="001C5C8A" w:rsidP="001C564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CC0D44" w:rsidRDefault="00CC0D44" w:rsidP="001C564D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sectPr w:rsidR="00CC0D44" w:rsidSect="00F8788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C5C8A" w:rsidRDefault="001C5C8A" w:rsidP="001C564D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lastRenderedPageBreak/>
        <w:t>Таблица 3</w:t>
      </w:r>
      <w:r w:rsidRPr="00E423E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</w:p>
    <w:p w:rsidR="001C5C8A" w:rsidRPr="00170DE2" w:rsidRDefault="001C5C8A" w:rsidP="001C564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0E0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Формулирование проблемного поля в рамках SWOT-матрицы</w:t>
      </w:r>
    </w:p>
    <w:tbl>
      <w:tblPr>
        <w:tblStyle w:val="a3"/>
        <w:tblpPr w:leftFromText="180" w:rightFromText="180" w:vertAnchor="text" w:horzAnchor="page" w:tblpX="1204" w:tblpY="542"/>
        <w:tblW w:w="14786" w:type="dxa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134"/>
        <w:gridCol w:w="1134"/>
        <w:gridCol w:w="992"/>
        <w:gridCol w:w="1276"/>
        <w:gridCol w:w="1134"/>
        <w:gridCol w:w="992"/>
        <w:gridCol w:w="1134"/>
        <w:gridCol w:w="1701"/>
        <w:gridCol w:w="1920"/>
      </w:tblGrid>
      <w:tr w:rsidR="002D0A85" w:rsidRPr="001A216A" w:rsidTr="00170DE2">
        <w:tc>
          <w:tcPr>
            <w:tcW w:w="1242" w:type="dxa"/>
            <w:vMerge w:val="restart"/>
          </w:tcPr>
          <w:p w:rsidR="002D0A85" w:rsidRPr="00B07E18" w:rsidRDefault="002D0A85" w:rsidP="001C564D">
            <w:pPr>
              <w:spacing w:before="120" w:after="120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Угрозы и возможности</w:t>
            </w:r>
          </w:p>
        </w:tc>
        <w:tc>
          <w:tcPr>
            <w:tcW w:w="2127" w:type="dxa"/>
            <w:vMerge w:val="restart"/>
          </w:tcPr>
          <w:p w:rsidR="002D0A85" w:rsidRPr="00B07E18" w:rsidRDefault="002D0A85" w:rsidP="001C564D">
            <w:pPr>
              <w:spacing w:before="120" w:after="120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Решение проблемы</w:t>
            </w:r>
          </w:p>
        </w:tc>
        <w:tc>
          <w:tcPr>
            <w:tcW w:w="7796" w:type="dxa"/>
            <w:gridSpan w:val="7"/>
          </w:tcPr>
          <w:p w:rsidR="002D0A85" w:rsidRPr="00B07E18" w:rsidRDefault="002D0A85" w:rsidP="001C564D">
            <w:pPr>
              <w:spacing w:before="120" w:after="120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Сильные стороны</w:t>
            </w:r>
          </w:p>
        </w:tc>
        <w:tc>
          <w:tcPr>
            <w:tcW w:w="3621" w:type="dxa"/>
            <w:gridSpan w:val="2"/>
          </w:tcPr>
          <w:p w:rsidR="002D0A85" w:rsidRPr="00B07E18" w:rsidRDefault="002D0A85" w:rsidP="001C564D">
            <w:pPr>
              <w:spacing w:before="120" w:after="120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Слабые стороны</w:t>
            </w:r>
          </w:p>
        </w:tc>
      </w:tr>
      <w:tr w:rsidR="00170DE2" w:rsidRPr="001A216A" w:rsidTr="00170DE2">
        <w:tc>
          <w:tcPr>
            <w:tcW w:w="1242" w:type="dxa"/>
            <w:vMerge/>
          </w:tcPr>
          <w:p w:rsidR="002D0A85" w:rsidRPr="00B07E18" w:rsidRDefault="002D0A85" w:rsidP="001C564D">
            <w:pPr>
              <w:spacing w:before="120" w:after="120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2D0A85" w:rsidRPr="00B07E18" w:rsidRDefault="002D0A85" w:rsidP="001C564D">
            <w:pPr>
              <w:spacing w:before="120" w:after="120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гос. структурами</w:t>
            </w:r>
          </w:p>
        </w:tc>
        <w:tc>
          <w:tcPr>
            <w:tcW w:w="1134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Высокотехнологичное оборудование</w:t>
            </w:r>
          </w:p>
        </w:tc>
        <w:tc>
          <w:tcPr>
            <w:tcW w:w="992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Репутация фирмы и опыт работы</w:t>
            </w:r>
          </w:p>
        </w:tc>
        <w:tc>
          <w:tcPr>
            <w:tcW w:w="1276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Невысокая стоимость продукции</w:t>
            </w:r>
          </w:p>
        </w:tc>
        <w:tc>
          <w:tcPr>
            <w:tcW w:w="1134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Фирма почти монополия</w:t>
            </w:r>
          </w:p>
        </w:tc>
        <w:tc>
          <w:tcPr>
            <w:tcW w:w="992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Широкая сеть торговли</w:t>
            </w:r>
          </w:p>
        </w:tc>
        <w:tc>
          <w:tcPr>
            <w:tcW w:w="1134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государства</w:t>
            </w:r>
          </w:p>
        </w:tc>
        <w:tc>
          <w:tcPr>
            <w:tcW w:w="1701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Недостаток кадров</w:t>
            </w:r>
          </w:p>
        </w:tc>
        <w:tc>
          <w:tcPr>
            <w:tcW w:w="1920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переоборудования</w:t>
            </w:r>
          </w:p>
        </w:tc>
      </w:tr>
      <w:tr w:rsidR="007F04C9" w:rsidRPr="001A216A" w:rsidTr="00170DE2">
        <w:tc>
          <w:tcPr>
            <w:tcW w:w="1242" w:type="dxa"/>
            <w:vMerge w:val="restart"/>
          </w:tcPr>
          <w:p w:rsidR="007F04C9" w:rsidRPr="00B07E18" w:rsidRDefault="007F04C9" w:rsidP="001C564D">
            <w:pPr>
              <w:spacing w:before="120" w:after="120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Угрозы</w:t>
            </w:r>
          </w:p>
        </w:tc>
        <w:tc>
          <w:tcPr>
            <w:tcW w:w="2127" w:type="dxa"/>
          </w:tcPr>
          <w:p w:rsidR="007F04C9" w:rsidRPr="00B07E18" w:rsidRDefault="007F04C9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конкуренция</w:t>
            </w:r>
          </w:p>
        </w:tc>
        <w:tc>
          <w:tcPr>
            <w:tcW w:w="7796" w:type="dxa"/>
            <w:gridSpan w:val="7"/>
          </w:tcPr>
          <w:p w:rsidR="007F04C9" w:rsidRPr="00B07E18" w:rsidRDefault="007F04C9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Укрепление позиций фирмы на рынке, проведение маркетинговых предприятий для привлечения большего количества потребителей.</w:t>
            </w:r>
          </w:p>
        </w:tc>
        <w:tc>
          <w:tcPr>
            <w:tcW w:w="3621" w:type="dxa"/>
            <w:gridSpan w:val="2"/>
          </w:tcPr>
          <w:p w:rsidR="007F04C9" w:rsidRPr="00B07E18" w:rsidRDefault="00170DE2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стажировки и начать сотрудничать с вузами, предлагать прохождение практики на производстве фирмы</w:t>
            </w:r>
            <w:r w:rsidR="00311F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0A85" w:rsidRPr="001A216A" w:rsidTr="00170DE2">
        <w:tc>
          <w:tcPr>
            <w:tcW w:w="1242" w:type="dxa"/>
            <w:vMerge/>
          </w:tcPr>
          <w:p w:rsidR="002D0A85" w:rsidRPr="00B07E18" w:rsidRDefault="002D0A85" w:rsidP="001C564D">
            <w:pPr>
              <w:spacing w:before="120" w:after="120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Недостаточное количество кадров</w:t>
            </w:r>
          </w:p>
        </w:tc>
        <w:tc>
          <w:tcPr>
            <w:tcW w:w="11417" w:type="dxa"/>
            <w:gridSpan w:val="9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обучения кадров для работы на предприятии</w:t>
            </w:r>
            <w:r w:rsidR="00500E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F04C9" w:rsidRPr="001A216A" w:rsidTr="00170DE2">
        <w:tc>
          <w:tcPr>
            <w:tcW w:w="1242" w:type="dxa"/>
            <w:vMerge/>
          </w:tcPr>
          <w:p w:rsidR="007F04C9" w:rsidRPr="00B07E18" w:rsidRDefault="007F04C9" w:rsidP="001C564D">
            <w:pPr>
              <w:spacing w:before="120" w:after="120"/>
              <w:ind w:left="1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7F04C9" w:rsidRDefault="007F04C9" w:rsidP="001C564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Прекращение лояльной политики государства</w:t>
            </w:r>
          </w:p>
        </w:tc>
        <w:tc>
          <w:tcPr>
            <w:tcW w:w="7796" w:type="dxa"/>
            <w:gridSpan w:val="7"/>
          </w:tcPr>
          <w:p w:rsidR="007F04C9" w:rsidRPr="00B07E18" w:rsidRDefault="007F04C9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Предусмотреть такую возможность, создать финансовый резерв на этот случай.</w:t>
            </w:r>
          </w:p>
        </w:tc>
        <w:tc>
          <w:tcPr>
            <w:tcW w:w="3621" w:type="dxa"/>
            <w:gridSpan w:val="2"/>
          </w:tcPr>
          <w:p w:rsidR="007F04C9" w:rsidRPr="00B07E18" w:rsidRDefault="00170DE2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закупку нового оборудования для выпуска другого вида продукции, провести анализ рынка, изучить технологии необходимые для переоборудования, обучить кадры работе с новым оборудованием</w:t>
            </w:r>
            <w:r w:rsidR="00311F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0E0C" w:rsidRPr="001A216A" w:rsidTr="00170DE2">
        <w:tc>
          <w:tcPr>
            <w:tcW w:w="1242" w:type="dxa"/>
            <w:vMerge w:val="restart"/>
          </w:tcPr>
          <w:p w:rsidR="00500E0C" w:rsidRPr="00B07E18" w:rsidRDefault="00500E0C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t>Возможн</w:t>
            </w:r>
            <w:r w:rsidRPr="00B07E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ости</w:t>
            </w:r>
          </w:p>
        </w:tc>
        <w:tc>
          <w:tcPr>
            <w:tcW w:w="2127" w:type="dxa"/>
          </w:tcPr>
          <w:p w:rsidR="00500E0C" w:rsidRPr="00B07E18" w:rsidRDefault="00500E0C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E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Выход на новые </w:t>
            </w:r>
            <w:r w:rsidRPr="00B07E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рынки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сбыта</w:t>
            </w:r>
          </w:p>
        </w:tc>
        <w:tc>
          <w:tcPr>
            <w:tcW w:w="11417" w:type="dxa"/>
            <w:gridSpan w:val="9"/>
          </w:tcPr>
          <w:p w:rsidR="00500E0C" w:rsidRPr="001A216A" w:rsidRDefault="00500E0C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Изучить и проанализировать новые рынки и возможности, проведение маркетинговых исследований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новых рынках</w:t>
            </w:r>
            <w:r w:rsidR="00311F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0E0C" w:rsidRPr="001A216A" w:rsidTr="00170DE2">
        <w:tc>
          <w:tcPr>
            <w:tcW w:w="1242" w:type="dxa"/>
            <w:vMerge/>
          </w:tcPr>
          <w:p w:rsidR="00500E0C" w:rsidRPr="00B07E18" w:rsidRDefault="00500E0C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00E0C" w:rsidRPr="00B07E18" w:rsidRDefault="00500E0C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 кадров для работы</w:t>
            </w:r>
          </w:p>
        </w:tc>
        <w:tc>
          <w:tcPr>
            <w:tcW w:w="11417" w:type="dxa"/>
            <w:gridSpan w:val="9"/>
          </w:tcPr>
          <w:p w:rsidR="00500E0C" w:rsidRPr="001A216A" w:rsidRDefault="00500E0C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стажировки и начать сотрудничать с вузами, предлагать прохождение практики на производстве фирмы</w:t>
            </w:r>
            <w:r w:rsidR="00311F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0A85" w:rsidRPr="001A216A" w:rsidTr="00170DE2">
        <w:tc>
          <w:tcPr>
            <w:tcW w:w="1242" w:type="dxa"/>
            <w:vMerge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2D0A85" w:rsidRPr="00B07E18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 новой продукции</w:t>
            </w:r>
          </w:p>
        </w:tc>
        <w:tc>
          <w:tcPr>
            <w:tcW w:w="11417" w:type="dxa"/>
            <w:gridSpan w:val="9"/>
          </w:tcPr>
          <w:p w:rsidR="002D0A85" w:rsidRPr="001A216A" w:rsidRDefault="002D0A85" w:rsidP="001C564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Осуществить </w:t>
            </w:r>
            <w:r w:rsidR="00500E0C">
              <w:rPr>
                <w:rFonts w:ascii="Times New Roman" w:hAnsi="Times New Roman" w:cs="Times New Roman"/>
                <w:sz w:val="24"/>
                <w:szCs w:val="24"/>
              </w:rPr>
              <w:t>закупку нового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выпуска </w:t>
            </w:r>
            <w:r w:rsidR="00500E0C">
              <w:rPr>
                <w:rFonts w:ascii="Times New Roman" w:hAnsi="Times New Roman" w:cs="Times New Roman"/>
                <w:sz w:val="24"/>
                <w:szCs w:val="24"/>
              </w:rPr>
              <w:t xml:space="preserve">другого вида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 w:rsidR="00500E0C">
              <w:rPr>
                <w:rFonts w:ascii="Times New Roman" w:hAnsi="Times New Roman" w:cs="Times New Roman"/>
                <w:sz w:val="24"/>
                <w:szCs w:val="24"/>
              </w:rPr>
              <w:t>, провести анализ рынка</w:t>
            </w:r>
            <w:r w:rsidR="00170DE2">
              <w:rPr>
                <w:rFonts w:ascii="Times New Roman" w:hAnsi="Times New Roman" w:cs="Times New Roman"/>
                <w:sz w:val="24"/>
                <w:szCs w:val="24"/>
              </w:rPr>
              <w:t>, изучить технологии необходимые для переоборудования, обучить кадры работе с новым оборудованием</w:t>
            </w:r>
            <w:r w:rsidR="00311F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C5C8A" w:rsidRDefault="001C5C8A" w:rsidP="001C564D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</w:p>
    <w:p w:rsidR="00CC0D44" w:rsidRDefault="00CC0D44" w:rsidP="001C564D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</w:p>
    <w:p w:rsidR="00170DE2" w:rsidRDefault="00170DE2" w:rsidP="001C564D">
      <w:pPr>
        <w:shd w:val="clear" w:color="auto" w:fill="FFFFFF"/>
        <w:spacing w:before="120" w:after="120" w:line="240" w:lineRule="auto"/>
        <w:jc w:val="right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sectPr w:rsidR="00170DE2" w:rsidSect="00170DE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C5C8A" w:rsidRPr="007F04C9" w:rsidRDefault="001C5C8A" w:rsidP="001C564D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7F04C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lastRenderedPageBreak/>
        <w:t>Таблица 4</w:t>
      </w:r>
    </w:p>
    <w:p w:rsidR="001C5C8A" w:rsidRPr="001A216A" w:rsidRDefault="001C5C8A" w:rsidP="001C564D">
      <w:pPr>
        <w:spacing w:before="120"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04C9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Количественная оценка проблемного поля</w:t>
      </w:r>
    </w:p>
    <w:tbl>
      <w:tblPr>
        <w:tblStyle w:val="a3"/>
        <w:tblW w:w="0" w:type="auto"/>
        <w:tblInd w:w="1117" w:type="dxa"/>
        <w:tblLook w:val="04A0" w:firstRow="1" w:lastRow="0" w:firstColumn="1" w:lastColumn="0" w:noHBand="0" w:noVBand="1"/>
      </w:tblPr>
      <w:tblGrid>
        <w:gridCol w:w="4672"/>
        <w:gridCol w:w="3549"/>
      </w:tblGrid>
      <w:tr w:rsidR="001C5C8A" w:rsidRPr="001A216A" w:rsidTr="003377AA">
        <w:tc>
          <w:tcPr>
            <w:tcW w:w="4672" w:type="dxa"/>
          </w:tcPr>
          <w:p w:rsidR="001C5C8A" w:rsidRPr="001A216A" w:rsidRDefault="00500E0C" w:rsidP="001C564D">
            <w:pPr>
              <w:shd w:val="clear" w:color="auto" w:fill="FFFFFF"/>
              <w:spacing w:before="120" w:after="12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w:pPr>
            <w:r w:rsidRPr="00500E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Укрепление позиций фирмы на рынке, проведение маркетинговых предприятий для привлечения большего количества потребителей.</w:t>
            </w:r>
          </w:p>
        </w:tc>
        <w:tc>
          <w:tcPr>
            <w:tcW w:w="3549" w:type="dxa"/>
          </w:tcPr>
          <w:p w:rsidR="001C5C8A" w:rsidRPr="001A216A" w:rsidRDefault="007F04C9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C5C8A" w:rsidRPr="001A216A" w:rsidTr="003377AA">
        <w:tc>
          <w:tcPr>
            <w:tcW w:w="4672" w:type="dxa"/>
          </w:tcPr>
          <w:p w:rsidR="001C5C8A" w:rsidRPr="007F04C9" w:rsidRDefault="00200555" w:rsidP="001C564D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Проведение обучения кадров для работы на предприятии.</w:t>
            </w:r>
          </w:p>
        </w:tc>
        <w:tc>
          <w:tcPr>
            <w:tcW w:w="3549" w:type="dxa"/>
          </w:tcPr>
          <w:p w:rsidR="001C5C8A" w:rsidRPr="001A216A" w:rsidRDefault="007F04C9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C5C8A" w:rsidRPr="001A216A" w:rsidTr="003377AA">
        <w:tc>
          <w:tcPr>
            <w:tcW w:w="4672" w:type="dxa"/>
          </w:tcPr>
          <w:p w:rsidR="001C5C8A" w:rsidRPr="007F04C9" w:rsidRDefault="00200555" w:rsidP="001C564D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Предусмотреть такую возможность, создать финансовый резерв на этот случай.</w:t>
            </w:r>
          </w:p>
        </w:tc>
        <w:tc>
          <w:tcPr>
            <w:tcW w:w="3549" w:type="dxa"/>
          </w:tcPr>
          <w:p w:rsidR="001C5C8A" w:rsidRPr="001A216A" w:rsidRDefault="007F04C9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</w:t>
            </w:r>
          </w:p>
        </w:tc>
      </w:tr>
      <w:tr w:rsidR="001C5C8A" w:rsidRPr="001A216A" w:rsidTr="003377AA">
        <w:tc>
          <w:tcPr>
            <w:tcW w:w="4672" w:type="dxa"/>
          </w:tcPr>
          <w:p w:rsidR="001C5C8A" w:rsidRPr="007F04C9" w:rsidRDefault="00200555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Изучить и проанализировать новые рынки и возможности, проведение маркетинговых исследований на новых </w:t>
            </w:r>
            <w:proofErr w:type="gramStart"/>
            <w:r w:rsidRPr="007F0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рынках </w:t>
            </w:r>
            <w:r w:rsidR="00311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</w:p>
        </w:tc>
        <w:tc>
          <w:tcPr>
            <w:tcW w:w="3549" w:type="dxa"/>
          </w:tcPr>
          <w:p w:rsidR="001C5C8A" w:rsidRPr="001A216A" w:rsidRDefault="007F04C9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C5C8A" w:rsidRPr="001A216A" w:rsidTr="003377AA">
        <w:tc>
          <w:tcPr>
            <w:tcW w:w="4672" w:type="dxa"/>
          </w:tcPr>
          <w:p w:rsidR="001C5C8A" w:rsidRPr="007F04C9" w:rsidRDefault="007F04C9" w:rsidP="001C564D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Создать стажировки и начать сотрудничать с вузами, предлагать прохождение практики на производстве </w:t>
            </w:r>
            <w:proofErr w:type="gramStart"/>
            <w:r w:rsidRPr="007F0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фирмы </w:t>
            </w:r>
            <w:r w:rsidR="00311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gramEnd"/>
          </w:p>
        </w:tc>
        <w:tc>
          <w:tcPr>
            <w:tcW w:w="3549" w:type="dxa"/>
          </w:tcPr>
          <w:p w:rsidR="001C5C8A" w:rsidRPr="001A216A" w:rsidRDefault="00170DE2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C5C8A" w:rsidRPr="001A216A" w:rsidTr="003377AA">
        <w:tc>
          <w:tcPr>
            <w:tcW w:w="4672" w:type="dxa"/>
          </w:tcPr>
          <w:p w:rsidR="001C5C8A" w:rsidRPr="007F04C9" w:rsidRDefault="007F04C9" w:rsidP="001C564D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4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Осуществить закупку нового оборудования для выпуска другого вида п</w:t>
            </w:r>
            <w:r w:rsidR="00311F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родукции, провести анализ рынка.</w:t>
            </w:r>
          </w:p>
        </w:tc>
        <w:tc>
          <w:tcPr>
            <w:tcW w:w="3549" w:type="dxa"/>
          </w:tcPr>
          <w:p w:rsidR="001C5C8A" w:rsidRPr="001A216A" w:rsidRDefault="00170DE2" w:rsidP="001C564D">
            <w:pPr>
              <w:shd w:val="clear" w:color="auto" w:fill="FFFFFF"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  <w:p w:rsidR="001C5C8A" w:rsidRPr="001A216A" w:rsidRDefault="001C5C8A" w:rsidP="001C564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1C5C8A" w:rsidRPr="001A216A" w:rsidRDefault="001C5C8A" w:rsidP="001C564D">
      <w:pPr>
        <w:spacing w:before="120"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70DE2" w:rsidRPr="00170DE2" w:rsidRDefault="001C5C8A" w:rsidP="001C564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Мероприятиями по устранению слабых сторон организации являются:</w:t>
      </w:r>
    </w:p>
    <w:p w:rsidR="00170DE2" w:rsidRPr="00170DE2" w:rsidRDefault="00170DE2" w:rsidP="001C564D">
      <w:pPr>
        <w:pStyle w:val="aa"/>
        <w:numPr>
          <w:ilvl w:val="0"/>
          <w:numId w:val="1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стажировки и начать сотрудничать с вузами, предлагать прохождение практики на производстве фирмы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70DE2" w:rsidRPr="00170DE2" w:rsidRDefault="00170DE2" w:rsidP="001C564D">
      <w:pPr>
        <w:pStyle w:val="aa"/>
        <w:numPr>
          <w:ilvl w:val="0"/>
          <w:numId w:val="1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Осуществить закупку нового оборудования для выпуска другого вида продукции, провести анализ рынка, изучить технологии необходимые для переоборудования, обучить кадры работе с новым </w:t>
      </w:r>
      <w:bookmarkStart w:id="0" w:name="_GoBack"/>
      <w:bookmarkEnd w:id="0"/>
      <w:r w:rsidR="001C564D" w:rsidRP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оборудованием.</w:t>
      </w:r>
    </w:p>
    <w:p w:rsidR="001C5C8A" w:rsidRPr="00170DE2" w:rsidRDefault="001C5C8A" w:rsidP="001C564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Реализации имеющихся возможностей способствуют:</w:t>
      </w:r>
    </w:p>
    <w:p w:rsidR="001C5C8A" w:rsidRPr="00170DE2" w:rsidRDefault="00170DE2" w:rsidP="001C564D">
      <w:pPr>
        <w:pStyle w:val="aa"/>
        <w:numPr>
          <w:ilvl w:val="0"/>
          <w:numId w:val="1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и проанализировать новые рынки и возможности, проведение маркетинговых исследований на новых рынках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70DE2" w:rsidRPr="00170DE2" w:rsidRDefault="00170DE2" w:rsidP="001C564D">
      <w:pPr>
        <w:pStyle w:val="aa"/>
        <w:numPr>
          <w:ilvl w:val="0"/>
          <w:numId w:val="1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стажировки и начать сотрудничать с вузами, предлагать прохождение практики на производстве фирмы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70DE2" w:rsidRPr="00170DE2" w:rsidRDefault="00170DE2" w:rsidP="001C564D">
      <w:pPr>
        <w:pStyle w:val="aa"/>
        <w:numPr>
          <w:ilvl w:val="0"/>
          <w:numId w:val="1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Осуществить закупку нового оборудования для выпуска другого вида продукции, провести анализ рынка, изучить технологии необходимые для переоборудования, обучить кадры работе с новым оборудованием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C5C8A" w:rsidRPr="00170DE2" w:rsidRDefault="001C5C8A" w:rsidP="001C564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Устранение угроз осуществляется путем:</w:t>
      </w:r>
    </w:p>
    <w:p w:rsidR="001C5C8A" w:rsidRPr="00170DE2" w:rsidRDefault="00170DE2" w:rsidP="001C564D">
      <w:pPr>
        <w:pStyle w:val="aa"/>
        <w:numPr>
          <w:ilvl w:val="0"/>
          <w:numId w:val="1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Укрепление позиций фирмы на рынке, проведение маркетинговых предприятий для привлечения б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ольшего количества потребителей;</w:t>
      </w:r>
    </w:p>
    <w:p w:rsidR="00170DE2" w:rsidRPr="00170DE2" w:rsidRDefault="00170DE2" w:rsidP="001C564D">
      <w:pPr>
        <w:pStyle w:val="aa"/>
        <w:numPr>
          <w:ilvl w:val="0"/>
          <w:numId w:val="1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обучения к</w:t>
      </w:r>
      <w:r w:rsidR="00311F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адров для работы на предприятии;</w:t>
      </w:r>
    </w:p>
    <w:p w:rsidR="00170DE2" w:rsidRPr="00170DE2" w:rsidRDefault="00170DE2" w:rsidP="001C564D">
      <w:pPr>
        <w:pStyle w:val="aa"/>
        <w:numPr>
          <w:ilvl w:val="0"/>
          <w:numId w:val="12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Предусмотреть такую возможность, создать финансовый резерв на этот случай.</w:t>
      </w:r>
    </w:p>
    <w:p w:rsidR="00B71395" w:rsidRPr="00170DE2" w:rsidRDefault="001C5C8A" w:rsidP="001C564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фирма должна сконцентрировать свои усилия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решении следующих проблем: </w:t>
      </w:r>
      <w:r w:rsid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 нехватки квалифицированных кадров</w:t>
      </w:r>
      <w:r w:rsidRPr="001A21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70D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невозможность выпуска нового вида продукции, небольшой охват рынка.</w:t>
      </w:r>
    </w:p>
    <w:sectPr w:rsidR="00B71395" w:rsidRPr="00170DE2" w:rsidSect="00170DE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3A5" w:rsidRDefault="008B03A5" w:rsidP="00EC5CD2">
      <w:pPr>
        <w:spacing w:after="0" w:line="240" w:lineRule="auto"/>
      </w:pPr>
      <w:r>
        <w:separator/>
      </w:r>
    </w:p>
  </w:endnote>
  <w:endnote w:type="continuationSeparator" w:id="0">
    <w:p w:rsidR="008B03A5" w:rsidRDefault="008B03A5" w:rsidP="00EC5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3A5" w:rsidRDefault="008B03A5" w:rsidP="00EC5CD2">
      <w:pPr>
        <w:spacing w:after="0" w:line="240" w:lineRule="auto"/>
      </w:pPr>
      <w:r>
        <w:separator/>
      </w:r>
    </w:p>
  </w:footnote>
  <w:footnote w:type="continuationSeparator" w:id="0">
    <w:p w:rsidR="008B03A5" w:rsidRDefault="008B03A5" w:rsidP="00EC5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CD2" w:rsidRDefault="00EC5CD2">
    <w:pPr>
      <w:pStyle w:val="a5"/>
    </w:pPr>
    <w:r>
      <w:t>17.04.2020</w:t>
    </w:r>
    <w:r>
      <w:ptab w:relativeTo="margin" w:alignment="right" w:leader="none"/>
    </w:r>
    <w:r>
      <w:t>Точилова Е.А., БИ-17-1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0B91"/>
    <w:multiLevelType w:val="hybridMultilevel"/>
    <w:tmpl w:val="95DC8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84"/>
    <w:multiLevelType w:val="hybridMultilevel"/>
    <w:tmpl w:val="5C325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4902"/>
    <w:multiLevelType w:val="hybridMultilevel"/>
    <w:tmpl w:val="69267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45FEF"/>
    <w:multiLevelType w:val="hybridMultilevel"/>
    <w:tmpl w:val="3316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60C00"/>
    <w:multiLevelType w:val="hybridMultilevel"/>
    <w:tmpl w:val="F8F67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0E48"/>
    <w:multiLevelType w:val="hybridMultilevel"/>
    <w:tmpl w:val="F9D0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0164"/>
    <w:multiLevelType w:val="hybridMultilevel"/>
    <w:tmpl w:val="69267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F0029"/>
    <w:multiLevelType w:val="hybridMultilevel"/>
    <w:tmpl w:val="F9D0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8145D"/>
    <w:multiLevelType w:val="hybridMultilevel"/>
    <w:tmpl w:val="774C2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E1FD2"/>
    <w:multiLevelType w:val="hybridMultilevel"/>
    <w:tmpl w:val="95DC8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42FFC"/>
    <w:multiLevelType w:val="hybridMultilevel"/>
    <w:tmpl w:val="CCB822C8"/>
    <w:lvl w:ilvl="0" w:tplc="B2169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554ABC"/>
    <w:multiLevelType w:val="hybridMultilevel"/>
    <w:tmpl w:val="774C2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644E4"/>
    <w:multiLevelType w:val="hybridMultilevel"/>
    <w:tmpl w:val="9C90B3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7"/>
  </w:num>
  <w:num w:numId="10">
    <w:abstractNumId w:val="12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C8A"/>
    <w:rsid w:val="00170DE2"/>
    <w:rsid w:val="001C564D"/>
    <w:rsid w:val="001C5C8A"/>
    <w:rsid w:val="00200555"/>
    <w:rsid w:val="00252A9B"/>
    <w:rsid w:val="002D0A85"/>
    <w:rsid w:val="00311F78"/>
    <w:rsid w:val="003959B6"/>
    <w:rsid w:val="004B57A4"/>
    <w:rsid w:val="004F19EF"/>
    <w:rsid w:val="00500E0C"/>
    <w:rsid w:val="0050611B"/>
    <w:rsid w:val="00570551"/>
    <w:rsid w:val="00644BD9"/>
    <w:rsid w:val="00665BDC"/>
    <w:rsid w:val="007F04C9"/>
    <w:rsid w:val="008B03A5"/>
    <w:rsid w:val="0090088A"/>
    <w:rsid w:val="00AD0870"/>
    <w:rsid w:val="00B71395"/>
    <w:rsid w:val="00CC0D44"/>
    <w:rsid w:val="00EC5CD2"/>
    <w:rsid w:val="00F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E0FE"/>
  <w15:docId w15:val="{7C5AE774-E6CA-4A20-8A00-A3AC28C2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0088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C5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5CD2"/>
  </w:style>
  <w:style w:type="paragraph" w:styleId="a7">
    <w:name w:val="footer"/>
    <w:basedOn w:val="a"/>
    <w:link w:val="a8"/>
    <w:uiPriority w:val="99"/>
    <w:unhideWhenUsed/>
    <w:rsid w:val="00EC5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5CD2"/>
  </w:style>
  <w:style w:type="paragraph" w:styleId="a9">
    <w:name w:val="Normal (Web)"/>
    <w:basedOn w:val="a"/>
    <w:uiPriority w:val="99"/>
    <w:unhideWhenUsed/>
    <w:rsid w:val="00EC5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C5CD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bguser</dc:creator>
  <cp:lastModifiedBy>Елизавета Точилова</cp:lastModifiedBy>
  <cp:revision>6</cp:revision>
  <dcterms:created xsi:type="dcterms:W3CDTF">2020-05-22T09:44:00Z</dcterms:created>
  <dcterms:modified xsi:type="dcterms:W3CDTF">2022-06-15T05:48:00Z</dcterms:modified>
</cp:coreProperties>
</file>