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Arial" w:cs="Arial" w:eastAsia="Arial" w:hAnsi="Arial"/>
          <w:b/>
          <w:bCs/>
          <w:color w:val="1F4E79"/>
          <w:sz w:val="56"/>
          <w:szCs w:val="56"/>
        </w:rPr>
        <w:t xml:space="preserve">ClientEnforce</w:t>
      </w:r>
    </w:p>
    <w:p>
      <w:pPr>
        <w:spacing w:after="360"/>
      </w:pPr>
      <w:r>
        <w:rPr>
          <w:rFonts w:ascii="Arial" w:cs="Arial" w:eastAsia="Arial" w:hAnsi="Arial"/>
          <w:b/>
          <w:bCs/>
          <w:sz w:val="44"/>
          <w:szCs w:val="44"/>
        </w:rPr>
        <w:t xml:space="preserve">Master Marketing Plan</w:t>
      </w:r>
    </w:p>
    <w:p>
      <w:pPr>
        <w:spacing w:after="120"/>
      </w:pPr>
      <w:r>
        <w:rPr>
          <w:rFonts w:ascii="Arial" w:cs="Arial" w:eastAsia="Arial" w:hAnsi="Arial"/>
          <w:color w:val="595959"/>
          <w:sz w:val="28"/>
          <w:szCs w:val="28"/>
        </w:rPr>
        <w:t xml:space="preserve">The Path to £10,000 MRR</w:t>
      </w:r>
    </w:p>
    <w:p>
      <w:pPr>
        <w:spacing w:after="1200"/>
      </w:pPr>
      <w:r>
        <w:rPr>
          <w:rFonts w:ascii="Arial" w:cs="Arial" w:eastAsia="Arial" w:hAnsi="Arial"/>
          <w:i/>
          <w:iCs/>
          <w:color w:val="808080"/>
          <w:sz w:val="22"/>
          <w:szCs w:val="22"/>
        </w:rPr>
        <w:t xml:space="preserve">Document 1 of 6 — read first.</w:t>
      </w:r>
    </w:p>
    <w:p>
      <w:r>
        <w:rPr>
          <w:rFonts w:ascii="Arial" w:cs="Arial" w:eastAsia="Arial" w:hAnsi="Arial"/>
          <w:sz w:val="22"/>
          <w:szCs w:val="22"/>
        </w:rPr>
        <w:t xml:space="preserve">Owner: Thomas (Founder) — info@clientenforce.com</w:t>
      </w:r>
    </w:p>
    <w:p>
      <w:r>
        <w:rPr>
          <w:rFonts w:ascii="Arial" w:cs="Arial" w:eastAsia="Arial" w:hAnsi="Arial"/>
          <w:sz w:val="22"/>
          <w:szCs w:val="22"/>
        </w:rPr>
        <w:t xml:space="preserve">Last updated: 10 May 2026</w:t>
      </w:r>
    </w:p>
    <w:p>
      <w:r>
        <w:rPr>
          <w:rFonts w:ascii="Arial" w:cs="Arial" w:eastAsia="Arial" w:hAnsi="Arial"/>
          <w:sz w:val="22"/>
          <w:szCs w:val="22"/>
        </w:rPr>
        <w:t xml:space="preserve">Status: Active — review monthly, replace quarterly</w:t>
      </w:r>
    </w:p>
    <w:p>
      <w:r>
        <w:br w:type="page"/>
      </w:r>
    </w:p>
    <w:p>
      <w:pPr>
        <w:pStyle w:val="Heading1"/>
        <w:spacing w:after="180" w:before="0"/>
      </w:pPr>
      <w:r>
        <w:rPr>
          <w:rFonts w:ascii="Arial" w:cs="Arial" w:eastAsia="Arial" w:hAnsi="Arial"/>
          <w:b/>
          <w:bCs/>
          <w:color w:val="1F4E79"/>
          <w:sz w:val="36"/>
          <w:szCs w:val="36"/>
        </w:rPr>
        <w:t xml:space="preserve">How to use this plan</w:t>
      </w:r>
    </w:p>
    <w:p>
      <w:pPr>
        <w:pBdr>
          <w:left w:val="single" w:color="1F4E79" w:sz="24" w:space="8"/>
        </w:pBdr>
        <w:spacing w:after="120" w:before="120"/>
        <w:ind w:left="240"/>
      </w:pPr>
      <w:r>
        <w:rPr>
          <w:rFonts w:ascii="Arial" w:cs="Arial" w:eastAsia="Arial" w:hAnsi="Arial"/>
          <w:i/>
          <w:iCs/>
          <w:color w:val="404040"/>
          <w:sz w:val="22"/>
          <w:szCs w:val="22"/>
        </w:rPr>
        <w:t xml:space="preserve">Previous attempts failed because of conflicting numbers across documents and no operating manual. This document is the single source of truth for strategy. Numbers in the other 5 documents must match this one. If you find a conflict, this document wins.</w:t>
      </w:r>
    </w:p>
    <w:p>
      <w:pPr>
        <w:spacing w:after="80" w:before="80"/>
      </w:pPr>
      <w:r>
        <w:rPr>
          <w:rFonts w:ascii="Arial" w:cs="Arial" w:eastAsia="Arial" w:hAnsi="Arial"/>
          <w:sz w:val="22"/>
          <w:szCs w:val="22"/>
        </w:rPr>
        <w:t xml:space="preserve">This pack is 6 documents. Read them in this order:</w:t>
      </w:r>
    </w:p>
    <w:p>
      <w:pPr>
        <w:pStyle w:val="ListParagraph"/>
        <w:numPr>
          <w:ilvl w:val="0"/>
          <w:numId w:val="2"/>
        </w:numPr>
        <w:spacing w:after="40" w:before="40"/>
      </w:pPr>
      <w:r>
        <w:rPr>
          <w:rFonts w:ascii="Arial" w:cs="Arial" w:eastAsia="Arial" w:hAnsi="Arial"/>
          <w:sz w:val="22"/>
          <w:szCs w:val="22"/>
        </w:rPr>
        <w:t xml:space="preserve">01 — Master Marketing Plan (this document). Strategy, ICPs, positioning, channels, plans/pricing, tech stack/DRIs, the £10k path.</w:t>
      </w:r>
    </w:p>
    <w:p>
      <w:pPr>
        <w:pStyle w:val="ListParagraph"/>
        <w:numPr>
          <w:ilvl w:val="0"/>
          <w:numId w:val="2"/>
        </w:numPr>
        <w:spacing w:after="40" w:before="40"/>
      </w:pPr>
      <w:r>
        <w:rPr>
          <w:rFonts w:ascii="Arial" w:cs="Arial" w:eastAsia="Arial" w:hAnsi="Arial"/>
          <w:sz w:val="22"/>
          <w:szCs w:val="22"/>
        </w:rPr>
        <w:t xml:space="preserve">02 — Cold Email Operating Manual. Domain warmup schedule, daily send limits, sequences, templates, the math behind follow-up overlap.</w:t>
      </w:r>
    </w:p>
    <w:p>
      <w:pPr>
        <w:pStyle w:val="ListParagraph"/>
        <w:numPr>
          <w:ilvl w:val="0"/>
          <w:numId w:val="2"/>
        </w:numPr>
        <w:spacing w:after="40" w:before="40"/>
      </w:pPr>
      <w:r>
        <w:rPr>
          <w:rFonts w:ascii="Arial" w:cs="Arial" w:eastAsia="Arial" w:hAnsi="Arial"/>
          <w:sz w:val="22"/>
          <w:szCs w:val="22"/>
        </w:rPr>
        <w:t xml:space="preserve">03 — LinkedIn Engagement Playbook. How to find your ICP with Sales Nav, how to comment on posts that aren't congratulations, weekly cadence.</w:t>
      </w:r>
    </w:p>
    <w:p>
      <w:pPr>
        <w:pStyle w:val="ListParagraph"/>
        <w:numPr>
          <w:ilvl w:val="0"/>
          <w:numId w:val="2"/>
        </w:numPr>
        <w:spacing w:after="40" w:before="40"/>
      </w:pPr>
      <w:r>
        <w:rPr>
          <w:rFonts w:ascii="Arial" w:cs="Arial" w:eastAsia="Arial" w:hAnsi="Arial"/>
          <w:sz w:val="22"/>
          <w:szCs w:val="22"/>
        </w:rPr>
        <w:t xml:space="preserve">04 — SEO Action Plan. Cannibalisation fixes, page consolidations, redirects, content roadmap. Read after this doc, before any other channel.</w:t>
      </w:r>
    </w:p>
    <w:p>
      <w:pPr>
        <w:pStyle w:val="ListParagraph"/>
        <w:numPr>
          <w:ilvl w:val="0"/>
          <w:numId w:val="2"/>
        </w:numPr>
        <w:spacing w:after="40" w:before="40"/>
      </w:pPr>
      <w:r>
        <w:rPr>
          <w:rFonts w:ascii="Arial" w:cs="Arial" w:eastAsia="Arial" w:hAnsi="Arial"/>
          <w:sz w:val="22"/>
          <w:szCs w:val="22"/>
        </w:rPr>
        <w:t xml:space="preserve">05 — Master Operating Guide. Daily, weekly, monthly rituals. The single calendar that says what happens when.</w:t>
      </w:r>
    </w:p>
    <w:p>
      <w:pPr>
        <w:pStyle w:val="ListParagraph"/>
        <w:numPr>
          <w:ilvl w:val="0"/>
          <w:numId w:val="2"/>
        </w:numPr>
        <w:spacing w:after="40" w:before="40"/>
      </w:pPr>
      <w:r>
        <w:rPr>
          <w:rFonts w:ascii="Arial" w:cs="Arial" w:eastAsia="Arial" w:hAnsi="Arial"/>
          <w:sz w:val="22"/>
          <w:szCs w:val="22"/>
        </w:rPr>
        <w:t xml:space="preserve">06 — ClientEnforce Trackers (Numbers/Excel). Warmup tracker, send-volume calculator, pipeline, KPI dashboard, content calendar, cannibalisation tracker.</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The non-negotiables</w:t>
      </w:r>
    </w:p>
    <w:p>
      <w:pPr>
        <w:pStyle w:val="ListParagraph"/>
        <w:numPr>
          <w:ilvl w:val="0"/>
          <w:numId w:val="3"/>
        </w:numPr>
        <w:spacing w:after="40" w:before="40"/>
      </w:pPr>
      <w:r>
        <w:rPr>
          <w:rFonts w:ascii="Arial" w:cs="Arial" w:eastAsia="Arial" w:hAnsi="Arial"/>
          <w:sz w:val="22"/>
          <w:szCs w:val="22"/>
        </w:rPr>
        <w:t xml:space="preserve">One source of truth for every number. If a number changes in this doc, update the other docs the same week.</w:t>
      </w:r>
    </w:p>
    <w:p>
      <w:pPr>
        <w:pStyle w:val="ListParagraph"/>
        <w:numPr>
          <w:ilvl w:val="0"/>
          <w:numId w:val="3"/>
        </w:numPr>
        <w:spacing w:after="40" w:before="40"/>
      </w:pPr>
      <w:r>
        <w:rPr>
          <w:rFonts w:ascii="Arial" w:cs="Arial" w:eastAsia="Arial" w:hAnsi="Arial"/>
          <w:sz w:val="22"/>
          <w:szCs w:val="22"/>
        </w:rPr>
        <w:t xml:space="preserve">No marketing buzzwords. Never use 'leverage', 'unlock', 'transform', 'best-in-class', 'synergy', 'seamless'. Specific outcomes only.</w:t>
      </w:r>
    </w:p>
    <w:p>
      <w:pPr>
        <w:pStyle w:val="ListParagraph"/>
        <w:numPr>
          <w:ilvl w:val="0"/>
          <w:numId w:val="3"/>
        </w:numPr>
        <w:spacing w:after="40" w:before="40"/>
      </w:pPr>
      <w:r>
        <w:rPr>
          <w:rFonts w:ascii="Arial" w:cs="Arial" w:eastAsia="Arial" w:hAnsi="Arial"/>
          <w:sz w:val="22"/>
          <w:szCs w:val="22"/>
        </w:rPr>
        <w:t xml:space="preserve">Founder voice on everything external. Thomas writes or signs off. Brand voice is Thomas's voice — direct, warm, no fluff, slightly contrarian.</w:t>
      </w:r>
    </w:p>
    <w:p>
      <w:pPr>
        <w:pStyle w:val="ListParagraph"/>
        <w:numPr>
          <w:ilvl w:val="0"/>
          <w:numId w:val="3"/>
        </w:numPr>
        <w:spacing w:after="40" w:before="40"/>
      </w:pPr>
      <w:r>
        <w:rPr>
          <w:rFonts w:ascii="Arial" w:cs="Arial" w:eastAsia="Arial" w:hAnsi="Arial"/>
          <w:sz w:val="22"/>
          <w:szCs w:val="22"/>
        </w:rPr>
        <w:t xml:space="preserve">Every channel has one DRI. If something fails, you know who fixes it.</w:t>
      </w:r>
    </w:p>
    <w:p>
      <w:pPr>
        <w:pStyle w:val="ListParagraph"/>
        <w:numPr>
          <w:ilvl w:val="0"/>
          <w:numId w:val="3"/>
        </w:numPr>
        <w:spacing w:after="40" w:before="40"/>
      </w:pPr>
      <w:r>
        <w:rPr>
          <w:rFonts w:ascii="Arial" w:cs="Arial" w:eastAsia="Arial" w:hAnsi="Arial"/>
          <w:sz w:val="22"/>
          <w:szCs w:val="22"/>
        </w:rPr>
        <w:t xml:space="preserve">Self-reported source on every signup form. We measure where customers actually come from, not where attribution software guesses.</w:t>
      </w:r>
    </w:p>
    <w:p>
      <w:pPr>
        <w:pStyle w:val="Heading1"/>
        <w:pageBreakBefore/>
        <w:spacing w:after="180" w:before="360"/>
      </w:pPr>
      <w:r>
        <w:rPr>
          <w:rFonts w:ascii="Arial" w:cs="Arial" w:eastAsia="Arial" w:hAnsi="Arial"/>
          <w:b/>
          <w:bCs/>
          <w:color w:val="1F4E79"/>
          <w:sz w:val="36"/>
          <w:szCs w:val="36"/>
        </w:rPr>
        <w:t xml:space="preserve">1. Company strategy</w:t>
      </w:r>
    </w:p>
    <w:p>
      <w:pPr>
        <w:pStyle w:val="Heading2"/>
        <w:spacing w:after="140" w:before="280"/>
      </w:pPr>
      <w:r>
        <w:rPr>
          <w:rFonts w:ascii="Arial" w:cs="Arial" w:eastAsia="Arial" w:hAnsi="Arial"/>
          <w:b/>
          <w:bCs/>
          <w:color w:val="2E2E2E"/>
          <w:sz w:val="28"/>
          <w:szCs w:val="28"/>
        </w:rPr>
        <w:t xml:space="preserve">1.1 The core thesis</w:t>
      </w:r>
    </w:p>
    <w:p>
      <w:pPr>
        <w:pBdr>
          <w:left w:val="single" w:color="1F4E79" w:sz="24" w:space="8"/>
        </w:pBdr>
        <w:spacing w:after="120" w:before="120"/>
        <w:ind w:left="240"/>
      </w:pPr>
      <w:r>
        <w:rPr>
          <w:rFonts w:ascii="Arial" w:cs="Arial" w:eastAsia="Arial" w:hAnsi="Arial"/>
          <w:i/>
          <w:iCs/>
          <w:color w:val="404040"/>
          <w:sz w:val="22"/>
          <w:szCs w:val="22"/>
        </w:rPr>
        <w:t xml:space="preserve">ClientEnforce wins by being specifically positioned, founder-led, and unmissable to a small set of professional-services firms — not by outspending HoneyBook on Facebook ads. The product solves one painful, expensive problem: clients ghost the intake process and projects start half-finished.</w:t>
      </w:r>
    </w:p>
    <w:p>
      <w:pPr>
        <w:pStyle w:val="Heading2"/>
        <w:spacing w:after="140" w:before="280"/>
      </w:pPr>
      <w:r>
        <w:rPr>
          <w:rFonts w:ascii="Arial" w:cs="Arial" w:eastAsia="Arial" w:hAnsi="Arial"/>
          <w:b/>
          <w:bCs/>
          <w:color w:val="2E2E2E"/>
          <w:sz w:val="28"/>
          <w:szCs w:val="28"/>
        </w:rPr>
        <w:t xml:space="preserve">1.2 Where we are today (10 May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MRR</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£89/month (Tim @ Telletire — Scale plan, won via SEO)</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Paid customers</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Trial signups (last 30d)</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Unknown — must be tracked from this week</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Site pages live</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70+ (significant SEO cannibalisation — see Doc 04)</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Sending domains</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clientenforce.com (2 inboxes), tryclientenforce.com (2 inboxes)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Outbound stack</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 Instantly accounts, Apollo, LinkedIn Sales Navigator</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Team</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 (founder, marketing + sales DRI)</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Pricing tiers live</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Solo £0 · Team £29 · Scale £89 · Agency Pro £149 (all GBP/month)</w:t>
            </w:r>
          </w:p>
        </w:tc>
      </w:tr>
    </w:tbl>
    <w:p>
      <w:pPr>
        <w:pStyle w:val="Heading2"/>
        <w:spacing w:after="140" w:before="280"/>
      </w:pPr>
      <w:r>
        <w:rPr>
          <w:rFonts w:ascii="Arial" w:cs="Arial" w:eastAsia="Arial" w:hAnsi="Arial"/>
          <w:b/>
          <w:bCs/>
          <w:color w:val="2E2E2E"/>
          <w:sz w:val="28"/>
          <w:szCs w:val="28"/>
        </w:rPr>
        <w:t xml:space="preserve">1.3 The 6-month goal: £10,000 MRR</w:t>
      </w:r>
    </w:p>
    <w:p>
      <w:pPr>
        <w:spacing w:after="80" w:before="80"/>
      </w:pPr>
      <w:r>
        <w:rPr>
          <w:rFonts w:ascii="Arial" w:cs="Arial" w:eastAsia="Arial" w:hAnsi="Arial"/>
          <w:sz w:val="22"/>
          <w:szCs w:val="22"/>
        </w:rPr>
        <w:t xml:space="preserve">To hit £10k MRR in 6 months we need a paying customer mix that compounds. The realistic blend by end of month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Customers needed</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MRR contribution</w:t>
            </w:r>
          </w:p>
        </w:tc>
      </w:tr>
      <w:tr>
        <w:tc>
          <w:tcPr>
            <w:tcW w:type="dxa" w:w="252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Team (£29)</w:t>
            </w:r>
          </w:p>
        </w:tc>
        <w:tc>
          <w:tcPr>
            <w:tcW w:type="dxa" w:w="37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30 paid</w:t>
            </w:r>
          </w:p>
        </w:tc>
        <w:tc>
          <w:tcPr>
            <w:tcW w:type="dxa" w:w="37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£870</w:t>
            </w:r>
          </w:p>
        </w:tc>
      </w:tr>
      <w:tr>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Scale (£89)</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60 paid</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£5,340</w:t>
            </w:r>
          </w:p>
        </w:tc>
      </w:tr>
      <w:tr>
        <w:tc>
          <w:tcPr>
            <w:tcW w:type="dxa" w:w="252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Agency Pro (£149)</w:t>
            </w:r>
          </w:p>
        </w:tc>
        <w:tc>
          <w:tcPr>
            <w:tcW w:type="dxa" w:w="37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25 paid</w:t>
            </w:r>
          </w:p>
        </w:tc>
        <w:tc>
          <w:tcPr>
            <w:tcW w:type="dxa" w:w="37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£3,725</w:t>
            </w:r>
          </w:p>
        </w:tc>
      </w:tr>
      <w:tr>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TOTAL: 115 paid customers</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£9,935 MRR</w:t>
            </w:r>
          </w:p>
        </w:tc>
      </w:tr>
    </w:tbl>
    <w:p>
      <w:pPr>
        <w:spacing w:after="80" w:before="80"/>
      </w:pPr>
      <w:r>
        <w:rPr>
          <w:rFonts w:ascii="Arial" w:cs="Arial" w:eastAsia="Arial" w:hAnsi="Arial"/>
          <w:b/>
          <w:bCs/>
          <w:sz w:val="22"/>
          <w:szCs w:val="22"/>
        </w:rPr>
        <w:t xml:space="preserve">Why this mix? </w:t>
      </w:r>
      <w:r>
        <w:rPr>
          <w:rFonts w:ascii="Arial" w:cs="Arial" w:eastAsia="Arial" w:hAnsi="Arial"/>
          <w:sz w:val="22"/>
          <w:szCs w:val="22"/>
        </w:rPr>
        <w:t xml:space="preserve">Scale (£89) is our anchor — it matches the buyer who already has a real onboarding problem and budget. Team (£29) is the trialist conversion path. Agency Pro (£149) is the stretch tier won by case studies and white-label demand. Tim @ Telletire validated the Scale tier — that's our proof we can sell at the £89 price point cold.</w:t>
      </w:r>
    </w:p>
    <w:p>
      <w:pPr>
        <w:pStyle w:val="Heading2"/>
        <w:spacing w:after="140" w:before="280"/>
      </w:pPr>
      <w:r>
        <w:rPr>
          <w:rFonts w:ascii="Arial" w:cs="Arial" w:eastAsia="Arial" w:hAnsi="Arial"/>
          <w:b/>
          <w:bCs/>
          <w:color w:val="2E2E2E"/>
          <w:sz w:val="28"/>
          <w:szCs w:val="28"/>
        </w:rPr>
        <w:t xml:space="preserve">1.4 The 4 strategic priorities (in order)</w:t>
      </w:r>
    </w:p>
    <w:p>
      <w:pPr>
        <w:pStyle w:val="ListParagraph"/>
        <w:numPr>
          <w:ilvl w:val="0"/>
          <w:numId w:val="2"/>
        </w:numPr>
        <w:spacing w:after="40" w:before="40"/>
      </w:pPr>
      <w:r>
        <w:rPr>
          <w:rFonts w:ascii="Arial" w:cs="Arial" w:eastAsia="Arial" w:hAnsi="Arial"/>
          <w:sz w:val="22"/>
          <w:szCs w:val="22"/>
        </w:rPr>
        <w:t xml:space="preserve">Fix SEO cannibalisation before scaling any other channel. We're competing with ourselves on at least 8 high-intent keyword clusters (see Doc 04). Every other channel underperforms while this is broken.</w:t>
      </w:r>
    </w:p>
    <w:p>
      <w:pPr>
        <w:pStyle w:val="ListParagraph"/>
        <w:numPr>
          <w:ilvl w:val="0"/>
          <w:numId w:val="2"/>
        </w:numPr>
        <w:spacing w:after="40" w:before="40"/>
      </w:pPr>
      <w:r>
        <w:rPr>
          <w:rFonts w:ascii="Arial" w:cs="Arial" w:eastAsia="Arial" w:hAnsi="Arial"/>
          <w:sz w:val="22"/>
          <w:szCs w:val="22"/>
        </w:rPr>
        <w:t xml:space="preserve">Convert Tim @ Telletire into the first named case study. One real customer with a real number is worth 10 testimonial-quote graphics.</w:t>
      </w:r>
    </w:p>
    <w:p>
      <w:pPr>
        <w:pStyle w:val="ListParagraph"/>
        <w:numPr>
          <w:ilvl w:val="0"/>
          <w:numId w:val="2"/>
        </w:numPr>
        <w:spacing w:after="40" w:before="40"/>
      </w:pPr>
      <w:r>
        <w:rPr>
          <w:rFonts w:ascii="Arial" w:cs="Arial" w:eastAsia="Arial" w:hAnsi="Arial"/>
          <w:sz w:val="22"/>
          <w:szCs w:val="22"/>
        </w:rPr>
        <w:t xml:space="preserve">Run a tight, founder-led outbound engine. 4 inboxes, 1 ICP segment per week, hand-targeted lists under 50 prospects per cohort. (See Doc 02.)</w:t>
      </w:r>
    </w:p>
    <w:p>
      <w:pPr>
        <w:pStyle w:val="ListParagraph"/>
        <w:numPr>
          <w:ilvl w:val="0"/>
          <w:numId w:val="2"/>
        </w:numPr>
        <w:spacing w:after="40" w:before="40"/>
      </w:pPr>
      <w:r>
        <w:rPr>
          <w:rFonts w:ascii="Arial" w:cs="Arial" w:eastAsia="Arial" w:hAnsi="Arial"/>
          <w:sz w:val="22"/>
          <w:szCs w:val="22"/>
        </w:rPr>
        <w:t xml:space="preserve">Build a weekly LinkedIn cadence: 5 posts a week from Thomas + 10 thoughtful comments a day on ICP posts. (See Doc 03.)</w:t>
      </w:r>
    </w:p>
    <w:p>
      <w:pPr>
        <w:pStyle w:val="Heading2"/>
        <w:spacing w:after="140" w:before="280"/>
      </w:pPr>
      <w:r>
        <w:rPr>
          <w:rFonts w:ascii="Arial" w:cs="Arial" w:eastAsia="Arial" w:hAnsi="Arial"/>
          <w:b/>
          <w:bCs/>
          <w:color w:val="2E2E2E"/>
          <w:sz w:val="28"/>
          <w:szCs w:val="28"/>
        </w:rPr>
        <w:t xml:space="preserve">1.5 What we explicitly will NOT do</w:t>
      </w:r>
    </w:p>
    <w:p>
      <w:pPr>
        <w:pStyle w:val="ListParagraph"/>
        <w:numPr>
          <w:ilvl w:val="0"/>
          <w:numId w:val="3"/>
        </w:numPr>
        <w:spacing w:after="40" w:before="40"/>
      </w:pPr>
      <w:r>
        <w:rPr>
          <w:rFonts w:ascii="Arial" w:cs="Arial" w:eastAsia="Arial" w:hAnsi="Arial"/>
          <w:sz w:val="22"/>
          <w:szCs w:val="22"/>
        </w:rPr>
        <w:t xml:space="preserve">Paid social acquisition until SEO cannibalisation is fixed and we have 5 paying customers. Bad positioning + paid spend = setting money on fire.</w:t>
      </w:r>
    </w:p>
    <w:p>
      <w:pPr>
        <w:pStyle w:val="ListParagraph"/>
        <w:numPr>
          <w:ilvl w:val="0"/>
          <w:numId w:val="3"/>
        </w:numPr>
        <w:spacing w:after="40" w:before="40"/>
      </w:pPr>
      <w:r>
        <w:rPr>
          <w:rFonts w:ascii="Arial" w:cs="Arial" w:eastAsia="Arial" w:hAnsi="Arial"/>
          <w:sz w:val="22"/>
          <w:szCs w:val="22"/>
        </w:rPr>
        <w:t xml:space="preserve">Cold-emailing huge lists from a 5th, 6th, 7th domain. We use the 4 inboxes we have, well, before we add inbox capacity.</w:t>
      </w:r>
    </w:p>
    <w:p>
      <w:pPr>
        <w:pStyle w:val="ListParagraph"/>
        <w:numPr>
          <w:ilvl w:val="0"/>
          <w:numId w:val="3"/>
        </w:numPr>
        <w:spacing w:after="40" w:before="40"/>
      </w:pPr>
      <w:r>
        <w:rPr>
          <w:rFonts w:ascii="Arial" w:cs="Arial" w:eastAsia="Arial" w:hAnsi="Arial"/>
          <w:sz w:val="22"/>
          <w:szCs w:val="22"/>
        </w:rPr>
        <w:t xml:space="preserve">Booth-style events or sponsorships. Cost-per-pipeline is wrong for our stage.</w:t>
      </w:r>
    </w:p>
    <w:p>
      <w:pPr>
        <w:pStyle w:val="ListParagraph"/>
        <w:numPr>
          <w:ilvl w:val="0"/>
          <w:numId w:val="3"/>
        </w:numPr>
        <w:spacing w:after="40" w:before="40"/>
      </w:pPr>
      <w:r>
        <w:rPr>
          <w:rFonts w:ascii="Arial" w:cs="Arial" w:eastAsia="Arial" w:hAnsi="Arial"/>
          <w:sz w:val="22"/>
          <w:szCs w:val="22"/>
        </w:rPr>
        <w:t xml:space="preserve">Generic 'thought leadership' blog posts. Every post must rank for a buyer-intent keyword OR support founder content distribution.</w:t>
      </w:r>
    </w:p>
    <w:p>
      <w:pPr>
        <w:pStyle w:val="ListParagraph"/>
        <w:numPr>
          <w:ilvl w:val="0"/>
          <w:numId w:val="3"/>
        </w:numPr>
        <w:spacing w:after="40" w:before="40"/>
      </w:pPr>
      <w:r>
        <w:rPr>
          <w:rFonts w:ascii="Arial" w:cs="Arial" w:eastAsia="Arial" w:hAnsi="Arial"/>
          <w:sz w:val="22"/>
          <w:szCs w:val="22"/>
        </w:rPr>
        <w:t xml:space="preserve">AI-generated copy with no human pass. Gmail's Feb 2026 filter junks template-y AI copy at 2.4× the rate of 2025.</w:t>
      </w:r>
    </w:p>
    <w:p>
      <w:pPr>
        <w:pStyle w:val="Heading1"/>
        <w:pageBreakBefore/>
        <w:spacing w:after="180" w:before="360"/>
      </w:pPr>
      <w:r>
        <w:rPr>
          <w:rFonts w:ascii="Arial" w:cs="Arial" w:eastAsia="Arial" w:hAnsi="Arial"/>
          <w:b/>
          <w:bCs/>
          <w:color w:val="1F4E79"/>
          <w:sz w:val="36"/>
          <w:szCs w:val="36"/>
        </w:rPr>
        <w:t xml:space="preserve">2. ICP types and priorities</w:t>
      </w:r>
    </w:p>
    <w:p>
      <w:pPr>
        <w:pStyle w:val="Heading2"/>
        <w:spacing w:after="140" w:before="280"/>
      </w:pPr>
      <w:r>
        <w:rPr>
          <w:rFonts w:ascii="Arial" w:cs="Arial" w:eastAsia="Arial" w:hAnsi="Arial"/>
          <w:b/>
          <w:bCs/>
          <w:color w:val="2E2E2E"/>
          <w:sz w:val="28"/>
          <w:szCs w:val="28"/>
        </w:rPr>
        <w:t xml:space="preserve">2.1 The ICP definition framework</w:t>
      </w:r>
    </w:p>
    <w:p>
      <w:pPr>
        <w:spacing w:after="80" w:before="80"/>
      </w:pPr>
      <w:r>
        <w:rPr>
          <w:rFonts w:ascii="Arial" w:cs="Arial" w:eastAsia="Arial" w:hAnsi="Arial"/>
          <w:sz w:val="22"/>
          <w:szCs w:val="22"/>
        </w:rPr>
        <w:t xml:space="preserve">We use three filters: firmographic, persona, and trigger. Without all three, a prospect doesn't go on a list.</w:t>
      </w:r>
    </w:p>
    <w:p>
      <w:pPr>
        <w:pStyle w:val="Heading2"/>
        <w:spacing w:after="140" w:before="280"/>
      </w:pPr>
      <w:r>
        <w:rPr>
          <w:rFonts w:ascii="Arial" w:cs="Arial" w:eastAsia="Arial" w:hAnsi="Arial"/>
          <w:b/>
          <w:bCs/>
          <w:color w:val="2E2E2E"/>
          <w:sz w:val="28"/>
          <w:szCs w:val="28"/>
        </w:rPr>
        <w:t xml:space="preserve">2.2 Tier-1 ICP — primary focus (60% of effort)</w:t>
      </w:r>
    </w:p>
    <w:p>
      <w:pPr>
        <w:pStyle w:val="Heading3"/>
        <w:spacing w:after="100" w:before="200"/>
      </w:pPr>
      <w:r>
        <w:rPr>
          <w:rFonts w:ascii="Arial" w:cs="Arial" w:eastAsia="Arial" w:hAnsi="Arial"/>
          <w:b/>
          <w:bCs/>
          <w:color w:val="404040"/>
          <w:sz w:val="24"/>
          <w:szCs w:val="24"/>
        </w:rPr>
        <w:t xml:space="preserve">UK &amp; US accounting firms (5–25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Industry</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Accounting firms / bookkeepers / tax practitioners (ICAEW, ACCA, CPA, EA)</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Size</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5–25 fee-earners / staff</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Geo</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UK (priority 1), US (priority 2), CA/AU (priority 3)</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Persona</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Managing Partner, Practice Manager, or Operations Lead</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Pain</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Onboarding new clients takes 14+ days. KYC docs missing. Engagement letters chased over email. Compliance evidence lives nowhere.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Trigger</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Tax season hiring, new partner announcement, MTD/AML guidance change, hiring 'Practice Manager' role on LinkedIn</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Tools they use</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Karbon, TaxDome, Practice Ignition, Xero, QuickBooks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Why us</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Enforced intake + audit trail per client + no-login portal = onboarding done in 2 days, not 14, with audit-ready evidence</w:t>
            </w:r>
          </w:p>
        </w:tc>
      </w:tr>
    </w:tbl>
    <w:p>
      <w:pPr>
        <w:pStyle w:val="Heading3"/>
        <w:spacing w:after="100" w:before="200"/>
      </w:pPr>
      <w:r>
        <w:rPr>
          <w:rFonts w:ascii="Arial" w:cs="Arial" w:eastAsia="Arial" w:hAnsi="Arial"/>
          <w:b/>
          <w:bCs/>
          <w:color w:val="404040"/>
          <w:sz w:val="24"/>
          <w:szCs w:val="24"/>
        </w:rPr>
        <w:t xml:space="preserve">Boutique law firms (3–20 fee-earners)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Industry</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Solicitors, conveyancing, family law, immigration, commercial — non-litigation</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Size</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3–20 fee-earners</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Geo</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UK (priority 1), US (priority 2), South Africa (priority 3 — FICA traction)</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Persona</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Managing Partner or Office Manager</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Pain</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Client matter intake is paper-based or scattered email. Conflict checks delayed. CDD documents collected ad hoc.</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Trigger</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SRA / Bar Council guidance update, new fee-earner hire, recent regulatory fine in their jurisdiction</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Tools they use</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Clio, ActionStep, LEAP, MyCase, Smokeball, LawCloud</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Why us</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Required-step gates + signed e-engagement + immutable audit trail = compliance evidence per matter, no chasing</w:t>
            </w:r>
          </w:p>
        </w:tc>
      </w:tr>
    </w:tbl>
    <w:p>
      <w:pPr>
        <w:pStyle w:val="Heading2"/>
        <w:spacing w:after="140" w:before="280"/>
      </w:pPr>
      <w:r>
        <w:rPr>
          <w:rFonts w:ascii="Arial" w:cs="Arial" w:eastAsia="Arial" w:hAnsi="Arial"/>
          <w:b/>
          <w:bCs/>
          <w:color w:val="2E2E2E"/>
          <w:sz w:val="28"/>
          <w:szCs w:val="28"/>
        </w:rPr>
        <w:t xml:space="preserve">2.3 Tier-2 ICP — secondary focus (25% of effort)</w:t>
      </w:r>
    </w:p>
    <w:p>
      <w:pPr>
        <w:pStyle w:val="Heading3"/>
        <w:spacing w:after="100" w:before="200"/>
      </w:pPr>
      <w:r>
        <w:rPr>
          <w:rFonts w:ascii="Arial" w:cs="Arial" w:eastAsia="Arial" w:hAnsi="Arial"/>
          <w:b/>
          <w:bCs/>
          <w:color w:val="404040"/>
          <w:sz w:val="24"/>
          <w:szCs w:val="24"/>
        </w:rPr>
        <w:t xml:space="preserve">Digital agencies (5–30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Industry</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Marketing, web/dev, design, PR, branding, SEO agencies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Size</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5–30 staff (above 30 they want enterprise tools; below 5 they use email)</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Geo</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UK, US, AU, CA</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Persona</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Founder/MD or Head of Operations / Client Services</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Pain</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Intake details (assets, access, credentials) arrive in dribs and drabs. Project starts half-blind. Account managers chase by hand.</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Trigger</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New client win announced on LinkedIn, recent retainer launch, agency hires Client Services role, joins Bureau of Digital / Twenty Over Ten / SoDA</w:t>
            </w:r>
          </w:p>
        </w:tc>
      </w:tr>
      <w:tr>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Tools they use</w:t>
            </w:r>
          </w:p>
        </w:tc>
        <w:tc>
          <w:tcPr>
            <w:tcW w:type="dxa" w:w="8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ClickUp, Asana, Notion, HubSpot, Google Drive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Why us</w:t>
            </w:r>
          </w:p>
        </w:tc>
        <w:tc>
          <w:tcPr>
            <w:tcW w:type="dxa" w:w="8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One template across every account, real-time status, no-login portal so the client can't say 'I never got the link'</w:t>
            </w:r>
          </w:p>
        </w:tc>
      </w:tr>
    </w:tbl>
    <w:p>
      <w:pPr>
        <w:pStyle w:val="Heading2"/>
        <w:spacing w:after="140" w:before="280"/>
      </w:pPr>
      <w:r>
        <w:rPr>
          <w:rFonts w:ascii="Arial" w:cs="Arial" w:eastAsia="Arial" w:hAnsi="Arial"/>
          <w:b/>
          <w:bCs/>
          <w:color w:val="2E2E2E"/>
          <w:sz w:val="28"/>
          <w:szCs w:val="28"/>
        </w:rPr>
        <w:t xml:space="preserve">2.4 Tier-3 ICP — opportunistic (15% of effort)</w:t>
      </w:r>
    </w:p>
    <w:p>
      <w:pPr>
        <w:spacing w:after="80" w:before="80"/>
      </w:pPr>
      <w:r>
        <w:rPr>
          <w:rFonts w:ascii="Arial" w:cs="Arial" w:eastAsia="Arial" w:hAnsi="Arial"/>
          <w:sz w:val="22"/>
          <w:szCs w:val="22"/>
        </w:rPr>
        <w:t xml:space="preserve">Lower effort, higher unit economics if won. Don't outbound — let SEO and partnerships catch them.</w:t>
      </w:r>
    </w:p>
    <w:p>
      <w:pPr>
        <w:pStyle w:val="ListParagraph"/>
        <w:numPr>
          <w:ilvl w:val="0"/>
          <w:numId w:val="3"/>
        </w:numPr>
        <w:spacing w:after="40" w:before="40"/>
      </w:pPr>
      <w:r>
        <w:rPr>
          <w:rFonts w:ascii="Arial" w:cs="Arial" w:eastAsia="Arial" w:hAnsi="Arial"/>
          <w:sz w:val="22"/>
          <w:szCs w:val="22"/>
        </w:rPr>
        <w:t xml:space="preserve">Multi-location auto service / fleet management (validated by Tim @ Telletire — Scale tier fit).</w:t>
      </w:r>
    </w:p>
    <w:p>
      <w:pPr>
        <w:pStyle w:val="ListParagraph"/>
        <w:numPr>
          <w:ilvl w:val="0"/>
          <w:numId w:val="3"/>
        </w:numPr>
        <w:spacing w:after="40" w:before="40"/>
      </w:pPr>
      <w:r>
        <w:rPr>
          <w:rFonts w:ascii="Arial" w:cs="Arial" w:eastAsia="Arial" w:hAnsi="Arial"/>
          <w:sz w:val="22"/>
          <w:szCs w:val="22"/>
        </w:rPr>
        <w:t xml:space="preserve">Financial advisors and IFAs (FCA-regulated, KYC heavy, similar pain to accountants).</w:t>
      </w:r>
    </w:p>
    <w:p>
      <w:pPr>
        <w:pStyle w:val="ListParagraph"/>
        <w:numPr>
          <w:ilvl w:val="0"/>
          <w:numId w:val="3"/>
        </w:numPr>
        <w:spacing w:after="40" w:before="40"/>
      </w:pPr>
      <w:r>
        <w:rPr>
          <w:rFonts w:ascii="Arial" w:cs="Arial" w:eastAsia="Arial" w:hAnsi="Arial"/>
          <w:sz w:val="22"/>
          <w:szCs w:val="22"/>
        </w:rPr>
        <w:t xml:space="preserve">Dental / health &amp; wellness clinics with 2+ locations (intake forms, consent, insurance docs).</w:t>
      </w:r>
    </w:p>
    <w:p>
      <w:pPr>
        <w:pStyle w:val="ListParagraph"/>
        <w:numPr>
          <w:ilvl w:val="0"/>
          <w:numId w:val="3"/>
        </w:numPr>
        <w:spacing w:after="40" w:before="40"/>
      </w:pPr>
      <w:r>
        <w:rPr>
          <w:rFonts w:ascii="Arial" w:cs="Arial" w:eastAsia="Arial" w:hAnsi="Arial"/>
          <w:sz w:val="22"/>
          <w:szCs w:val="22"/>
        </w:rPr>
        <w:t xml:space="preserve">Franchise operators onboarding new franchisees (multi-step compliance).</w:t>
      </w:r>
    </w:p>
    <w:p>
      <w:pPr>
        <w:pStyle w:val="Heading2"/>
        <w:spacing w:after="140" w:before="280"/>
      </w:pPr>
      <w:r>
        <w:rPr>
          <w:rFonts w:ascii="Arial" w:cs="Arial" w:eastAsia="Arial" w:hAnsi="Arial"/>
          <w:b/>
          <w:bCs/>
          <w:color w:val="2E2E2E"/>
          <w:sz w:val="28"/>
          <w:szCs w:val="28"/>
        </w:rPr>
        <w:t xml:space="preserve">2.5 ICP quick-reference for outbound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80"/>
        <w:gridCol w:w="28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ICP</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 of weekly time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Outbound list size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Tier 1 — UK Accountants</w:t>
            </w:r>
          </w:p>
        </w:tc>
        <w:tc>
          <w:tcPr>
            <w:tcW w:type="dxa" w:w="1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60</w:t>
            </w:r>
          </w:p>
        </w:tc>
        <w:tc>
          <w:tcPr>
            <w:tcW w:type="dxa" w:w="24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120 prospects/wk</w:t>
            </w:r>
          </w:p>
        </w:tc>
        <w:tc>
          <w:tcPr>
            <w:tcW w:type="dxa" w:w="2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Apollo + Companies House + LinkedIn Sales Nav</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Tier 1 — UK &amp; US Law</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30</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60 prospects/wk</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Sales Nav + Bar/SRA directories</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Tier 2 — Agencies</w:t>
            </w:r>
          </w:p>
        </w:tc>
        <w:tc>
          <w:tcPr>
            <w:tcW w:type="dxa" w:w="1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24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40 prospects/wk</w:t>
            </w:r>
          </w:p>
        </w:tc>
        <w:tc>
          <w:tcPr>
            <w:tcW w:type="dxa" w:w="2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Sales Nav + Bureau of Digital lists + Twitter/X</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Tier 3 — Other verticals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10</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20 prospects/wk</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Inbound and SEO only — no outbound</w:t>
            </w:r>
          </w:p>
        </w:tc>
      </w:tr>
    </w:tbl>
    <w:p>
      <w:pPr>
        <w:pStyle w:val="Heading1"/>
        <w:pageBreakBefore/>
        <w:spacing w:after="180" w:before="360"/>
      </w:pPr>
      <w:r>
        <w:rPr>
          <w:rFonts w:ascii="Arial" w:cs="Arial" w:eastAsia="Arial" w:hAnsi="Arial"/>
          <w:b/>
          <w:bCs/>
          <w:color w:val="1F4E79"/>
          <w:sz w:val="36"/>
          <w:szCs w:val="36"/>
        </w:rPr>
        <w:t xml:space="preserve">3. Marketing advantages</w:t>
      </w:r>
    </w:p>
    <w:p>
      <w:pPr>
        <w:spacing w:after="80" w:before="80"/>
      </w:pPr>
      <w:r>
        <w:rPr>
          <w:rFonts w:ascii="Arial" w:cs="Arial" w:eastAsia="Arial" w:hAnsi="Arial"/>
          <w:sz w:val="22"/>
          <w:szCs w:val="22"/>
        </w:rPr>
        <w:t xml:space="preserve">Things we can do that competitors structurally can't, won't, or are slower to do. These are the levers we pull when we have a choice.</w:t>
      </w:r>
    </w:p>
    <w:p>
      <w:pPr>
        <w:pStyle w:val="Heading2"/>
        <w:spacing w:after="140" w:before="280"/>
      </w:pPr>
      <w:r>
        <w:rPr>
          <w:rFonts w:ascii="Arial" w:cs="Arial" w:eastAsia="Arial" w:hAnsi="Arial"/>
          <w:b/>
          <w:bCs/>
          <w:color w:val="2E2E2E"/>
          <w:sz w:val="28"/>
          <w:szCs w:val="28"/>
        </w:rPr>
        <w:t xml:space="preserve">3.1 Founder voice</w:t>
      </w:r>
    </w:p>
    <w:p>
      <w:pPr>
        <w:spacing w:after="80" w:before="80"/>
      </w:pPr>
      <w:r>
        <w:rPr>
          <w:rFonts w:ascii="Arial" w:cs="Arial" w:eastAsia="Arial" w:hAnsi="Arial"/>
          <w:sz w:val="22"/>
          <w:szCs w:val="22"/>
        </w:rPr>
        <w:t xml:space="preserve">Thomas writes everything customer-facing. HoneyBook ($300M ARR) cannot have a founder reply to your LinkedIn comment within 30 minutes. We can. People buy from people first, logos later.</w:t>
      </w:r>
    </w:p>
    <w:p>
      <w:pPr>
        <w:pStyle w:val="Heading2"/>
        <w:spacing w:after="140" w:before="280"/>
      </w:pPr>
      <w:r>
        <w:rPr>
          <w:rFonts w:ascii="Arial" w:cs="Arial" w:eastAsia="Arial" w:hAnsi="Arial"/>
          <w:b/>
          <w:bCs/>
          <w:color w:val="2E2E2E"/>
          <w:sz w:val="28"/>
          <w:szCs w:val="28"/>
        </w:rPr>
        <w:t xml:space="preserve">3.2 Specific positioning, not generic</w:t>
      </w:r>
    </w:p>
    <w:p>
      <w:pPr>
        <w:spacing w:after="80" w:before="80"/>
      </w:pPr>
      <w:r>
        <w:rPr>
          <w:rFonts w:ascii="Arial" w:cs="Arial" w:eastAsia="Arial" w:hAnsi="Arial"/>
          <w:sz w:val="22"/>
          <w:szCs w:val="22"/>
        </w:rPr>
        <w:t xml:space="preserve">'Enforced client intake for regulated professional services' beats 'client onboarding software' on conversion every time. Every page, every email, every LinkedIn post must be specific to a vertical or a role — never just 'service businesses'.</w:t>
      </w:r>
    </w:p>
    <w:p>
      <w:pPr>
        <w:pStyle w:val="Heading2"/>
        <w:spacing w:after="140" w:before="280"/>
      </w:pPr>
      <w:r>
        <w:rPr>
          <w:rFonts w:ascii="Arial" w:cs="Arial" w:eastAsia="Arial" w:hAnsi="Arial"/>
          <w:b/>
          <w:bCs/>
          <w:color w:val="2E2E2E"/>
          <w:sz w:val="28"/>
          <w:szCs w:val="28"/>
        </w:rPr>
        <w:t xml:space="preserve">3.3 Compliance-grade audit trail (the wedge)</w:t>
      </w:r>
    </w:p>
    <w:p>
      <w:pPr>
        <w:spacing w:after="80" w:before="80"/>
      </w:pPr>
      <w:r>
        <w:rPr>
          <w:rFonts w:ascii="Arial" w:cs="Arial" w:eastAsia="Arial" w:hAnsi="Arial"/>
          <w:sz w:val="22"/>
          <w:szCs w:val="22"/>
        </w:rPr>
        <w:t xml:space="preserve">Dubsado, HoneyBook, Bonsai are wedding/photographer DNA. They don't speak FICA, AML, CDD, KYC, BOI, MTD. We speak it natively. That single fact wins the accountant and lawyer ICP.</w:t>
      </w:r>
    </w:p>
    <w:p>
      <w:pPr>
        <w:pStyle w:val="Heading2"/>
        <w:spacing w:after="140" w:before="280"/>
      </w:pPr>
      <w:r>
        <w:rPr>
          <w:rFonts w:ascii="Arial" w:cs="Arial" w:eastAsia="Arial" w:hAnsi="Arial"/>
          <w:b/>
          <w:bCs/>
          <w:color w:val="2E2E2E"/>
          <w:sz w:val="28"/>
          <w:szCs w:val="28"/>
        </w:rPr>
        <w:t xml:space="preserve">3.4 No-login client portal</w:t>
      </w:r>
    </w:p>
    <w:p>
      <w:pPr>
        <w:spacing w:after="80" w:before="80"/>
      </w:pPr>
      <w:r>
        <w:rPr>
          <w:rFonts w:ascii="Arial" w:cs="Arial" w:eastAsia="Arial" w:hAnsi="Arial"/>
          <w:sz w:val="22"/>
          <w:szCs w:val="22"/>
        </w:rPr>
        <w:t xml:space="preserve">Clients hate creating accounts. Every competitor still asks them to. Our portal links per client work without login — dramatically lower friction, faster intake completion, fewer support tickets.</w:t>
      </w:r>
    </w:p>
    <w:p>
      <w:pPr>
        <w:pStyle w:val="Heading2"/>
        <w:spacing w:after="140" w:before="280"/>
      </w:pPr>
      <w:r>
        <w:rPr>
          <w:rFonts w:ascii="Arial" w:cs="Arial" w:eastAsia="Arial" w:hAnsi="Arial"/>
          <w:b/>
          <w:bCs/>
          <w:color w:val="2E2E2E"/>
          <w:sz w:val="28"/>
          <w:szCs w:val="28"/>
        </w:rPr>
        <w:t xml:space="preserve">3.5 Speed of deployment</w:t>
      </w:r>
    </w:p>
    <w:p>
      <w:pPr>
        <w:spacing w:after="80" w:before="80"/>
      </w:pPr>
      <w:r>
        <w:rPr>
          <w:rFonts w:ascii="Arial" w:cs="Arial" w:eastAsia="Arial" w:hAnsi="Arial"/>
          <w:sz w:val="22"/>
          <w:szCs w:val="22"/>
        </w:rPr>
        <w:t xml:space="preserve">Live in 20 minutes. We can prove it on a discovery call by sending the prospect a real portal link before the call ends. Most demos are watch-only; ours is hands-on.</w:t>
      </w:r>
    </w:p>
    <w:p>
      <w:pPr>
        <w:pStyle w:val="Heading2"/>
        <w:spacing w:after="140" w:before="280"/>
      </w:pPr>
      <w:r>
        <w:rPr>
          <w:rFonts w:ascii="Arial" w:cs="Arial" w:eastAsia="Arial" w:hAnsi="Arial"/>
          <w:b/>
          <w:bCs/>
          <w:color w:val="2E2E2E"/>
          <w:sz w:val="28"/>
          <w:szCs w:val="28"/>
        </w:rPr>
        <w:t xml:space="preserve">3.6 We use our own product to onboard customers</w:t>
      </w:r>
    </w:p>
    <w:p>
      <w:pPr>
        <w:spacing w:after="80" w:before="80"/>
      </w:pPr>
      <w:r>
        <w:rPr>
          <w:rFonts w:ascii="Arial" w:cs="Arial" w:eastAsia="Arial" w:hAnsi="Arial"/>
          <w:sz w:val="22"/>
          <w:szCs w:val="22"/>
        </w:rPr>
        <w:t xml:space="preserve">Every new customer goes through a ClientEnforce-built intake to get set up. It's the most credible demo there is — we live the workflow. Document this and turn it into a public case study.</w:t>
      </w:r>
    </w:p>
    <w:p>
      <w:pPr>
        <w:pStyle w:val="Heading1"/>
        <w:pageBreakBefore/>
        <w:spacing w:after="180" w:before="360"/>
      </w:pPr>
      <w:r>
        <w:rPr>
          <w:rFonts w:ascii="Arial" w:cs="Arial" w:eastAsia="Arial" w:hAnsi="Arial"/>
          <w:b/>
          <w:bCs/>
          <w:color w:val="1F4E79"/>
          <w:sz w:val="36"/>
          <w:szCs w:val="36"/>
        </w:rPr>
        <w:t xml:space="preserve">4. Market perceptions and reframes</w:t>
      </w:r>
    </w:p>
    <w:p>
      <w:pPr>
        <w:spacing w:after="80" w:before="80"/>
      </w:pPr>
      <w:r>
        <w:rPr>
          <w:rFonts w:ascii="Arial" w:cs="Arial" w:eastAsia="Arial" w:hAnsi="Arial"/>
          <w:sz w:val="22"/>
          <w:szCs w:val="22"/>
        </w:rPr>
        <w:t xml:space="preserve">How the buyer thinks about onboarding software today, and the reframe we want to install.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the buyer thinks</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Our reframe</w:t>
            </w:r>
          </w:p>
        </w:tc>
      </w:tr>
      <w:tr>
        <w:tc>
          <w:tcPr>
            <w:tcW w:type="dxa" w:w="4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 already have HubSpot/CRM — that handles onboarding</w:t>
            </w:r>
          </w:p>
        </w:tc>
        <w:tc>
          <w:tcPr>
            <w:tcW w:type="dxa" w:w="5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CRMs track deals, not onboarding execution. They don't enforce required steps, gate documents, or produce audit-ready evidence per client.</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Onboarding software is for big enterprises</w:t>
            </w:r>
          </w:p>
        </w:tc>
        <w:tc>
          <w:tcPr>
            <w:tcW w:type="dxa" w:w="5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Single-operator firms and 5-person teams lose more revenue to slow intake than any single line item except payroll. ClientEnforce starts free.</w:t>
            </w:r>
          </w:p>
        </w:tc>
      </w:tr>
      <w:tr>
        <w:tc>
          <w:tcPr>
            <w:tcW w:type="dxa" w:w="4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Setup will take weeks of IT</w:t>
            </w:r>
          </w:p>
        </w:tc>
        <w:tc>
          <w:tcPr>
            <w:tcW w:type="dxa" w:w="5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Live in 20 minutes. No IT. The principal sets it up, sends a portal link to the next client, done.</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My clients won't use a portal — they prefer email</w:t>
            </w:r>
          </w:p>
        </w:tc>
        <w:tc>
          <w:tcPr>
            <w:tcW w:type="dxa" w:w="5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Our portal has no login. They click the link, see a checklist, upload files. The data is on email-completion rates: 23%. On a portal link: 67%.</w:t>
            </w:r>
          </w:p>
        </w:tc>
      </w:tr>
      <w:tr>
        <w:tc>
          <w:tcPr>
            <w:tcW w:type="dxa" w:w="4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This sounds like another tool that just adds work</w:t>
            </w:r>
          </w:p>
        </w:tc>
        <w:tc>
          <w:tcPr>
            <w:tcW w:type="dxa" w:w="5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It removes work. Specifically: it removes the 'follow-up email I'm dreading sending again'. Auto-reminders mean you stop chasing.</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HoneyBook/Dubsado is fine for me</w:t>
            </w:r>
          </w:p>
        </w:tc>
        <w:tc>
          <w:tcPr>
            <w:tcW w:type="dxa" w:w="5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If you're a wedding photographer, yes. If you're an accountant or law firm, no — those tools have no FICA/AML/KYC vocabulary, no enforced gates, no compliance audit trail.</w:t>
            </w:r>
          </w:p>
        </w:tc>
      </w:tr>
    </w:tbl>
    <w:p>
      <w:pPr>
        <w:pStyle w:val="Heading1"/>
        <w:pageBreakBefore/>
        <w:spacing w:after="180" w:before="360"/>
      </w:pPr>
      <w:r>
        <w:rPr>
          <w:rFonts w:ascii="Arial" w:cs="Arial" w:eastAsia="Arial" w:hAnsi="Arial"/>
          <w:b/>
          <w:bCs/>
          <w:color w:val="1F4E79"/>
          <w:sz w:val="36"/>
          <w:szCs w:val="36"/>
        </w:rPr>
        <w:t xml:space="preserve">5. Positioning</w:t>
      </w:r>
    </w:p>
    <w:p>
      <w:pPr>
        <w:pStyle w:val="Heading2"/>
        <w:spacing w:after="140" w:before="280"/>
      </w:pPr>
      <w:r>
        <w:rPr>
          <w:rFonts w:ascii="Arial" w:cs="Arial" w:eastAsia="Arial" w:hAnsi="Arial"/>
          <w:b/>
          <w:bCs/>
          <w:color w:val="2E2E2E"/>
          <w:sz w:val="28"/>
          <w:szCs w:val="28"/>
        </w:rPr>
        <w:t xml:space="preserve">5.1 The positioning statement (Dunford bottom-up)</w:t>
      </w:r>
    </w:p>
    <w:p>
      <w:pPr>
        <w:pBdr>
          <w:left w:val="single" w:color="1F4E79" w:sz="24" w:space="8"/>
        </w:pBdr>
        <w:spacing w:after="120" w:before="120"/>
        <w:ind w:left="240"/>
      </w:pPr>
      <w:r>
        <w:rPr>
          <w:rFonts w:ascii="Arial" w:cs="Arial" w:eastAsia="Arial" w:hAnsi="Arial"/>
          <w:i/>
          <w:iCs/>
          <w:color w:val="404040"/>
          <w:sz w:val="22"/>
          <w:szCs w:val="22"/>
        </w:rPr>
        <w:t xml:space="preserve">ClientEnforce is enforced client intake software for regulated professional-services firms (accountants, lawyers, agencies, financial advisors). Unlike HoneyBook, Dubsado, or a CRM stretched into intake, ClientEnforce gates required steps, collects evidence per client, and gives the firm an audit-ready trail — without making the client log in. It's the difference between hoping the client sends the docs and knowing they did.</w:t>
      </w:r>
    </w:p>
    <w:p>
      <w:pPr>
        <w:pStyle w:val="Heading2"/>
        <w:spacing w:after="140" w:before="280"/>
      </w:pPr>
      <w:r>
        <w:rPr>
          <w:rFonts w:ascii="Arial" w:cs="Arial" w:eastAsia="Arial" w:hAnsi="Arial"/>
          <w:b/>
          <w:bCs/>
          <w:color w:val="2E2E2E"/>
          <w:sz w:val="28"/>
          <w:szCs w:val="28"/>
        </w:rPr>
        <w:t xml:space="preserve">5.2 The 5-second pitch</w:t>
      </w:r>
    </w:p>
    <w:p>
      <w:pPr>
        <w:pBdr>
          <w:left w:val="single" w:color="1F4E79" w:sz="24" w:space="8"/>
        </w:pBdr>
        <w:spacing w:after="120" w:before="120"/>
        <w:ind w:left="240"/>
      </w:pPr>
      <w:r>
        <w:rPr>
          <w:rFonts w:ascii="Arial" w:cs="Arial" w:eastAsia="Arial" w:hAnsi="Arial"/>
          <w:i/>
          <w:iCs/>
          <w:color w:val="404040"/>
          <w:sz w:val="22"/>
          <w:szCs w:val="22"/>
        </w:rPr>
        <w:t xml:space="preserve">ClientEnforce. Send one portal link. Your client can't skip a required step. You can't lose the audit trail. Onboarding done in 2 days, not 2 weeks.</w:t>
      </w:r>
    </w:p>
    <w:p>
      <w:pPr>
        <w:pStyle w:val="Heading2"/>
        <w:spacing w:after="140" w:before="280"/>
      </w:pPr>
      <w:r>
        <w:rPr>
          <w:rFonts w:ascii="Arial" w:cs="Arial" w:eastAsia="Arial" w:hAnsi="Arial"/>
          <w:b/>
          <w:bCs/>
          <w:color w:val="2E2E2E"/>
          <w:sz w:val="28"/>
          <w:szCs w:val="28"/>
        </w:rPr>
        <w:t xml:space="preserve">5.3 The 30-second pitch</w:t>
      </w:r>
    </w:p>
    <w:p>
      <w:pPr>
        <w:pBdr>
          <w:left w:val="single" w:color="1F4E79" w:sz="24" w:space="8"/>
        </w:pBdr>
        <w:spacing w:after="120" w:before="120"/>
        <w:ind w:left="240"/>
      </w:pPr>
      <w:r>
        <w:rPr>
          <w:rFonts w:ascii="Arial" w:cs="Arial" w:eastAsia="Arial" w:hAnsi="Arial"/>
          <w:i/>
          <w:iCs/>
          <w:color w:val="404040"/>
          <w:sz w:val="22"/>
          <w:szCs w:val="22"/>
        </w:rPr>
        <w:t xml:space="preserve">When a new client signs an engagement letter, you still have to chase them for their docs, their bank details, their signed forms — and half the time you don't get them. ClientEnforce sends one portal link per client. They can't skip a required step. It auto-reminds them every 48 hours. You see live progress. And every action is timestamped — so when the regulator asks for evidence, it's already collected. Live in 20 minutes. Free to start. Tim at Telletire cut his fleet account onboarding from 12 days to 2.</w:t>
      </w:r>
    </w:p>
    <w:p>
      <w:pPr>
        <w:pStyle w:val="Heading2"/>
        <w:spacing w:after="140" w:before="280"/>
      </w:pPr>
      <w:r>
        <w:rPr>
          <w:rFonts w:ascii="Arial" w:cs="Arial" w:eastAsia="Arial" w:hAnsi="Arial"/>
          <w:b/>
          <w:bCs/>
          <w:color w:val="2E2E2E"/>
          <w:sz w:val="28"/>
          <w:szCs w:val="28"/>
        </w:rPr>
        <w:t xml:space="preserve">5.4 Vertical positioning angles</w:t>
      </w:r>
    </w:p>
    <w:p>
      <w:pPr>
        <w:pStyle w:val="Heading3"/>
        <w:spacing w:after="100" w:before="200"/>
      </w:pPr>
      <w:r>
        <w:rPr>
          <w:rFonts w:ascii="Arial" w:cs="Arial" w:eastAsia="Arial" w:hAnsi="Arial"/>
          <w:b/>
          <w:bCs/>
          <w:color w:val="404040"/>
          <w:sz w:val="24"/>
          <w:szCs w:val="24"/>
        </w:rPr>
        <w:t xml:space="preserve">For accountants</w:t>
      </w:r>
    </w:p>
    <w:p>
      <w:pPr>
        <w:spacing w:after="80" w:before="80"/>
      </w:pPr>
      <w:r>
        <w:rPr>
          <w:rFonts w:ascii="Arial" w:cs="Arial" w:eastAsia="Arial" w:hAnsi="Arial"/>
          <w:sz w:val="22"/>
          <w:szCs w:val="22"/>
        </w:rPr>
        <w:t xml:space="preserve">'AML/KYC intake on autopilot. Engagement letter signed, ID verified, bank verified, software access granted — all in one portal link, no client login. Built for ICAEW/ACCA practices.'</w:t>
      </w:r>
    </w:p>
    <w:p>
      <w:pPr>
        <w:pStyle w:val="Heading3"/>
        <w:spacing w:after="100" w:before="200"/>
      </w:pPr>
      <w:r>
        <w:rPr>
          <w:rFonts w:ascii="Arial" w:cs="Arial" w:eastAsia="Arial" w:hAnsi="Arial"/>
          <w:b/>
          <w:bCs/>
          <w:color w:val="404040"/>
          <w:sz w:val="24"/>
          <w:szCs w:val="24"/>
        </w:rPr>
        <w:t xml:space="preserve">For lawyers</w:t>
      </w:r>
    </w:p>
    <w:p>
      <w:pPr>
        <w:spacing w:after="80" w:before="80"/>
      </w:pPr>
      <w:r>
        <w:rPr>
          <w:rFonts w:ascii="Arial" w:cs="Arial" w:eastAsia="Arial" w:hAnsi="Arial"/>
          <w:sz w:val="22"/>
          <w:szCs w:val="22"/>
        </w:rPr>
        <w:t xml:space="preserve">'CDD and matter intake without the email back-and-forth. Conflict-check inputs, signed engagement, ID verification, file upload — all in one portal link per matter. Built to satisfy SRA/Bar oversight.'</w:t>
      </w:r>
    </w:p>
    <w:p>
      <w:pPr>
        <w:pStyle w:val="Heading3"/>
        <w:spacing w:after="100" w:before="200"/>
      </w:pPr>
      <w:r>
        <w:rPr>
          <w:rFonts w:ascii="Arial" w:cs="Arial" w:eastAsia="Arial" w:hAnsi="Arial"/>
          <w:b/>
          <w:bCs/>
          <w:color w:val="404040"/>
          <w:sz w:val="24"/>
          <w:szCs w:val="24"/>
        </w:rPr>
        <w:t xml:space="preserve">For agencies</w:t>
      </w:r>
    </w:p>
    <w:p>
      <w:pPr>
        <w:spacing w:after="80" w:before="80"/>
      </w:pPr>
      <w:r>
        <w:rPr>
          <w:rFonts w:ascii="Arial" w:cs="Arial" w:eastAsia="Arial" w:hAnsi="Arial"/>
          <w:sz w:val="22"/>
          <w:szCs w:val="22"/>
        </w:rPr>
        <w:t xml:space="preserve">'Stop chasing brand assets, access credentials, and signed retainers. One portal link per client. They can't kick off until the required intake is complete. You stop being the bottleneck.'</w:t>
      </w:r>
    </w:p>
    <w:p>
      <w:pPr>
        <w:pStyle w:val="Heading3"/>
        <w:spacing w:after="100" w:before="200"/>
      </w:pPr>
      <w:r>
        <w:rPr>
          <w:rFonts w:ascii="Arial" w:cs="Arial" w:eastAsia="Arial" w:hAnsi="Arial"/>
          <w:b/>
          <w:bCs/>
          <w:color w:val="404040"/>
          <w:sz w:val="24"/>
          <w:szCs w:val="24"/>
        </w:rPr>
        <w:t xml:space="preserve">For multi-location operators</w:t>
      </w:r>
    </w:p>
    <w:p>
      <w:pPr>
        <w:spacing w:after="80" w:before="80"/>
      </w:pPr>
      <w:r>
        <w:rPr>
          <w:rFonts w:ascii="Arial" w:cs="Arial" w:eastAsia="Arial" w:hAnsi="Arial"/>
          <w:sz w:val="22"/>
          <w:szCs w:val="22"/>
        </w:rPr>
        <w:t xml:space="preserve">'Same intake template across every location. Every manager runs the exact same process. Live status across all sites. Your franchisee compliance just got 5x easier.'</w:t>
      </w:r>
    </w:p>
    <w:p>
      <w:pPr>
        <w:pStyle w:val="Heading1"/>
        <w:pageBreakBefore/>
        <w:spacing w:after="180" w:before="360"/>
      </w:pPr>
      <w:r>
        <w:rPr>
          <w:rFonts w:ascii="Arial" w:cs="Arial" w:eastAsia="Arial" w:hAnsi="Arial"/>
          <w:b/>
          <w:bCs/>
          <w:color w:val="1F4E79"/>
          <w:sz w:val="36"/>
          <w:szCs w:val="36"/>
        </w:rPr>
        <w:t xml:space="preserve">6. Revenue levers (the 7 levers we pull)</w:t>
      </w:r>
    </w:p>
    <w:p>
      <w:pPr>
        <w:spacing w:after="80" w:before="80"/>
      </w:pPr>
      <w:r>
        <w:rPr>
          <w:rFonts w:ascii="Arial" w:cs="Arial" w:eastAsia="Arial" w:hAnsi="Arial"/>
          <w:sz w:val="22"/>
          <w:szCs w:val="22"/>
        </w:rPr>
        <w:t xml:space="preserve">The Revenue Bowtie. We track each lever with a specific KPI. Pulling any one of these increases MRR. Stack them and £10k is reachable in 6 months.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4280"/>
        <w:gridCol w:w="20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Lever</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Question it answers</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How we pull it</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rPr>
          <w:tblHeader w:val="false"/>
        </w:trP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Reach</w:t>
            </w:r>
          </w:p>
        </w:tc>
        <w:tc>
          <w:tcPr>
            <w:tcW w:type="dxa" w:w="23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Are we visible to the right buyer?</w:t>
            </w:r>
          </w:p>
        </w:tc>
        <w:tc>
          <w:tcPr>
            <w:tcW w:type="dxa" w:w="42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SEO (fix cannibalisation), founder LinkedIn, podcast guesting</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 Acquisition</w:t>
            </w:r>
          </w:p>
        </w:tc>
        <w:tc>
          <w:tcPr>
            <w:tcW w:type="dxa" w:w="2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Are we starting conversations with them?</w:t>
            </w:r>
          </w:p>
        </w:tc>
        <w:tc>
          <w:tcPr>
            <w:tcW w:type="dxa" w:w="4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Cold email (4 inboxes), LinkedIn outbound, SEO inbound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r>
      <w:tr>
        <w:trPr>
          <w:tblHeader w:val="false"/>
        </w:trP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 Conversion (visit→trial)</w:t>
            </w:r>
          </w:p>
        </w:tc>
        <w:tc>
          <w:tcPr>
            <w:tcW w:type="dxa" w:w="23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Do they sign up after visiting?</w:t>
            </w:r>
          </w:p>
        </w:tc>
        <w:tc>
          <w:tcPr>
            <w:tcW w:type="dxa" w:w="42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Landing page A/B tests, social proof, lead magnets</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 Activation (trial→active)</w:t>
            </w:r>
          </w:p>
        </w:tc>
        <w:tc>
          <w:tcPr>
            <w:tcW w:type="dxa" w:w="2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Do they actually use the product?</w:t>
            </w:r>
          </w:p>
        </w:tc>
        <w:tc>
          <w:tcPr>
            <w:tcW w:type="dxa" w:w="4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Onboarding sequence (Doc 05), in-app prompts, founder DM if stuck</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r>
      <w:tr>
        <w:trPr>
          <w:tblHeader w:val="false"/>
        </w:trP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 Conversion (trial→paid)</w:t>
            </w:r>
          </w:p>
        </w:tc>
        <w:tc>
          <w:tcPr>
            <w:tcW w:type="dxa" w:w="23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Do they pay?</w:t>
            </w:r>
          </w:p>
        </w:tc>
        <w:tc>
          <w:tcPr>
            <w:tcW w:type="dxa" w:w="42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Day 7 + Day 13 conversion email, founder check-in call offer</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6. Expansion</w:t>
            </w:r>
          </w:p>
        </w:tc>
        <w:tc>
          <w:tcPr>
            <w:tcW w:type="dxa" w:w="2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Do they pay more over time?</w:t>
            </w:r>
          </w:p>
        </w:tc>
        <w:tc>
          <w:tcPr>
            <w:tcW w:type="dxa" w:w="4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Upgrade prompts (Team→Scale, Scale→Agency Pro), feature releases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r>
      <w:tr>
        <w:trPr>
          <w:tblHeader w:val="false"/>
        </w:trP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7. Retention</w:t>
            </w:r>
          </w:p>
        </w:tc>
        <w:tc>
          <w:tcPr>
            <w:tcW w:type="dxa" w:w="23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Do they stay paid?</w:t>
            </w:r>
          </w:p>
        </w:tc>
        <w:tc>
          <w:tcPr>
            <w:tcW w:type="dxa" w:w="42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Weekly product use, monthly check-in for Scale+, churn-risk alerts</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r>
    </w:tbl>
    <w:p>
      <w:pPr>
        <w:spacing w:after="80" w:before="80"/>
      </w:pPr>
      <w:r>
        <w:rPr>
          <w:rFonts w:ascii="Arial" w:cs="Arial" w:eastAsia="Arial" w:hAnsi="Arial"/>
          <w:sz w:val="22"/>
          <w:szCs w:val="22"/>
        </w:rPr>
        <w:t xml:space="preserve"/>
      </w:r>
    </w:p>
    <w:p>
      <w:pPr>
        <w:pBdr>
          <w:left w:val="single" w:color="1F4E79" w:sz="24" w:space="8"/>
        </w:pBdr>
        <w:spacing w:after="120" w:before="120"/>
        <w:ind w:left="240"/>
      </w:pPr>
      <w:r>
        <w:rPr>
          <w:rFonts w:ascii="Arial" w:cs="Arial" w:eastAsia="Arial" w:hAnsi="Arial"/>
          <w:i/>
          <w:iCs/>
          <w:color w:val="404040"/>
          <w:sz w:val="22"/>
          <w:szCs w:val="22"/>
        </w:rPr>
        <w:t xml:space="preserve">Pull each lever weekly. Don't try to optimise lever 6 (Expansion) before lever 1 (Reach) is working. Lever order matters.</w:t>
      </w:r>
    </w:p>
    <w:p>
      <w:pPr>
        <w:pStyle w:val="Heading1"/>
        <w:pageBreakBefore/>
        <w:spacing w:after="180" w:before="360"/>
      </w:pPr>
      <w:r>
        <w:rPr>
          <w:rFonts w:ascii="Arial" w:cs="Arial" w:eastAsia="Arial" w:hAnsi="Arial"/>
          <w:b/>
          <w:bCs/>
          <w:color w:val="1F4E79"/>
          <w:sz w:val="36"/>
          <w:szCs w:val="36"/>
        </w:rPr>
        <w:t xml:space="preserve">7. Big bet campaigns and KPO guidelines</w:t>
      </w:r>
    </w:p>
    <w:p>
      <w:pPr>
        <w:spacing w:after="80" w:before="80"/>
      </w:pPr>
      <w:r>
        <w:rPr>
          <w:rFonts w:ascii="Arial" w:cs="Arial" w:eastAsia="Arial" w:hAnsi="Arial"/>
          <w:sz w:val="22"/>
          <w:szCs w:val="22"/>
        </w:rPr>
        <w:t xml:space="preserve">Three campaigns we run between today and end-Q4 2026. Each has one Key Performance Objective (KPO). If a campaign doesn't hit its KPO by month 2, it gets killed and replaced — no sunk-cost defending.</w:t>
      </w:r>
    </w:p>
    <w:p>
      <w:pPr>
        <w:pStyle w:val="Heading2"/>
        <w:spacing w:after="140" w:before="280"/>
      </w:pPr>
      <w:r>
        <w:rPr>
          <w:rFonts w:ascii="Arial" w:cs="Arial" w:eastAsia="Arial" w:hAnsi="Arial"/>
          <w:b/>
          <w:bCs/>
          <w:color w:val="2E2E2E"/>
          <w:sz w:val="28"/>
          <w:szCs w:val="28"/>
        </w:rPr>
        <w:t xml:space="preserve">7.1 Big Bet 1 — 'Stop Chasing' (May–July 2026)</w:t>
      </w:r>
    </w:p>
    <w:p>
      <w:pPr>
        <w:spacing w:after="80" w:before="80"/>
      </w:pPr>
      <w:r>
        <w:rPr>
          <w:rFonts w:ascii="Arial" w:cs="Arial" w:eastAsia="Arial" w:hAnsi="Arial"/>
          <w:b/>
          <w:bCs/>
          <w:sz w:val="22"/>
          <w:szCs w:val="22"/>
        </w:rPr>
        <w:t xml:space="preserve">Theme: </w:t>
      </w:r>
      <w:r>
        <w:rPr>
          <w:rFonts w:ascii="Arial" w:cs="Arial" w:eastAsia="Arial" w:hAnsi="Arial"/>
          <w:sz w:val="22"/>
          <w:szCs w:val="22"/>
        </w:rPr>
        <w:t xml:space="preserve">Reposition ClientEnforce around the felt pain — the dread of sending another follow-up email — not the product feature.</w:t>
      </w:r>
    </w:p>
    <w:p>
      <w:pPr>
        <w:spacing w:after="80" w:before="80"/>
      </w:pPr>
      <w:r>
        <w:rPr>
          <w:rFonts w:ascii="Arial" w:cs="Arial" w:eastAsia="Arial" w:hAnsi="Arial"/>
          <w:b/>
          <w:bCs/>
          <w:sz w:val="22"/>
          <w:szCs w:val="22"/>
        </w:rPr>
        <w:t xml:space="preserve">Audience: </w:t>
      </w:r>
      <w:r>
        <w:rPr>
          <w:rFonts w:ascii="Arial" w:cs="Arial" w:eastAsia="Arial" w:hAnsi="Arial"/>
          <w:sz w:val="22"/>
          <w:szCs w:val="22"/>
        </w:rPr>
        <w:t xml:space="preserve">Tier-1 ICPs (accountants + law)</w:t>
      </w:r>
    </w:p>
    <w:p>
      <w:pPr>
        <w:spacing w:after="80" w:before="80"/>
      </w:pPr>
      <w:r>
        <w:rPr>
          <w:rFonts w:ascii="Arial" w:cs="Arial" w:eastAsia="Arial" w:hAnsi="Arial"/>
          <w:b/>
          <w:bCs/>
          <w:sz w:val="22"/>
          <w:szCs w:val="22"/>
        </w:rPr>
        <w:t xml:space="preserve">Owned asset: </w:t>
      </w:r>
      <w:r>
        <w:rPr>
          <w:rFonts w:ascii="Arial" w:cs="Arial" w:eastAsia="Arial" w:hAnsi="Arial"/>
          <w:sz w:val="22"/>
          <w:szCs w:val="22"/>
        </w:rPr>
        <w:t xml:space="preserve">Refresh /blog/how-to-stop-chasing-clients-during-onboarding into a pillar page (currently ranks #1 — keep it that way). Add an interactive 'How much time do you waste chasing clients?' calculator.</w:t>
      </w:r>
    </w:p>
    <w:p>
      <w:pPr>
        <w:spacing w:after="80" w:before="80"/>
      </w:pPr>
      <w:r>
        <w:rPr>
          <w:rFonts w:ascii="Arial" w:cs="Arial" w:eastAsia="Arial" w:hAnsi="Arial"/>
          <w:b/>
          <w:bCs/>
          <w:sz w:val="22"/>
          <w:szCs w:val="22"/>
        </w:rPr>
        <w:t xml:space="preserve">Distribution: </w:t>
      </w:r>
      <w:r>
        <w:rPr>
          <w:rFonts w:ascii="Arial" w:cs="Arial" w:eastAsia="Arial" w:hAnsi="Arial"/>
          <w:sz w:val="22"/>
          <w:szCs w:val="22"/>
        </w:rPr>
        <w:t xml:space="preserve">5 LinkedIn posts/week on the theme, 1 podcast guesting / 2 weeks, cold email Sequence A points here as the soft offer.</w:t>
      </w:r>
    </w:p>
    <w:p>
      <w:pPr>
        <w:spacing w:after="80" w:before="80"/>
      </w:pPr>
      <w:r>
        <w:rPr>
          <w:rFonts w:ascii="Arial" w:cs="Arial" w:eastAsia="Arial" w:hAnsi="Arial"/>
          <w:b/>
          <w:bCs/>
          <w:sz w:val="22"/>
          <w:szCs w:val="22"/>
        </w:rPr>
        <w:t xml:space="preserve">KPO: </w:t>
      </w:r>
      <w:r>
        <w:rPr>
          <w:rFonts w:ascii="Arial" w:cs="Arial" w:eastAsia="Arial" w:hAnsi="Arial"/>
          <w:sz w:val="22"/>
          <w:szCs w:val="22"/>
        </w:rPr>
        <w:t xml:space="preserve">By 31 July: 30 trial signups attributed to the theme. 5 paying customers attributed.</w:t>
      </w:r>
    </w:p>
    <w:p>
      <w:pPr>
        <w:pStyle w:val="Heading2"/>
        <w:spacing w:after="140" w:before="280"/>
      </w:pPr>
      <w:r>
        <w:rPr>
          <w:rFonts w:ascii="Arial" w:cs="Arial" w:eastAsia="Arial" w:hAnsi="Arial"/>
          <w:b/>
          <w:bCs/>
          <w:color w:val="2E2E2E"/>
          <w:sz w:val="28"/>
          <w:szCs w:val="28"/>
        </w:rPr>
        <w:t xml:space="preserve">7.2 Big Bet 2 — 'Tim @ Telletire' Case Study Engine (June–August 2026)</w:t>
      </w:r>
    </w:p>
    <w:p>
      <w:pPr>
        <w:spacing w:after="80" w:before="80"/>
      </w:pPr>
      <w:r>
        <w:rPr>
          <w:rFonts w:ascii="Arial" w:cs="Arial" w:eastAsia="Arial" w:hAnsi="Arial"/>
          <w:b/>
          <w:bCs/>
          <w:sz w:val="22"/>
          <w:szCs w:val="22"/>
        </w:rPr>
        <w:t xml:space="preserve">Theme: </w:t>
      </w:r>
      <w:r>
        <w:rPr>
          <w:rFonts w:ascii="Arial" w:cs="Arial" w:eastAsia="Arial" w:hAnsi="Arial"/>
          <w:sz w:val="22"/>
          <w:szCs w:val="22"/>
        </w:rPr>
        <w:t xml:space="preserve">Build the deepest, most quotable case study in the multi-location operations niche. Spin off 12 distribution assets from one customer story.</w:t>
      </w:r>
    </w:p>
    <w:p>
      <w:pPr>
        <w:spacing w:after="80" w:before="80"/>
      </w:pPr>
      <w:r>
        <w:rPr>
          <w:rFonts w:ascii="Arial" w:cs="Arial" w:eastAsia="Arial" w:hAnsi="Arial"/>
          <w:b/>
          <w:bCs/>
          <w:sz w:val="22"/>
          <w:szCs w:val="22"/>
        </w:rPr>
        <w:t xml:space="preserve">Audience: </w:t>
      </w:r>
      <w:r>
        <w:rPr>
          <w:rFonts w:ascii="Arial" w:cs="Arial" w:eastAsia="Arial" w:hAnsi="Arial"/>
          <w:sz w:val="22"/>
          <w:szCs w:val="22"/>
        </w:rPr>
        <w:t xml:space="preserve">Tier-3 (multi-location/franchise/fleet) — and a credibility piece for everyone else.</w:t>
      </w:r>
    </w:p>
    <w:p>
      <w:pPr>
        <w:spacing w:after="80" w:before="80"/>
      </w:pPr>
      <w:r>
        <w:rPr>
          <w:rFonts w:ascii="Arial" w:cs="Arial" w:eastAsia="Arial" w:hAnsi="Arial"/>
          <w:b/>
          <w:bCs/>
          <w:sz w:val="22"/>
          <w:szCs w:val="22"/>
        </w:rPr>
        <w:t xml:space="preserve">Asset: </w:t>
      </w:r>
      <w:r>
        <w:rPr>
          <w:rFonts w:ascii="Arial" w:cs="Arial" w:eastAsia="Arial" w:hAnsi="Arial"/>
          <w:sz w:val="22"/>
          <w:szCs w:val="22"/>
        </w:rPr>
        <w:t xml:space="preserve">Long-form case study (2,000 words), 60-second video, 5 LinkedIn posts, 3 quote graphics, 1 podcast appearance Tim joins, 1 webinar, 3 cold email proof points, 1 referral introduction request, lead magnet PDF.</w:t>
      </w:r>
    </w:p>
    <w:p>
      <w:pPr>
        <w:spacing w:after="80" w:before="80"/>
      </w:pPr>
      <w:r>
        <w:rPr>
          <w:rFonts w:ascii="Arial" w:cs="Arial" w:eastAsia="Arial" w:hAnsi="Arial"/>
          <w:b/>
          <w:bCs/>
          <w:sz w:val="22"/>
          <w:szCs w:val="22"/>
        </w:rPr>
        <w:t xml:space="preserve">KPO: </w:t>
      </w:r>
      <w:r>
        <w:rPr>
          <w:rFonts w:ascii="Arial" w:cs="Arial" w:eastAsia="Arial" w:hAnsi="Arial"/>
          <w:sz w:val="22"/>
          <w:szCs w:val="22"/>
        </w:rPr>
        <w:t xml:space="preserve">By 31 August: 5 net-new paying customers explicitly cite the case study in their signup form ('How did you hear about us?').</w:t>
      </w:r>
    </w:p>
    <w:p>
      <w:pPr>
        <w:pStyle w:val="Heading2"/>
        <w:spacing w:after="140" w:before="280"/>
      </w:pPr>
      <w:r>
        <w:rPr>
          <w:rFonts w:ascii="Arial" w:cs="Arial" w:eastAsia="Arial" w:hAnsi="Arial"/>
          <w:b/>
          <w:bCs/>
          <w:color w:val="2E2E2E"/>
          <w:sz w:val="28"/>
          <w:szCs w:val="28"/>
        </w:rPr>
        <w:t xml:space="preserve">7.3 Big Bet 3 — 'Apples to Apples' (August–October 2026)</w:t>
      </w:r>
    </w:p>
    <w:p>
      <w:pPr>
        <w:spacing w:after="80" w:before="80"/>
      </w:pPr>
      <w:r>
        <w:rPr>
          <w:rFonts w:ascii="Arial" w:cs="Arial" w:eastAsia="Arial" w:hAnsi="Arial"/>
          <w:b/>
          <w:bCs/>
          <w:sz w:val="22"/>
          <w:szCs w:val="22"/>
        </w:rPr>
        <w:t xml:space="preserve">Theme: </w:t>
      </w:r>
      <w:r>
        <w:rPr>
          <w:rFonts w:ascii="Arial" w:cs="Arial" w:eastAsia="Arial" w:hAnsi="Arial"/>
          <w:sz w:val="22"/>
          <w:szCs w:val="22"/>
        </w:rPr>
        <w:t xml:space="preserve">Programmatic comparison content. We dominate the 'X alternative' and 'X vs Y' SERPs because we're more honest, more specific, and more useful than the competitor's own pages.</w:t>
      </w:r>
    </w:p>
    <w:p>
      <w:pPr>
        <w:spacing w:after="80" w:before="80"/>
      </w:pPr>
      <w:r>
        <w:rPr>
          <w:rFonts w:ascii="Arial" w:cs="Arial" w:eastAsia="Arial" w:hAnsi="Arial"/>
          <w:b/>
          <w:bCs/>
          <w:sz w:val="22"/>
          <w:szCs w:val="22"/>
        </w:rPr>
        <w:t xml:space="preserve">Audience: </w:t>
      </w:r>
      <w:r>
        <w:rPr>
          <w:rFonts w:ascii="Arial" w:cs="Arial" w:eastAsia="Arial" w:hAnsi="Arial"/>
          <w:sz w:val="22"/>
          <w:szCs w:val="22"/>
        </w:rPr>
        <w:t xml:space="preserve">Tier-1 + Tier-2 buyers in research-stage who already know HoneyBook/Dubsado/Bonsai but suspect they need something better.</w:t>
      </w:r>
    </w:p>
    <w:p>
      <w:pPr>
        <w:spacing w:after="80" w:before="80"/>
      </w:pPr>
      <w:r>
        <w:rPr>
          <w:rFonts w:ascii="Arial" w:cs="Arial" w:eastAsia="Arial" w:hAnsi="Arial"/>
          <w:b/>
          <w:bCs/>
          <w:sz w:val="22"/>
          <w:szCs w:val="22"/>
        </w:rPr>
        <w:t xml:space="preserve">Asset: </w:t>
      </w:r>
      <w:r>
        <w:rPr>
          <w:rFonts w:ascii="Arial" w:cs="Arial" w:eastAsia="Arial" w:hAnsi="Arial"/>
          <w:sz w:val="22"/>
          <w:szCs w:val="22"/>
        </w:rPr>
        <w:t xml:space="preserve">Refresh and rank-protect 7 alternative pages. Add 5 missing 'X vs Y' pages (Dubsado vs HoneyBook = good; add 'HoneyBook vs ClientEnforce', 'Dubsado vs ClientEnforce', etc.). Add interactive feature comparison tool.</w:t>
      </w:r>
    </w:p>
    <w:p>
      <w:pPr>
        <w:spacing w:after="80" w:before="80"/>
      </w:pPr>
      <w:r>
        <w:rPr>
          <w:rFonts w:ascii="Arial" w:cs="Arial" w:eastAsia="Arial" w:hAnsi="Arial"/>
          <w:b/>
          <w:bCs/>
          <w:sz w:val="22"/>
          <w:szCs w:val="22"/>
        </w:rPr>
        <w:t xml:space="preserve">KPO: </w:t>
      </w:r>
      <w:r>
        <w:rPr>
          <w:rFonts w:ascii="Arial" w:cs="Arial" w:eastAsia="Arial" w:hAnsi="Arial"/>
          <w:sz w:val="22"/>
          <w:szCs w:val="22"/>
        </w:rPr>
        <w:t xml:space="preserve">By 31 October: 200 organic visits/week to alternative pages. 15 trial signups/month from this content. 5 paid conversions/month.</w:t>
      </w:r>
    </w:p>
    <w:p>
      <w:pPr>
        <w:pStyle w:val="Heading2"/>
        <w:spacing w:after="140" w:before="280"/>
      </w:pPr>
      <w:r>
        <w:rPr>
          <w:rFonts w:ascii="Arial" w:cs="Arial" w:eastAsia="Arial" w:hAnsi="Arial"/>
          <w:b/>
          <w:bCs/>
          <w:color w:val="2E2E2E"/>
          <w:sz w:val="28"/>
          <w:szCs w:val="28"/>
        </w:rPr>
        <w:t xml:space="preserve">7.4 KPO discipline rules</w:t>
      </w:r>
    </w:p>
    <w:p>
      <w:pPr>
        <w:pStyle w:val="ListParagraph"/>
        <w:numPr>
          <w:ilvl w:val="0"/>
          <w:numId w:val="3"/>
        </w:numPr>
        <w:spacing w:after="40" w:before="40"/>
      </w:pPr>
      <w:r>
        <w:rPr>
          <w:rFonts w:ascii="Arial" w:cs="Arial" w:eastAsia="Arial" w:hAnsi="Arial"/>
          <w:sz w:val="22"/>
          <w:szCs w:val="22"/>
        </w:rPr>
        <w:t xml:space="preserve">Every big bet has ONE primary KPO. If we have 3 KPOs, we have none.</w:t>
      </w:r>
    </w:p>
    <w:p>
      <w:pPr>
        <w:pStyle w:val="ListParagraph"/>
        <w:numPr>
          <w:ilvl w:val="0"/>
          <w:numId w:val="3"/>
        </w:numPr>
        <w:spacing w:after="40" w:before="40"/>
      </w:pPr>
      <w:r>
        <w:rPr>
          <w:rFonts w:ascii="Arial" w:cs="Arial" w:eastAsia="Arial" w:hAnsi="Arial"/>
          <w:sz w:val="22"/>
          <w:szCs w:val="22"/>
        </w:rPr>
        <w:t xml:space="preserve">Mid-month 1: track. End-of-month 2: kill or extend. End-of-month 3: case study or post-mortem.</w:t>
      </w:r>
    </w:p>
    <w:p>
      <w:pPr>
        <w:pStyle w:val="ListParagraph"/>
        <w:numPr>
          <w:ilvl w:val="0"/>
          <w:numId w:val="3"/>
        </w:numPr>
        <w:spacing w:after="40" w:before="40"/>
      </w:pPr>
      <w:r>
        <w:rPr>
          <w:rFonts w:ascii="Arial" w:cs="Arial" w:eastAsia="Arial" w:hAnsi="Arial"/>
          <w:sz w:val="22"/>
          <w:szCs w:val="22"/>
        </w:rPr>
        <w:t xml:space="preserve">Don't add a 4th big bet until one of these three is killed or graduated.</w:t>
      </w:r>
    </w:p>
    <w:p>
      <w:pPr>
        <w:pStyle w:val="ListParagraph"/>
        <w:numPr>
          <w:ilvl w:val="0"/>
          <w:numId w:val="3"/>
        </w:numPr>
        <w:spacing w:after="40" w:before="40"/>
      </w:pPr>
      <w:r>
        <w:rPr>
          <w:rFonts w:ascii="Arial" w:cs="Arial" w:eastAsia="Arial" w:hAnsi="Arial"/>
          <w:sz w:val="22"/>
          <w:szCs w:val="22"/>
        </w:rPr>
        <w:t xml:space="preserve">Self-reported source field on signup form is how we credit a campaign.</w:t>
      </w:r>
    </w:p>
    <w:p>
      <w:pPr>
        <w:pStyle w:val="Heading1"/>
        <w:pageBreakBefore/>
        <w:spacing w:after="180" w:before="360"/>
      </w:pPr>
      <w:r>
        <w:rPr>
          <w:rFonts w:ascii="Arial" w:cs="Arial" w:eastAsia="Arial" w:hAnsi="Arial"/>
          <w:b/>
          <w:bCs/>
          <w:color w:val="1F4E79"/>
          <w:sz w:val="36"/>
          <w:szCs w:val="36"/>
        </w:rPr>
        <w:t xml:space="preserve">8. Brand and voice</w:t>
      </w:r>
    </w:p>
    <w:p>
      <w:pPr>
        <w:pStyle w:val="Heading2"/>
        <w:spacing w:after="140" w:before="280"/>
      </w:pPr>
      <w:r>
        <w:rPr>
          <w:rFonts w:ascii="Arial" w:cs="Arial" w:eastAsia="Arial" w:hAnsi="Arial"/>
          <w:b/>
          <w:bCs/>
          <w:color w:val="2E2E2E"/>
          <w:sz w:val="28"/>
          <w:szCs w:val="28"/>
        </w:rPr>
        <w:t xml:space="preserve">8.1 Brand pillars</w:t>
      </w:r>
    </w:p>
    <w:p>
      <w:pPr>
        <w:pStyle w:val="ListParagraph"/>
        <w:numPr>
          <w:ilvl w:val="0"/>
          <w:numId w:val="3"/>
        </w:numPr>
        <w:spacing w:after="40" w:before="40"/>
      </w:pPr>
      <w:r>
        <w:rPr>
          <w:rFonts w:ascii="Arial" w:cs="Arial" w:eastAsia="Arial" w:hAnsi="Arial"/>
          <w:sz w:val="22"/>
          <w:szCs w:val="22"/>
        </w:rPr>
        <w:t xml:space="preserve">Direct. We say what we mean. No 'leverage', no 'unlock', no 'transform'.</w:t>
      </w:r>
    </w:p>
    <w:p>
      <w:pPr>
        <w:pStyle w:val="ListParagraph"/>
        <w:numPr>
          <w:ilvl w:val="0"/>
          <w:numId w:val="3"/>
        </w:numPr>
        <w:spacing w:after="40" w:before="40"/>
      </w:pPr>
      <w:r>
        <w:rPr>
          <w:rFonts w:ascii="Arial" w:cs="Arial" w:eastAsia="Arial" w:hAnsi="Arial"/>
          <w:sz w:val="22"/>
          <w:szCs w:val="22"/>
        </w:rPr>
        <w:t xml:space="preserve">Specific. Every claim has a number, a vertical, or a name attached.</w:t>
      </w:r>
    </w:p>
    <w:p>
      <w:pPr>
        <w:pStyle w:val="ListParagraph"/>
        <w:numPr>
          <w:ilvl w:val="0"/>
          <w:numId w:val="3"/>
        </w:numPr>
        <w:spacing w:after="40" w:before="40"/>
      </w:pPr>
      <w:r>
        <w:rPr>
          <w:rFonts w:ascii="Arial" w:cs="Arial" w:eastAsia="Arial" w:hAnsi="Arial"/>
          <w:sz w:val="22"/>
          <w:szCs w:val="22"/>
        </w:rPr>
        <w:t xml:space="preserve">Founder-led. Thomas signs everything. The brand is currently a person.</w:t>
      </w:r>
    </w:p>
    <w:p>
      <w:pPr>
        <w:pStyle w:val="ListParagraph"/>
        <w:numPr>
          <w:ilvl w:val="0"/>
          <w:numId w:val="3"/>
        </w:numPr>
        <w:spacing w:after="40" w:before="40"/>
      </w:pPr>
      <w:r>
        <w:rPr>
          <w:rFonts w:ascii="Arial" w:cs="Arial" w:eastAsia="Arial" w:hAnsi="Arial"/>
          <w:sz w:val="22"/>
          <w:szCs w:val="22"/>
        </w:rPr>
        <w:t xml:space="preserve">Compliance-fluent. We use the regulator's own language (FICA, AML, KYC, CDD, BOI, MTD, ICAEW, SRA) — not made-up software-marketing jargon.</w:t>
      </w:r>
    </w:p>
    <w:p>
      <w:pPr>
        <w:pStyle w:val="ListParagraph"/>
        <w:numPr>
          <w:ilvl w:val="0"/>
          <w:numId w:val="3"/>
        </w:numPr>
        <w:spacing w:after="40" w:before="40"/>
      </w:pPr>
      <w:r>
        <w:rPr>
          <w:rFonts w:ascii="Arial" w:cs="Arial" w:eastAsia="Arial" w:hAnsi="Arial"/>
          <w:sz w:val="22"/>
          <w:szCs w:val="22"/>
        </w:rPr>
        <w:t xml:space="preserve">Slightly contrarian. We say what other tools don't: 'most CRMs do this badly', 'wedding software doesn't fit your firm'.</w:t>
      </w:r>
    </w:p>
    <w:p>
      <w:pPr>
        <w:pStyle w:val="Heading2"/>
        <w:spacing w:after="140" w:before="280"/>
      </w:pPr>
      <w:r>
        <w:rPr>
          <w:rFonts w:ascii="Arial" w:cs="Arial" w:eastAsia="Arial" w:hAnsi="Arial"/>
          <w:b/>
          <w:bCs/>
          <w:color w:val="2E2E2E"/>
          <w:sz w:val="28"/>
          <w:szCs w:val="28"/>
        </w:rPr>
        <w:t xml:space="preserve">8.2 Voice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DON'T</w:t>
            </w:r>
          </w:p>
        </w:tc>
      </w:tr>
      <w:tr>
        <w:trPr>
          <w:tblHeader w:val="false"/>
        </w:trPr>
        <w:tc>
          <w:tcPr>
            <w:tcW w:type="dxa" w:w="504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r>
              <w:rPr>
                <w:rFonts w:ascii="Arial" w:cs="Arial" w:eastAsia="Arial" w:hAnsi="Arial"/>
                <w:b w:val="false"/>
                <w:bCs w:val="false"/>
                <w:sz w:val="20"/>
                <w:szCs w:val="20"/>
              </w:rPr>
              <w:t xml:space="preserve">'Cut intake from 14 days to 2.'</w:t>
            </w:r>
          </w:p>
        </w:tc>
        <w:tc>
          <w:tcPr>
            <w:tcW w:type="dxa" w:w="504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r>
              <w:rPr>
                <w:rFonts w:ascii="Arial" w:cs="Arial" w:eastAsia="Arial" w:hAnsi="Arial"/>
                <w:b w:val="false"/>
                <w:bCs w:val="false"/>
                <w:sz w:val="20"/>
                <w:szCs w:val="20"/>
              </w:rPr>
              <w:t xml:space="preserve">'Streamline your onboarding workflow.'</w:t>
            </w:r>
          </w:p>
        </w:tc>
      </w:tr>
      <w:tr>
        <w:trPr>
          <w:tblHeader w:val="false"/>
        </w:trPr>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'Tim at Telletire stopped chasing fleet accounts.'</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'Our customers love the product.'</w:t>
            </w:r>
          </w:p>
        </w:tc>
      </w:tr>
      <w:tr>
        <w:trPr>
          <w:tblHeader w:val="false"/>
        </w:trPr>
        <w:tc>
          <w:tcPr>
            <w:tcW w:type="dxa" w:w="504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r>
              <w:rPr>
                <w:rFonts w:ascii="Arial" w:cs="Arial" w:eastAsia="Arial" w:hAnsi="Arial"/>
                <w:b w:val="false"/>
                <w:bCs w:val="false"/>
                <w:sz w:val="20"/>
                <w:szCs w:val="20"/>
              </w:rPr>
              <w:t xml:space="preserve">'You can't ship the work until the intake is complete.'</w:t>
            </w:r>
          </w:p>
        </w:tc>
        <w:tc>
          <w:tcPr>
            <w:tcW w:type="dxa" w:w="504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r>
              <w:rPr>
                <w:rFonts w:ascii="Arial" w:cs="Arial" w:eastAsia="Arial" w:hAnsi="Arial"/>
                <w:b w:val="false"/>
                <w:bCs w:val="false"/>
                <w:sz w:val="20"/>
                <w:szCs w:val="20"/>
              </w:rPr>
              <w:t xml:space="preserve">'Drive operational excellence through enforced workflows.'</w:t>
            </w:r>
          </w:p>
        </w:tc>
      </w:tr>
      <w:tr>
        <w:trPr>
          <w:tblHeader w:val="false"/>
        </w:trPr>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'Built for accountants. Not photographers.'</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 flexible solution for service businesses.'</w:t>
            </w:r>
          </w:p>
        </w:tc>
      </w:tr>
      <w:tr>
        <w:trPr>
          <w:tblHeader w:val="false"/>
        </w:trPr>
        <w:tc>
          <w:tcPr>
            <w:tcW w:type="dxa" w:w="504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r>
              <w:rPr>
                <w:rFonts w:ascii="Arial" w:cs="Arial" w:eastAsia="Arial" w:hAnsi="Arial"/>
                <w:b w:val="false"/>
                <w:bCs w:val="false"/>
                <w:sz w:val="20"/>
                <w:szCs w:val="20"/>
              </w:rPr>
              <w:t xml:space="preserve">'No client login. Ever.'</w:t>
            </w:r>
          </w:p>
        </w:tc>
        <w:tc>
          <w:tcPr>
            <w:tcW w:type="dxa" w:w="504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r>
              <w:rPr>
                <w:rFonts w:ascii="Arial" w:cs="Arial" w:eastAsia="Arial" w:hAnsi="Arial"/>
                <w:b w:val="false"/>
                <w:bCs w:val="false"/>
                <w:sz w:val="20"/>
                <w:szCs w:val="20"/>
              </w:rPr>
              <w:t xml:space="preserve">'Best-in-class user experience.'</w:t>
            </w:r>
          </w:p>
        </w:tc>
      </w:tr>
      <w:tr>
        <w:trPr>
          <w:tblHeader w:val="false"/>
        </w:trPr>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'Live in 20 minutes.'</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'Quick and easy setup.'</w:t>
            </w:r>
          </w:p>
        </w:tc>
      </w:tr>
    </w:tbl>
    <w:p>
      <w:pPr>
        <w:pStyle w:val="Heading2"/>
        <w:spacing w:after="140" w:before="280"/>
      </w:pPr>
      <w:r>
        <w:rPr>
          <w:rFonts w:ascii="Arial" w:cs="Arial" w:eastAsia="Arial" w:hAnsi="Arial"/>
          <w:b/>
          <w:bCs/>
          <w:color w:val="2E2E2E"/>
          <w:sz w:val="28"/>
          <w:szCs w:val="28"/>
        </w:rPr>
        <w:t xml:space="preserve">8.3 Banned words and phrases</w:t>
      </w:r>
    </w:p>
    <w:p>
      <w:pPr>
        <w:spacing w:after="80" w:before="80"/>
      </w:pPr>
      <w:r>
        <w:rPr>
          <w:rFonts w:ascii="Arial" w:cs="Arial" w:eastAsia="Arial" w:hAnsi="Arial"/>
          <w:b/>
          <w:bCs/>
          <w:sz w:val="22"/>
          <w:szCs w:val="22"/>
        </w:rPr>
        <w:t xml:space="preserve">Never use: </w:t>
      </w:r>
      <w:r>
        <w:rPr>
          <w:rFonts w:ascii="Arial" w:cs="Arial" w:eastAsia="Arial" w:hAnsi="Arial"/>
          <w:sz w:val="22"/>
          <w:szCs w:val="22"/>
        </w:rPr>
        <w:t xml:space="preserve">leverage, unlock, transform, synergy, seamless, best-in-class, robust, holistic, cutting-edge, world-class, game-changer, revolutionise, optimise (verb), empower, enable (verb), drive (when not literally driving), at scale (when used as filler), solution (when 'product' or 'tool' would do), hope this finds you well, just bumping this up.</w:t>
      </w:r>
    </w:p>
    <w:p>
      <w:pPr>
        <w:pStyle w:val="Heading2"/>
        <w:spacing w:after="140" w:before="280"/>
      </w:pPr>
      <w:r>
        <w:rPr>
          <w:rFonts w:ascii="Arial" w:cs="Arial" w:eastAsia="Arial" w:hAnsi="Arial"/>
          <w:b/>
          <w:bCs/>
          <w:color w:val="2E2E2E"/>
          <w:sz w:val="28"/>
          <w:szCs w:val="28"/>
        </w:rPr>
        <w:t xml:space="preserve">8.4 Tone by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Tone</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Cold prospect (email/LinkedIn DM)</w:t>
            </w:r>
          </w:p>
        </w:tc>
        <w:tc>
          <w:tcPr>
            <w:tcW w:type="dxa" w:w="6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Peer-to-peer. Brief. Reference one specific thing about them. No pitch on first touch.</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Trial user (lifecycle email)</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Helpful, slightly informal. Use first names. Sign 'Thomas'. Ask one question per email.</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Paying customer (in-product, support)</w:t>
            </w:r>
          </w:p>
        </w:tc>
        <w:tc>
          <w:tcPr>
            <w:tcW w:type="dxa" w:w="6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Warm. Direct. Take responsibility for any product gap.</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 followers (founder posts)</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Conversational. Slightly contrarian. End with a question to invite replies.</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Blog / SEO content</w:t>
            </w:r>
          </w:p>
        </w:tc>
        <w:tc>
          <w:tcPr>
            <w:tcW w:type="dxa" w:w="6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Authoritative. Specific. Cites named tools, named regulators, real numbers.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Sales call / demo</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Direct. Assume technical literacy. Show, don't tell — build a real onboarding live.</w:t>
            </w:r>
          </w:p>
        </w:tc>
      </w:tr>
    </w:tbl>
    <w:p>
      <w:pPr>
        <w:pStyle w:val="Heading1"/>
        <w:pageBreakBefore/>
        <w:spacing w:after="180" w:before="360"/>
      </w:pPr>
      <w:r>
        <w:rPr>
          <w:rFonts w:ascii="Arial" w:cs="Arial" w:eastAsia="Arial" w:hAnsi="Arial"/>
          <w:b/>
          <w:bCs/>
          <w:color w:val="1F4E79"/>
          <w:sz w:val="36"/>
          <w:szCs w:val="36"/>
        </w:rPr>
        <w:t xml:space="preserve">9. KPIs by lifecycle stage</w:t>
      </w:r>
    </w:p>
    <w:p>
      <w:pPr>
        <w:spacing w:after="80" w:before="80"/>
      </w:pPr>
      <w:r>
        <w:rPr>
          <w:rFonts w:ascii="Arial" w:cs="Arial" w:eastAsia="Arial" w:hAnsi="Arial"/>
          <w:sz w:val="22"/>
          <w:szCs w:val="22"/>
        </w:rPr>
        <w:t xml:space="preserve">These are the only KPIs we measure. Anything not on this list is a vanity metric.</w:t>
      </w:r>
    </w:p>
    <w:p>
      <w:pPr>
        <w:pStyle w:val="Heading2"/>
        <w:spacing w:after="140" w:before="280"/>
      </w:pPr>
      <w:r>
        <w:rPr>
          <w:rFonts w:ascii="Arial" w:cs="Arial" w:eastAsia="Arial" w:hAnsi="Arial"/>
          <w:b/>
          <w:bCs/>
          <w:color w:val="2E2E2E"/>
          <w:sz w:val="28"/>
          <w:szCs w:val="28"/>
        </w:rPr>
        <w:t xml:space="preserve">9.1 Top-of-funnel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1600"/>
        <w:gridCol w:w="42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Organic visits / week</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Site analytics (Plausible/GA)</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1,500/wk</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Currently scattered across cannibalised pages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Founder LinkedIn impressions / week</w:t>
            </w:r>
          </w:p>
        </w:tc>
        <w:tc>
          <w:tcPr>
            <w:tcW w:type="dxa" w:w="1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 analytics</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10,000/wk</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Build via 5x/week posting cadence</w:t>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Cold email replies / week</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Instantly inbox</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12+/wk</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Calculated from 600/wk send volume × 2% reply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 DM replies / week</w:t>
            </w:r>
          </w:p>
        </w:tc>
        <w:tc>
          <w:tcPr>
            <w:tcW w:type="dxa" w:w="1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Sales Nav inbox</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5+/wk</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Podcast appearances / quarter</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Manual tracker</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3/quarter</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
            </w:r>
          </w:p>
        </w:tc>
      </w:tr>
    </w:tbl>
    <w:p>
      <w:pPr>
        <w:pStyle w:val="Heading2"/>
        <w:spacing w:after="140" w:before="280"/>
      </w:pPr>
      <w:r>
        <w:rPr>
          <w:rFonts w:ascii="Arial" w:cs="Arial" w:eastAsia="Arial" w:hAnsi="Arial"/>
          <w:b/>
          <w:bCs/>
          <w:color w:val="2E2E2E"/>
          <w:sz w:val="28"/>
          <w:szCs w:val="28"/>
        </w:rPr>
        <w:t xml:space="preserve">9.2 Mid-funnel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1600"/>
        <w:gridCol w:w="42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Trial signups / week</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Stripe + Supabase</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12+/wk</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Need to add self-reported source field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Demo calls booked / week</w:t>
            </w:r>
          </w:p>
        </w:tc>
        <w:tc>
          <w:tcPr>
            <w:tcW w:type="dxa" w:w="1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Calendar</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3+/wk</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Visit → trial conversion %</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Analytics</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Industry avg for B2B SaaS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Trial → paid conversion %</w:t>
            </w:r>
          </w:p>
        </w:tc>
        <w:tc>
          <w:tcPr>
            <w:tcW w:type="dxa" w:w="1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Stripe</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Best-in-class for self-serve B2B SaaS</w:t>
            </w:r>
          </w:p>
        </w:tc>
      </w:tr>
    </w:tbl>
    <w:p>
      <w:pPr>
        <w:pStyle w:val="Heading2"/>
        <w:spacing w:after="140" w:before="280"/>
      </w:pPr>
      <w:r>
        <w:rPr>
          <w:rFonts w:ascii="Arial" w:cs="Arial" w:eastAsia="Arial" w:hAnsi="Arial"/>
          <w:b/>
          <w:bCs/>
          <w:color w:val="2E2E2E"/>
          <w:sz w:val="28"/>
          <w:szCs w:val="28"/>
        </w:rPr>
        <w:t xml:space="preserve">9.3 Bottom-funnel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1600"/>
        <w:gridCol w:w="42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New paying customers / month</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Stripe</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 by M3, 20 by M6</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MRR</w:t>
            </w:r>
          </w:p>
        </w:tc>
        <w:tc>
          <w:tcPr>
            <w:tcW w:type="dxa" w:w="1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Stripe</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£10k by M6</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Logo churn / month</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Stripe</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&lt;5% / month</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Net revenue retention</w:t>
            </w:r>
          </w:p>
        </w:tc>
        <w:tc>
          <w:tcPr>
            <w:tcW w:type="dxa" w:w="1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Stripe</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&gt;100%</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Driven by Team→Scale upgrades</w:t>
            </w:r>
          </w:p>
        </w:tc>
      </w:tr>
      <w:tr>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LTV : CAC</w:t>
            </w:r>
          </w:p>
        </w:tc>
        <w:tc>
          <w:tcPr>
            <w:tcW w:type="dxa" w:w="1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Manual model</w:t>
            </w:r>
          </w:p>
        </w:tc>
        <w:tc>
          <w:tcPr>
            <w:tcW w:type="dxa" w:w="16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&gt;3x</w:t>
            </w:r>
          </w:p>
        </w:tc>
        <w:tc>
          <w:tcPr>
            <w:tcW w:type="dxa" w:w="4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CAC must be tracked per channel</w:t>
            </w:r>
          </w:p>
        </w:tc>
      </w:tr>
    </w:tbl>
    <w:p>
      <w:pPr>
        <w:pStyle w:val="Heading2"/>
        <w:spacing w:after="140" w:before="280"/>
      </w:pPr>
      <w:r>
        <w:rPr>
          <w:rFonts w:ascii="Arial" w:cs="Arial" w:eastAsia="Arial" w:hAnsi="Arial"/>
          <w:b/>
          <w:bCs/>
          <w:color w:val="2E2E2E"/>
          <w:sz w:val="28"/>
          <w:szCs w:val="28"/>
        </w:rPr>
        <w:t xml:space="preserve">9.4 KPI cadence</w:t>
      </w:r>
    </w:p>
    <w:p>
      <w:pPr>
        <w:pStyle w:val="ListParagraph"/>
        <w:numPr>
          <w:ilvl w:val="0"/>
          <w:numId w:val="3"/>
        </w:numPr>
        <w:spacing w:after="40" w:before="40"/>
      </w:pPr>
      <w:r>
        <w:rPr>
          <w:rFonts w:ascii="Arial" w:cs="Arial" w:eastAsia="Arial" w:hAnsi="Arial"/>
          <w:sz w:val="22"/>
          <w:szCs w:val="22"/>
        </w:rPr>
        <w:t xml:space="preserve">Daily: send volumes, reply count (5-min check)</w:t>
      </w:r>
    </w:p>
    <w:p>
      <w:pPr>
        <w:pStyle w:val="ListParagraph"/>
        <w:numPr>
          <w:ilvl w:val="0"/>
          <w:numId w:val="3"/>
        </w:numPr>
        <w:spacing w:after="40" w:before="40"/>
      </w:pPr>
      <w:r>
        <w:rPr>
          <w:rFonts w:ascii="Arial" w:cs="Arial" w:eastAsia="Arial" w:hAnsi="Arial"/>
          <w:sz w:val="22"/>
          <w:szCs w:val="22"/>
        </w:rPr>
        <w:t xml:space="preserve">Weekly: every Friday 9am, complete all numbers in the Trackers workbook (Doc 06)</w:t>
      </w:r>
    </w:p>
    <w:p>
      <w:pPr>
        <w:pStyle w:val="ListParagraph"/>
        <w:numPr>
          <w:ilvl w:val="0"/>
          <w:numId w:val="3"/>
        </w:numPr>
        <w:spacing w:after="40" w:before="40"/>
      </w:pPr>
      <w:r>
        <w:rPr>
          <w:rFonts w:ascii="Arial" w:cs="Arial" w:eastAsia="Arial" w:hAnsi="Arial"/>
          <w:sz w:val="22"/>
          <w:szCs w:val="22"/>
        </w:rPr>
        <w:t xml:space="preserve">Monthly: first Monday — 90-min review against the £10k path</w:t>
      </w:r>
    </w:p>
    <w:p>
      <w:pPr>
        <w:pStyle w:val="ListParagraph"/>
        <w:numPr>
          <w:ilvl w:val="0"/>
          <w:numId w:val="3"/>
        </w:numPr>
        <w:spacing w:after="40" w:before="40"/>
      </w:pPr>
      <w:r>
        <w:rPr>
          <w:rFonts w:ascii="Arial" w:cs="Arial" w:eastAsia="Arial" w:hAnsi="Arial"/>
          <w:sz w:val="22"/>
          <w:szCs w:val="22"/>
        </w:rPr>
        <w:t xml:space="preserve">Quarterly: 3-hour strategy block — kill, extend, or graduate big bets</w:t>
      </w:r>
    </w:p>
    <w:p>
      <w:pPr>
        <w:pStyle w:val="Heading1"/>
        <w:pageBreakBefore/>
        <w:spacing w:after="180" w:before="360"/>
      </w:pPr>
      <w:r>
        <w:rPr>
          <w:rFonts w:ascii="Arial" w:cs="Arial" w:eastAsia="Arial" w:hAnsi="Arial"/>
          <w:b/>
          <w:bCs/>
          <w:color w:val="1F4E79"/>
          <w:sz w:val="36"/>
          <w:szCs w:val="36"/>
        </w:rPr>
        <w:t xml:space="preserve">10. Channels — the full mix</w:t>
      </w:r>
    </w:p>
    <w:p>
      <w:pPr>
        <w:spacing w:after="80" w:before="80"/>
      </w:pPr>
      <w:r>
        <w:rPr>
          <w:rFonts w:ascii="Arial" w:cs="Arial" w:eastAsia="Arial" w:hAnsi="Arial"/>
          <w:sz w:val="22"/>
          <w:szCs w:val="22"/>
        </w:rPr>
        <w:t xml:space="preserve">Each channel has a precise definition, a weekly time budget, a target output, a KPO, and a DRI. Detailed playbooks live in Documents 02–04.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680"/>
        <w:gridCol w:w="20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Weekly time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 / week</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Primary KPO</w:t>
            </w:r>
          </w:p>
        </w:tc>
      </w:tr>
      <w:tr>
        <w:trPr>
          <w:tblHeader w:val="false"/>
        </w:trP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Cold email (4 inboxes)</w:t>
            </w:r>
          </w:p>
        </w:tc>
        <w:tc>
          <w:tcPr>
            <w:tcW w:type="dxa" w:w="1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 hrs</w:t>
            </w:r>
          </w:p>
        </w:tc>
        <w:tc>
          <w:tcPr>
            <w:tcW w:type="dxa" w:w="36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120 prospects added (24 new prospects/day × 5 days)</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 positive replies/wk</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 LinkedIn outbound (Sales Nav)</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 hrs</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50 connection requests + 30 thoughtful comments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 DM conversations/wk</w:t>
            </w:r>
          </w:p>
        </w:tc>
      </w:tr>
      <w:tr>
        <w:trPr>
          <w:tblHeader w:val="false"/>
        </w:trP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 LinkedIn organic (founder)</w:t>
            </w:r>
          </w:p>
        </w:tc>
        <w:tc>
          <w:tcPr>
            <w:tcW w:type="dxa" w:w="1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4 hrs</w:t>
            </w:r>
          </w:p>
        </w:tc>
        <w:tc>
          <w:tcPr>
            <w:tcW w:type="dxa" w:w="36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 posts + replies to all comments</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10k impressions/wk by week 8</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 SEO (cannibalisation + content)</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6 hrs (M1–M3), 3 hrs after</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 cannibalisation fix + 1 new comparison page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1,500 organic visits/wk by M6</w:t>
            </w:r>
          </w:p>
        </w:tc>
      </w:tr>
      <w:tr>
        <w:trPr>
          <w:tblHeader w:val="false"/>
        </w:trP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 Lifecycle email (in-product)</w:t>
            </w:r>
          </w:p>
        </w:tc>
        <w:tc>
          <w:tcPr>
            <w:tcW w:type="dxa" w:w="1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hr (after sequence built)</w:t>
            </w:r>
          </w:p>
        </w:tc>
        <w:tc>
          <w:tcPr>
            <w:tcW w:type="dxa" w:w="36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Sequence runs automatically</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 trial → paid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6. Podcast guesting</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 hrs</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 pitch sent, 0–1 recorded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 episodes / quarter</w:t>
            </w:r>
          </w:p>
        </w:tc>
      </w:tr>
      <w:tr>
        <w:trPr>
          <w:tblHeader w:val="false"/>
        </w:trP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7. Partnerships (TaxDome/Karbon/Clio)</w:t>
            </w:r>
          </w:p>
        </w:tc>
        <w:tc>
          <w:tcPr>
            <w:tcW w:type="dxa" w:w="1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hr</w:t>
            </w:r>
          </w:p>
        </w:tc>
        <w:tc>
          <w:tcPr>
            <w:tcW w:type="dxa" w:w="36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partnership conversation</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signed integration partner / quarter</w:t>
            </w:r>
          </w:p>
        </w:tc>
      </w:tr>
    </w:tbl>
    <w:p>
      <w:pPr>
        <w:spacing w:after="80" w:before="80"/>
      </w:pPr>
      <w:r>
        <w:rPr>
          <w:rFonts w:ascii="Arial" w:cs="Arial" w:eastAsia="Arial" w:hAnsi="Arial"/>
          <w:b/>
          <w:bCs/>
          <w:sz w:val="22"/>
          <w:szCs w:val="22"/>
        </w:rPr>
        <w:t xml:space="preserve">Total weekly time budget: </w:t>
      </w:r>
      <w:r>
        <w:rPr>
          <w:rFonts w:ascii="Arial" w:cs="Arial" w:eastAsia="Arial" w:hAnsi="Arial"/>
          <w:sz w:val="22"/>
          <w:szCs w:val="22"/>
        </w:rPr>
        <w:t xml:space="preserve">~27 hours active marketing work. Realistic for a founder splitting time with product/sales. If a channel underperforms, time gets reallocated — not added.</w:t>
      </w:r>
    </w:p>
    <w:p>
      <w:pPr>
        <w:pStyle w:val="Heading2"/>
        <w:spacing w:after="140" w:before="280"/>
      </w:pPr>
      <w:r>
        <w:rPr>
          <w:rFonts w:ascii="Arial" w:cs="Arial" w:eastAsia="Arial" w:hAnsi="Arial"/>
          <w:b/>
          <w:bCs/>
          <w:color w:val="2E2E2E"/>
          <w:sz w:val="28"/>
          <w:szCs w:val="28"/>
        </w:rPr>
        <w:t xml:space="preserve">10.1 Channel rationale (why this mix)</w:t>
      </w:r>
    </w:p>
    <w:p>
      <w:pPr>
        <w:pStyle w:val="ListParagraph"/>
        <w:numPr>
          <w:ilvl w:val="0"/>
          <w:numId w:val="3"/>
        </w:numPr>
        <w:spacing w:after="40" w:before="40"/>
      </w:pPr>
      <w:r>
        <w:rPr>
          <w:rFonts w:ascii="Arial" w:cs="Arial" w:eastAsia="Arial" w:hAnsi="Arial"/>
          <w:sz w:val="22"/>
          <w:szCs w:val="22"/>
        </w:rPr>
        <w:t xml:space="preserve">Cold email + LinkedIn outbound = pipeline NOW. They produce signups in weeks 1–4, when SEO can't.</w:t>
      </w:r>
    </w:p>
    <w:p>
      <w:pPr>
        <w:pStyle w:val="ListParagraph"/>
        <w:numPr>
          <w:ilvl w:val="0"/>
          <w:numId w:val="3"/>
        </w:numPr>
        <w:spacing w:after="40" w:before="40"/>
      </w:pPr>
      <w:r>
        <w:rPr>
          <w:rFonts w:ascii="Arial" w:cs="Arial" w:eastAsia="Arial" w:hAnsi="Arial"/>
          <w:sz w:val="22"/>
          <w:szCs w:val="22"/>
        </w:rPr>
        <w:t xml:space="preserve">SEO cannibalisation fix + comparison content = pipeline LATER. Investment now pays off in months 4–12.</w:t>
      </w:r>
    </w:p>
    <w:p>
      <w:pPr>
        <w:pStyle w:val="ListParagraph"/>
        <w:numPr>
          <w:ilvl w:val="0"/>
          <w:numId w:val="3"/>
        </w:numPr>
        <w:spacing w:after="40" w:before="40"/>
      </w:pPr>
      <w:r>
        <w:rPr>
          <w:rFonts w:ascii="Arial" w:cs="Arial" w:eastAsia="Arial" w:hAnsi="Arial"/>
          <w:sz w:val="22"/>
          <w:szCs w:val="22"/>
        </w:rPr>
        <w:t xml:space="preserve">LinkedIn organic = the brand &amp; trust layer. Compounds founder reputation. Buys credibility for cold outreach.</w:t>
      </w:r>
    </w:p>
    <w:p>
      <w:pPr>
        <w:pStyle w:val="ListParagraph"/>
        <w:numPr>
          <w:ilvl w:val="0"/>
          <w:numId w:val="3"/>
        </w:numPr>
        <w:spacing w:after="40" w:before="40"/>
      </w:pPr>
      <w:r>
        <w:rPr>
          <w:rFonts w:ascii="Arial" w:cs="Arial" w:eastAsia="Arial" w:hAnsi="Arial"/>
          <w:sz w:val="22"/>
          <w:szCs w:val="22"/>
        </w:rPr>
        <w:t xml:space="preserve">Podcast guesting = backlinks + quotable founder content + warm pipeline (most underrated channel).</w:t>
      </w:r>
    </w:p>
    <w:p>
      <w:pPr>
        <w:pStyle w:val="ListParagraph"/>
        <w:numPr>
          <w:ilvl w:val="0"/>
          <w:numId w:val="3"/>
        </w:numPr>
        <w:spacing w:after="40" w:before="40"/>
      </w:pPr>
      <w:r>
        <w:rPr>
          <w:rFonts w:ascii="Arial" w:cs="Arial" w:eastAsia="Arial" w:hAnsi="Arial"/>
          <w:sz w:val="22"/>
          <w:szCs w:val="22"/>
        </w:rPr>
        <w:t xml:space="preserve">Partnerships = compounding inbound from existing-vertical software (TaxDome users → ClientEnforce).</w:t>
      </w:r>
    </w:p>
    <w:p>
      <w:pPr>
        <w:pStyle w:val="Heading1"/>
        <w:pageBreakBefore/>
        <w:spacing w:after="180" w:before="360"/>
      </w:pPr>
      <w:r>
        <w:rPr>
          <w:rFonts w:ascii="Arial" w:cs="Arial" w:eastAsia="Arial" w:hAnsi="Arial"/>
          <w:b/>
          <w:bCs/>
          <w:color w:val="1F4E79"/>
          <w:sz w:val="36"/>
          <w:szCs w:val="36"/>
        </w:rPr>
        <w:t xml:space="preserve">11. Plans and pricing — single source of truth</w:t>
      </w:r>
    </w:p>
    <w:p>
      <w:pPr>
        <w:pBdr>
          <w:left w:val="single" w:color="1F4E79" w:sz="24" w:space="8"/>
        </w:pBdr>
        <w:spacing w:after="120" w:before="120"/>
        <w:ind w:left="240"/>
      </w:pPr>
      <w:r>
        <w:rPr>
          <w:rFonts w:ascii="Arial" w:cs="Arial" w:eastAsia="Arial" w:hAnsi="Arial"/>
          <w:i/>
          <w:iCs/>
          <w:color w:val="404040"/>
          <w:sz w:val="22"/>
          <w:szCs w:val="22"/>
        </w:rPr>
        <w:t xml:space="preserve">These prices come from the live PricingToggle component. If you change them in product, update this section the same day. Every other doc references this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900"/>
        <w:gridCol w:w="1380"/>
        <w:gridCol w:w="390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GBP/mo</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GBP/yr</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USD/mo</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USD/yr</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Active onboardings</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rPr>
          <w:tblHeader w:val="false"/>
        </w:trPr>
        <w:tc>
          <w:tcPr>
            <w:tcW w:type="dxa" w:w="1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Solo</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3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3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Free trial. Test the product on real clients.</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Team</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£29</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£24</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$37</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$30</w:t>
            </w:r>
          </w:p>
        </w:tc>
        <w:tc>
          <w:tcPr>
            <w:tcW w:type="dxa" w:w="1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50</w:t>
            </w:r>
          </w:p>
        </w:tc>
        <w:tc>
          <w:tcPr>
            <w:tcW w:type="dxa" w:w="3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Small US/UK teams. Adds reminders + audit trail.</w:t>
            </w:r>
          </w:p>
        </w:tc>
      </w:tr>
      <w:tr>
        <w:trPr>
          <w:tblHeader w:val="false"/>
        </w:trPr>
        <w:tc>
          <w:tcPr>
            <w:tcW w:type="dxa" w:w="1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Scale</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£89</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£74</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$99</w:t>
            </w:r>
          </w:p>
        </w:tc>
        <w:tc>
          <w:tcPr>
            <w:tcW w:type="dxa" w:w="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$83</w:t>
            </w:r>
          </w:p>
        </w:tc>
        <w:tc>
          <w:tcPr>
            <w:tcW w:type="dxa" w:w="13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200</w:t>
            </w:r>
          </w:p>
        </w:tc>
        <w:tc>
          <w:tcPr>
            <w:tcW w:type="dxa" w:w="3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Anchor tier. Tim @ Telletire is here.</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Agency Pro</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£149</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£124</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$149</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$124</w:t>
            </w:r>
          </w:p>
        </w:tc>
        <w:tc>
          <w:tcPr>
            <w:tcW w:type="dxa" w:w="1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Unlimited</w:t>
            </w:r>
          </w:p>
        </w:tc>
        <w:tc>
          <w:tcPr>
            <w:tcW w:type="dxa" w:w="3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White-label + custom domain. Agencies.</w:t>
            </w:r>
          </w:p>
        </w:tc>
      </w:tr>
    </w:tbl>
    <w:p>
      <w:pPr>
        <w:pStyle w:val="Heading2"/>
        <w:spacing w:after="140" w:before="280"/>
      </w:pPr>
      <w:r>
        <w:rPr>
          <w:rFonts w:ascii="Arial" w:cs="Arial" w:eastAsia="Arial" w:hAnsi="Arial"/>
          <w:b/>
          <w:bCs/>
          <w:color w:val="2E2E2E"/>
          <w:sz w:val="28"/>
          <w:szCs w:val="28"/>
        </w:rPr>
        <w:t xml:space="preserve">11.1 Pricing policy</w:t>
      </w:r>
    </w:p>
    <w:p>
      <w:pPr>
        <w:pStyle w:val="ListParagraph"/>
        <w:numPr>
          <w:ilvl w:val="0"/>
          <w:numId w:val="3"/>
        </w:numPr>
        <w:spacing w:after="40" w:before="40"/>
      </w:pPr>
      <w:r>
        <w:rPr>
          <w:rFonts w:ascii="Arial" w:cs="Arial" w:eastAsia="Arial" w:hAnsi="Arial"/>
          <w:sz w:val="22"/>
          <w:szCs w:val="22"/>
        </w:rPr>
        <w:t xml:space="preserve">No discounting cold prospects. Discount = poor positioning. Use 'first 30 days free' instead — same impact on cash, no signal damage.</w:t>
      </w:r>
    </w:p>
    <w:p>
      <w:pPr>
        <w:pStyle w:val="ListParagraph"/>
        <w:numPr>
          <w:ilvl w:val="0"/>
          <w:numId w:val="3"/>
        </w:numPr>
        <w:spacing w:after="40" w:before="40"/>
      </w:pPr>
      <w:r>
        <w:rPr>
          <w:rFonts w:ascii="Arial" w:cs="Arial" w:eastAsia="Arial" w:hAnsi="Arial"/>
          <w:sz w:val="22"/>
          <w:szCs w:val="22"/>
        </w:rPr>
        <w:t xml:space="preserve">Annual saves 2 months. Always offer annual at the upgrade conversation, not at first signup.</w:t>
      </w:r>
    </w:p>
    <w:p>
      <w:pPr>
        <w:pStyle w:val="ListParagraph"/>
        <w:numPr>
          <w:ilvl w:val="0"/>
          <w:numId w:val="3"/>
        </w:numPr>
        <w:spacing w:after="40" w:before="40"/>
      </w:pPr>
      <w:r>
        <w:rPr>
          <w:rFonts w:ascii="Arial" w:cs="Arial" w:eastAsia="Arial" w:hAnsi="Arial"/>
          <w:sz w:val="22"/>
          <w:szCs w:val="22"/>
        </w:rPr>
        <w:t xml:space="preserve">Custom pricing only above 15 admin users (Agency Pro+). No bespoke deals on Team/Scale.</w:t>
      </w:r>
    </w:p>
    <w:p>
      <w:pPr>
        <w:pStyle w:val="ListParagraph"/>
        <w:numPr>
          <w:ilvl w:val="0"/>
          <w:numId w:val="3"/>
        </w:numPr>
        <w:spacing w:after="40" w:before="40"/>
      </w:pPr>
      <w:r>
        <w:rPr>
          <w:rFonts w:ascii="Arial" w:cs="Arial" w:eastAsia="Arial" w:hAnsi="Arial"/>
          <w:sz w:val="22"/>
          <w:szCs w:val="22"/>
        </w:rPr>
        <w:t xml:space="preserve">Pricing review: quarterly. Don't change prices in the middle of a campaign.</w:t>
      </w:r>
    </w:p>
    <w:p>
      <w:pPr>
        <w:pStyle w:val="Heading2"/>
        <w:spacing w:after="140" w:before="280"/>
      </w:pPr>
      <w:r>
        <w:rPr>
          <w:rFonts w:ascii="Arial" w:cs="Arial" w:eastAsia="Arial" w:hAnsi="Arial"/>
          <w:b/>
          <w:bCs/>
          <w:color w:val="2E2E2E"/>
          <w:sz w:val="28"/>
          <w:szCs w:val="28"/>
        </w:rPr>
        <w:t xml:space="preserve">11.2 Why £89 (Scale) is the anchor</w:t>
      </w:r>
    </w:p>
    <w:p>
      <w:pPr>
        <w:pStyle w:val="ListParagraph"/>
        <w:numPr>
          <w:ilvl w:val="0"/>
          <w:numId w:val="3"/>
        </w:numPr>
        <w:spacing w:after="40" w:before="40"/>
      </w:pPr>
      <w:r>
        <w:rPr>
          <w:rFonts w:ascii="Arial" w:cs="Arial" w:eastAsia="Arial" w:hAnsi="Arial"/>
          <w:sz w:val="22"/>
          <w:szCs w:val="22"/>
        </w:rPr>
        <w:t xml:space="preserve">Tim @ Telletire signed at £89 from cold SEO traffic — proves the price point sticks at first touch.</w:t>
      </w:r>
    </w:p>
    <w:p>
      <w:pPr>
        <w:pStyle w:val="ListParagraph"/>
        <w:numPr>
          <w:ilvl w:val="0"/>
          <w:numId w:val="3"/>
        </w:numPr>
        <w:spacing w:after="40" w:before="40"/>
      </w:pPr>
      <w:r>
        <w:rPr>
          <w:rFonts w:ascii="Arial" w:cs="Arial" w:eastAsia="Arial" w:hAnsi="Arial"/>
          <w:sz w:val="22"/>
          <w:szCs w:val="22"/>
        </w:rPr>
        <w:t xml:space="preserve">£89 × 60 customers = £5,340 — over half of the £10k MRR target.</w:t>
      </w:r>
    </w:p>
    <w:p>
      <w:pPr>
        <w:pStyle w:val="ListParagraph"/>
        <w:numPr>
          <w:ilvl w:val="0"/>
          <w:numId w:val="3"/>
        </w:numPr>
        <w:spacing w:after="40" w:before="40"/>
      </w:pPr>
      <w:r>
        <w:rPr>
          <w:rFonts w:ascii="Arial" w:cs="Arial" w:eastAsia="Arial" w:hAnsi="Arial"/>
          <w:sz w:val="22"/>
          <w:szCs w:val="22"/>
        </w:rPr>
        <w:t xml:space="preserve">ICP buyer (5–25 staff accountants) has annual software budget of £2k–10k. £89/month = 0.5–4% of that. Easy approval.</w:t>
      </w:r>
    </w:p>
    <w:p>
      <w:pPr>
        <w:pStyle w:val="Heading1"/>
        <w:pageBreakBefore/>
        <w:spacing w:after="180" w:before="360"/>
      </w:pPr>
      <w:r>
        <w:rPr>
          <w:rFonts w:ascii="Arial" w:cs="Arial" w:eastAsia="Arial" w:hAnsi="Arial"/>
          <w:b/>
          <w:bCs/>
          <w:color w:val="1F4E79"/>
          <w:sz w:val="36"/>
          <w:szCs w:val="36"/>
        </w:rPr>
        <w:t xml:space="preserve">12. Tech stack and DRIs</w:t>
      </w:r>
    </w:p>
    <w:p>
      <w:pPr>
        <w:spacing w:after="80" w:before="80"/>
      </w:pPr>
      <w:r>
        <w:rPr>
          <w:rFonts w:ascii="Arial" w:cs="Arial" w:eastAsia="Arial" w:hAnsi="Arial"/>
          <w:sz w:val="22"/>
          <w:szCs w:val="22"/>
        </w:rPr>
        <w:t xml:space="preserve">Every tool has one DRI (Directly Responsible Individual). At our stage, that's Thomas for everything. As we hire, names change. Roles do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100"/>
        <w:gridCol w:w="1000"/>
        <w:gridCol w:w="38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DRI</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Cold email sending</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Instantly (4 accounts)</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$~$200/mo</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Sequence sending, warmup, deliverability</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Prospecting / data</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Apollo + LinkedIn Sales Nav</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$~$150/mo</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ICP prospect lists, contact data</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CRM (lightweight)</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HubSpot Free or Notion DB</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Pipeline tracking, deal stage, notes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Email verification</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Million Verifier</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$~$30/mo</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Bounce reduction (must run before any campaign)</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Custom tracking domain</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Cloudflare CNAME</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Deliverability — never use shared ESP tracking</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Calendar / booking</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Cal.com / Calendly</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£0–$15/mo</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Demo booking link</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Lifecycle email</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Resend / Postmark + Loops</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$~$50/mo</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Trial onboarding, drip emails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Analytics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Plausible (or GA4)</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$~$19/mo</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Page views, source attribution, signup funnel</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SEO / Rankings</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SEMrush (already in use)</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$~$120/mo</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Keyword tracking, cannibalisation diagnosis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 engagement</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Sales Nav + manual</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Already paid</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Outbound + organic posting</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Content / Blog CMS</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Next.js (in repo)</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Site lives in /Users/tc/clientenforce/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Forms (lead capture)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Native Next.js + Supabase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Self-reported source field MUST be added</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Image / OG generation</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Cloudflare Workers / Vercel OG</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Per-page OG images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Payments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Stripe (already in use)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2.9% + 20p</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Subscription + reporting</w:t>
            </w:r>
          </w:p>
        </w:tc>
      </w:tr>
      <w:tr>
        <w:trPr>
          <w:tblHeader w:val="false"/>
        </w:trPr>
        <w:tc>
          <w:tcPr>
            <w:tcW w:type="dxa" w:w="19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Trackers / planning</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This pack (Numbers/Excel)</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Thomas</w:t>
            </w:r>
          </w:p>
        </w:tc>
        <w:tc>
          <w:tcPr>
            <w:tcW w:type="dxa" w:w="3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Single source of truth for metrics</w:t>
            </w:r>
          </w:p>
        </w:tc>
      </w:tr>
    </w:tbl>
    <w:p>
      <w:pPr>
        <w:pStyle w:val="Heading2"/>
        <w:spacing w:after="140" w:before="280"/>
      </w:pPr>
      <w:r>
        <w:rPr>
          <w:rFonts w:ascii="Arial" w:cs="Arial" w:eastAsia="Arial" w:hAnsi="Arial"/>
          <w:b/>
          <w:bCs/>
          <w:color w:val="2E2E2E"/>
          <w:sz w:val="28"/>
          <w:szCs w:val="28"/>
        </w:rPr>
        <w:t xml:space="preserve">12.1 Things to add ASAP (gaps in the stack)</w:t>
      </w:r>
    </w:p>
    <w:p>
      <w:pPr>
        <w:pStyle w:val="ListParagraph"/>
        <w:numPr>
          <w:ilvl w:val="0"/>
          <w:numId w:val="2"/>
        </w:numPr>
        <w:spacing w:after="40" w:before="40"/>
      </w:pPr>
      <w:r>
        <w:rPr>
          <w:rFonts w:ascii="Arial" w:cs="Arial" w:eastAsia="Arial" w:hAnsi="Arial"/>
          <w:sz w:val="22"/>
          <w:szCs w:val="22"/>
        </w:rPr>
        <w:t xml:space="preserve">Self-reported source field on /signup. Mandatory. We can't allocate marketing budget without it. (Build this week.)</w:t>
      </w:r>
    </w:p>
    <w:p>
      <w:pPr>
        <w:pStyle w:val="ListParagraph"/>
        <w:numPr>
          <w:ilvl w:val="0"/>
          <w:numId w:val="2"/>
        </w:numPr>
        <w:spacing w:after="40" w:before="40"/>
      </w:pPr>
      <w:r>
        <w:rPr>
          <w:rFonts w:ascii="Arial" w:cs="Arial" w:eastAsia="Arial" w:hAnsi="Arial"/>
          <w:sz w:val="22"/>
          <w:szCs w:val="22"/>
        </w:rPr>
        <w:t xml:space="preserve">UTM tagging on every external link. Use one consistent schema (utm_source, utm_medium, utm_campaign).</w:t>
      </w:r>
    </w:p>
    <w:p>
      <w:pPr>
        <w:pStyle w:val="ListParagraph"/>
        <w:numPr>
          <w:ilvl w:val="0"/>
          <w:numId w:val="2"/>
        </w:numPr>
        <w:spacing w:after="40" w:before="40"/>
      </w:pPr>
      <w:r>
        <w:rPr>
          <w:rFonts w:ascii="Arial" w:cs="Arial" w:eastAsia="Arial" w:hAnsi="Arial"/>
          <w:sz w:val="22"/>
          <w:szCs w:val="22"/>
        </w:rPr>
        <w:t xml:space="preserve">HubSpot Free or Notion CRM with a single pipeline view. Without this we lose deals to follow-up gaps.</w:t>
      </w:r>
    </w:p>
    <w:p>
      <w:pPr>
        <w:pStyle w:val="ListParagraph"/>
        <w:numPr>
          <w:ilvl w:val="0"/>
          <w:numId w:val="2"/>
        </w:numPr>
        <w:spacing w:after="40" w:before="40"/>
      </w:pPr>
      <w:r>
        <w:rPr>
          <w:rFonts w:ascii="Arial" w:cs="Arial" w:eastAsia="Arial" w:hAnsi="Arial"/>
          <w:sz w:val="22"/>
          <w:szCs w:val="22"/>
        </w:rPr>
        <w:t xml:space="preserve">Calendar booking link on every page footer + email signature.</w:t>
      </w:r>
    </w:p>
    <w:p>
      <w:pPr>
        <w:pStyle w:val="ListParagraph"/>
        <w:numPr>
          <w:ilvl w:val="0"/>
          <w:numId w:val="2"/>
        </w:numPr>
        <w:spacing w:after="40" w:before="40"/>
      </w:pPr>
      <w:r>
        <w:rPr>
          <w:rFonts w:ascii="Arial" w:cs="Arial" w:eastAsia="Arial" w:hAnsi="Arial"/>
          <w:sz w:val="22"/>
          <w:szCs w:val="22"/>
        </w:rPr>
        <w:t xml:space="preserve">Lifecycle email setup (Loops or similar). Trial onboarding sequence drives 20%+ of conversion.</w:t>
      </w:r>
    </w:p>
    <w:p>
      <w:pPr>
        <w:pStyle w:val="Heading2"/>
        <w:spacing w:after="140" w:before="280"/>
      </w:pPr>
      <w:r>
        <w:rPr>
          <w:rFonts w:ascii="Arial" w:cs="Arial" w:eastAsia="Arial" w:hAnsi="Arial"/>
          <w:b/>
          <w:bCs/>
          <w:color w:val="2E2E2E"/>
          <w:sz w:val="28"/>
          <w:szCs w:val="28"/>
        </w:rPr>
        <w:t xml:space="preserve">12.2 Tools we explicitly do NOT need yet</w:t>
      </w:r>
    </w:p>
    <w:p>
      <w:pPr>
        <w:pStyle w:val="ListParagraph"/>
        <w:numPr>
          <w:ilvl w:val="0"/>
          <w:numId w:val="3"/>
        </w:numPr>
        <w:spacing w:after="40" w:before="40"/>
      </w:pPr>
      <w:r>
        <w:rPr>
          <w:rFonts w:ascii="Arial" w:cs="Arial" w:eastAsia="Arial" w:hAnsi="Arial"/>
          <w:sz w:val="22"/>
          <w:szCs w:val="22"/>
        </w:rPr>
        <w:t xml:space="preserve">Marketing automation suite (Marketo/Pardot/Eloqua). Massive overkill for our stage.</w:t>
      </w:r>
    </w:p>
    <w:p>
      <w:pPr>
        <w:pStyle w:val="ListParagraph"/>
        <w:numPr>
          <w:ilvl w:val="0"/>
          <w:numId w:val="3"/>
        </w:numPr>
        <w:spacing w:after="40" w:before="40"/>
      </w:pPr>
      <w:r>
        <w:rPr>
          <w:rFonts w:ascii="Arial" w:cs="Arial" w:eastAsia="Arial" w:hAnsi="Arial"/>
          <w:sz w:val="22"/>
          <w:szCs w:val="22"/>
        </w:rPr>
        <w:t xml:space="preserve">Bizible / Dreamdata / attribution platforms. Self-reported source is more accurate at our scale.</w:t>
      </w:r>
    </w:p>
    <w:p>
      <w:pPr>
        <w:pStyle w:val="ListParagraph"/>
        <w:numPr>
          <w:ilvl w:val="0"/>
          <w:numId w:val="3"/>
        </w:numPr>
        <w:spacing w:after="40" w:before="40"/>
      </w:pPr>
      <w:r>
        <w:rPr>
          <w:rFonts w:ascii="Arial" w:cs="Arial" w:eastAsia="Arial" w:hAnsi="Arial"/>
          <w:sz w:val="22"/>
          <w:szCs w:val="22"/>
        </w:rPr>
        <w:t xml:space="preserve">ABM tooling (Demandbase / 6sense). No — we run ABM by hand, with named lists.</w:t>
      </w:r>
    </w:p>
    <w:p>
      <w:pPr>
        <w:pStyle w:val="ListParagraph"/>
        <w:numPr>
          <w:ilvl w:val="0"/>
          <w:numId w:val="3"/>
        </w:numPr>
        <w:spacing w:after="40" w:before="40"/>
      </w:pPr>
      <w:r>
        <w:rPr>
          <w:rFonts w:ascii="Arial" w:cs="Arial" w:eastAsia="Arial" w:hAnsi="Arial"/>
          <w:sz w:val="22"/>
          <w:szCs w:val="22"/>
        </w:rPr>
        <w:t xml:space="preserve">Customer Data Platform. Stripe + Supabase + Notion is enough.</w:t>
      </w:r>
    </w:p>
    <w:p>
      <w:pPr>
        <w:pStyle w:val="ListParagraph"/>
        <w:numPr>
          <w:ilvl w:val="0"/>
          <w:numId w:val="3"/>
        </w:numPr>
        <w:spacing w:after="40" w:before="40"/>
      </w:pPr>
      <w:r>
        <w:rPr>
          <w:rFonts w:ascii="Arial" w:cs="Arial" w:eastAsia="Arial" w:hAnsi="Arial"/>
          <w:sz w:val="22"/>
          <w:szCs w:val="22"/>
        </w:rPr>
        <w:t xml:space="preserve">Paid search agency / paid social agency. Don't outsource until we've validated the channel ourselves.</w:t>
      </w:r>
    </w:p>
    <w:p>
      <w:pPr>
        <w:pStyle w:val="Heading1"/>
        <w:pageBreakBefore/>
        <w:spacing w:after="180" w:before="360"/>
      </w:pPr>
      <w:r>
        <w:rPr>
          <w:rFonts w:ascii="Arial" w:cs="Arial" w:eastAsia="Arial" w:hAnsi="Arial"/>
          <w:b/>
          <w:bCs/>
          <w:color w:val="1F4E79"/>
          <w:sz w:val="36"/>
          <w:szCs w:val="36"/>
        </w:rPr>
        <w:t xml:space="preserve">13. The path to £10,000 MRR — month by month</w:t>
      </w:r>
    </w:p>
    <w:p>
      <w:pPr>
        <w:pBdr>
          <w:left w:val="single" w:color="1F4E79" w:sz="24" w:space="8"/>
        </w:pBdr>
        <w:spacing w:after="120" w:before="120"/>
        <w:ind w:left="240"/>
      </w:pPr>
      <w:r>
        <w:rPr>
          <w:rFonts w:ascii="Arial" w:cs="Arial" w:eastAsia="Arial" w:hAnsi="Arial"/>
          <w:i/>
          <w:iCs/>
          <w:color w:val="404040"/>
          <w:sz w:val="22"/>
          <w:szCs w:val="22"/>
        </w:rPr>
        <w:t xml:space="preserve">This is the financial ramp. Doc 05 (Operating Guide) breaks it into a week-by-week execution calendar. The numbers below are the targets the operating guide is designed to hit.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00"/>
        <w:gridCol w:w="1500"/>
        <w:gridCol w:w="31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Net new paying customers</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Cumulative customers</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MRR estimate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mix (rough)</w:t>
            </w:r>
          </w:p>
        </w:tc>
      </w:tr>
      <w:tr>
        <w:trPr>
          <w:tblHeader w:val="false"/>
        </w:trPr>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May 2026 (M1)</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£200</w:t>
            </w:r>
          </w:p>
        </w:tc>
        <w:tc>
          <w:tcPr>
            <w:tcW w:type="dxa" w:w="31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 cold email + 1 LinkedIn outbound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June (M2)</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£500</w:t>
            </w:r>
          </w:p>
        </w:tc>
        <w:tc>
          <w:tcPr>
            <w:tcW w:type="dxa" w:w="31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 outbound + 1 SEO + 1 founder content</w:t>
            </w:r>
          </w:p>
        </w:tc>
      </w:tr>
      <w:tr>
        <w:trPr>
          <w:tblHeader w:val="false"/>
        </w:trPr>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July (M3)</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£1,200</w:t>
            </w:r>
          </w:p>
        </w:tc>
        <w:tc>
          <w:tcPr>
            <w:tcW w:type="dxa" w:w="31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 outbound + 3 SEO + 2 founder content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August (M4)</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£2,500</w:t>
            </w:r>
          </w:p>
        </w:tc>
        <w:tc>
          <w:tcPr>
            <w:tcW w:type="dxa" w:w="31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 outbound + 5 SEO + 4 lifecycle + 2 referral</w:t>
            </w:r>
          </w:p>
        </w:tc>
      </w:tr>
      <w:tr>
        <w:trPr>
          <w:tblHeader w:val="false"/>
        </w:trPr>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September (M5)</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25</w:t>
            </w:r>
          </w:p>
        </w:tc>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55</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£4,800</w:t>
            </w:r>
          </w:p>
        </w:tc>
        <w:tc>
          <w:tcPr>
            <w:tcW w:type="dxa" w:w="31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Outbound 5 + SEO 8 + Lifecycle 6 + Referral 4 + Partnership 2</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October (M6)</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40</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95</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£8,200</w:t>
            </w:r>
          </w:p>
        </w:tc>
        <w:tc>
          <w:tcPr>
            <w:tcW w:type="dxa" w:w="31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Same channels mature, plus Big Bet 3 (Apples to Apples) momentum</w:t>
            </w:r>
          </w:p>
        </w:tc>
      </w:tr>
      <w:tr>
        <w:trPr>
          <w:tblHeader w:val="false"/>
        </w:trPr>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November (M7) — TARGET</w:t>
            </w:r>
          </w:p>
        </w:tc>
        <w:tc>
          <w:tcPr>
            <w:tcW w:type="dxa" w:w="2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17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115</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£10,000+</w:t>
            </w:r>
          </w:p>
        </w:tc>
        <w:tc>
          <w:tcPr>
            <w:tcW w:type="dxa" w:w="31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All channels at steady state</w:t>
            </w:r>
          </w:p>
        </w:tc>
      </w:tr>
    </w:tbl>
    <w:p>
      <w:pPr>
        <w:pStyle w:val="Heading2"/>
        <w:spacing w:after="140" w:before="280"/>
      </w:pPr>
      <w:r>
        <w:rPr>
          <w:rFonts w:ascii="Arial" w:cs="Arial" w:eastAsia="Arial" w:hAnsi="Arial"/>
          <w:b/>
          <w:bCs/>
          <w:color w:val="2E2E2E"/>
          <w:sz w:val="28"/>
          <w:szCs w:val="28"/>
        </w:rPr>
        <w:t xml:space="preserve">13.1 Risks to the £10k path</w:t>
      </w:r>
    </w:p>
    <w:p>
      <w:pPr>
        <w:pStyle w:val="ListParagraph"/>
        <w:numPr>
          <w:ilvl w:val="0"/>
          <w:numId w:val="3"/>
        </w:numPr>
        <w:spacing w:after="40" w:before="40"/>
      </w:pPr>
      <w:r>
        <w:rPr>
          <w:rFonts w:ascii="Arial" w:cs="Arial" w:eastAsia="Arial" w:hAnsi="Arial"/>
          <w:sz w:val="22"/>
          <w:szCs w:val="22"/>
        </w:rPr>
        <w:t xml:space="preserve">Cannibalisation fix takes 60–90 days to recover rankings. Plan for delayed SEO upside.</w:t>
      </w:r>
    </w:p>
    <w:p>
      <w:pPr>
        <w:pStyle w:val="ListParagraph"/>
        <w:numPr>
          <w:ilvl w:val="0"/>
          <w:numId w:val="3"/>
        </w:numPr>
        <w:spacing w:after="40" w:before="40"/>
      </w:pPr>
      <w:r>
        <w:rPr>
          <w:rFonts w:ascii="Arial" w:cs="Arial" w:eastAsia="Arial" w:hAnsi="Arial"/>
          <w:sz w:val="22"/>
          <w:szCs w:val="22"/>
        </w:rPr>
        <w:t xml:space="preserve">Cold email reply rates depend heavily on list quality. Bad lists = bad numbers regardless of copy.</w:t>
      </w:r>
    </w:p>
    <w:p>
      <w:pPr>
        <w:pStyle w:val="ListParagraph"/>
        <w:numPr>
          <w:ilvl w:val="0"/>
          <w:numId w:val="3"/>
        </w:numPr>
        <w:spacing w:after="40" w:before="40"/>
      </w:pPr>
      <w:r>
        <w:rPr>
          <w:rFonts w:ascii="Arial" w:cs="Arial" w:eastAsia="Arial" w:hAnsi="Arial"/>
          <w:sz w:val="22"/>
          <w:szCs w:val="22"/>
        </w:rPr>
        <w:t xml:space="preserve">Founder bandwidth — 27 hrs/wk on marketing is realistic only if product issues don't bleed in.</w:t>
      </w:r>
    </w:p>
    <w:p>
      <w:pPr>
        <w:pStyle w:val="ListParagraph"/>
        <w:numPr>
          <w:ilvl w:val="0"/>
          <w:numId w:val="3"/>
        </w:numPr>
        <w:spacing w:after="40" w:before="40"/>
      </w:pPr>
      <w:r>
        <w:rPr>
          <w:rFonts w:ascii="Arial" w:cs="Arial" w:eastAsia="Arial" w:hAnsi="Arial"/>
          <w:sz w:val="22"/>
          <w:szCs w:val="22"/>
        </w:rPr>
        <w:t xml:space="preserve">Churn assumption: &lt;5% monthly. If churn is higher, the cumulative target moves.</w:t>
      </w:r>
    </w:p>
    <w:p>
      <w:pPr>
        <w:pStyle w:val="ListParagraph"/>
        <w:numPr>
          <w:ilvl w:val="0"/>
          <w:numId w:val="3"/>
        </w:numPr>
        <w:spacing w:after="40" w:before="40"/>
      </w:pPr>
      <w:r>
        <w:rPr>
          <w:rFonts w:ascii="Arial" w:cs="Arial" w:eastAsia="Arial" w:hAnsi="Arial"/>
          <w:sz w:val="22"/>
          <w:szCs w:val="22"/>
        </w:rPr>
        <w:t xml:space="preserve">South African ZAR conversion if FICA-vertical wins lots of customers (price localisation may be needed).</w:t>
      </w:r>
    </w:p>
    <w:p>
      <w:pPr>
        <w:pStyle w:val="Heading2"/>
        <w:spacing w:after="140" w:before="280"/>
      </w:pPr>
      <w:r>
        <w:rPr>
          <w:rFonts w:ascii="Arial" w:cs="Arial" w:eastAsia="Arial" w:hAnsi="Arial"/>
          <w:b/>
          <w:bCs/>
          <w:color w:val="2E2E2E"/>
          <w:sz w:val="28"/>
          <w:szCs w:val="28"/>
        </w:rPr>
        <w:t xml:space="preserve">13.2 The bigger £25k+ MRR play (post month 7)</w:t>
      </w:r>
    </w:p>
    <w:p>
      <w:pPr>
        <w:spacing w:after="80" w:before="80"/>
      </w:pPr>
      <w:r>
        <w:rPr>
          <w:rFonts w:ascii="Arial" w:cs="Arial" w:eastAsia="Arial" w:hAnsi="Arial"/>
          <w:sz w:val="22"/>
          <w:szCs w:val="22"/>
        </w:rPr>
        <w:t xml:space="preserve">If we hit £10k by M7, the next phase is concentration: double down on whichever 2 channels delivered the most paid revenue, kill the bottom 2. Add a paid search budget cautiously. Begin partner integration with one of TaxDome/Karbon/Clio. Hire the first marketing role (a content/SEO operator, not a generalist).</w:t>
      </w:r>
    </w:p>
    <w:p>
      <w:pPr>
        <w:pStyle w:val="Heading1"/>
        <w:pageBreakBefore/>
        <w:spacing w:after="180" w:before="360"/>
      </w:pPr>
      <w:r>
        <w:rPr>
          <w:rFonts w:ascii="Arial" w:cs="Arial" w:eastAsia="Arial" w:hAnsi="Arial"/>
          <w:b/>
          <w:bCs/>
          <w:color w:val="1F4E79"/>
          <w:sz w:val="36"/>
          <w:szCs w:val="36"/>
        </w:rPr>
        <w:t xml:space="preserve">14. The one-paragraph summary</w:t>
      </w:r>
    </w:p>
    <w:p>
      <w:pPr>
        <w:pBdr>
          <w:left w:val="single" w:color="1F4E79" w:sz="24" w:space="8"/>
        </w:pBdr>
        <w:spacing w:after="120" w:before="120"/>
        <w:ind w:left="240"/>
      </w:pPr>
      <w:r>
        <w:rPr>
          <w:rFonts w:ascii="Arial" w:cs="Arial" w:eastAsia="Arial" w:hAnsi="Arial"/>
          <w:i/>
          <w:iCs/>
          <w:color w:val="404040"/>
          <w:sz w:val="22"/>
          <w:szCs w:val="22"/>
        </w:rPr>
        <w:t xml:space="preserve">ClientEnforce is enforced client intake software for regulated professional-services firms. We win by being founder-led, vertically specific, and unmissable to a small set of accountants, lawyers, agencies and multi-location operators. The plan to £10,000 MRR by month 7 stacks 7 channels in priority order: fix SEO cannibalisation first, then run a tight cold email engine across 4 inboxes, build founder LinkedIn presence with 5 posts a week and 10 daily ICP comments, ship 3 big-bet campaigns (Stop Chasing, Tim @ Telletire case study, Apples to Apples), and convert trial users with a lifecycle email sequence. Anchor price is £89/month (Scale tier — proven on cold traffic). Target mix: 30 Team + 60 Scale + 25 Agency Pro = £9,935 MRR. Owner of every channel: Thomas. Single source of truth for numbers: this document plus the 5 supporting docs.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center"/>
    </w:pPr>
    <w:r>
      <w:rPr>
        <w:rFonts w:ascii="Arial" w:cs="Arial" w:eastAsia="Arial" w:hAnsi="Arial"/>
        <w:color w:val="808080"/>
        <w:sz w:val="18"/>
        <w:szCs w:val="18"/>
      </w:rPr>
      <w:t xml:space="preserve">10 May 2026</w:t>
    </w:r>
    <w:r>
      <w:rPr>
        <w:rFonts w:ascii="Arial" w:cs="Arial" w:eastAsia="Arial" w:hAnsi="Arial"/>
        <w:sz w:val="18"/>
        <w:szCs w:val="18"/>
      </w:rPr>
      <w:t xml:space="preserve">	</w:t>
    </w: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ClientEnforce — Master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ClientEnforce Master Marketing Plan</dc:title>
  <dc:creator>ClientEnforce</dc:creator>
  <dc:description>Strategy, ICPs, positioning, channels, plans/pricing, tech stack, DRIs and the path to £10k MRR.</dc:description>
  <cp:lastModifiedBy>Un-named</cp:lastModifiedBy>
  <cp:revision>1</cp:revision>
  <dcterms:created xsi:type="dcterms:W3CDTF">2026-05-10T12:03:49.190Z</dcterms:created>
  <dcterms:modified xsi:type="dcterms:W3CDTF">2026-05-10T12:03:49.191Z</dcterms:modified>
</cp:coreProperties>
</file>

<file path=docProps/custom.xml><?xml version="1.0" encoding="utf-8"?>
<Properties xmlns="http://schemas.openxmlformats.org/officeDocument/2006/custom-properties" xmlns:vt="http://schemas.openxmlformats.org/officeDocument/2006/docPropsVTypes"/>
</file>