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</w:p>
    <w:p>
      <w:pPr>
        <w:jc w:val="center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  <w:lang w:eastAsia="sr-Latn-RS"/>
        </w:rPr>
        <w:drawing>
          <wp:inline distT="0" distB="0" distL="114300" distR="114300">
            <wp:extent cx="2428875" cy="1980565"/>
            <wp:effectExtent l="0" t="0" r="9525" b="635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Jesenji semestar, 20</w:t>
      </w:r>
      <w:r>
        <w:rPr>
          <w:rFonts w:hint="default" w:cs="Arial" w:asciiTheme="minorAscii" w:hAnsiTheme="minorAscii"/>
          <w:i/>
          <w:sz w:val="32"/>
          <w:szCs w:val="32"/>
          <w:lang w:val="en"/>
        </w:rPr>
        <w:t>2</w:t>
      </w:r>
      <w:r>
        <w:rPr>
          <w:rFonts w:hint="default" w:cs="Arial" w:asciiTheme="minorAscii" w:hAnsiTheme="minorAscii"/>
          <w:i/>
          <w:sz w:val="32"/>
          <w:szCs w:val="32"/>
        </w:rPr>
        <w:t>1/22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>PREDMET: SE322 INŽENJERSTVO ZAHTEVA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  <w:r>
        <w:rPr>
          <w:rFonts w:hint="default" w:cs="Arial" w:asciiTheme="minorAscii" w:hAnsiTheme="minorAscii"/>
          <w:i/>
          <w:sz w:val="32"/>
          <w:szCs w:val="32"/>
        </w:rPr>
        <w:t xml:space="preserve">TEMA: </w:t>
      </w:r>
    </w:p>
    <w:p>
      <w:pPr>
        <w:keepNext w:val="0"/>
        <w:keepLines w:val="0"/>
        <w:widowControl/>
        <w:suppressLineNumbers w:val="0"/>
        <w:jc w:val="center"/>
        <w:rPr>
          <w:rFonts w:hint="default" w:cs="Arial" w:asciiTheme="minorAscii" w:hAnsiTheme="minorAscii"/>
          <w:b/>
          <w:bCs/>
          <w:sz w:val="28"/>
          <w:szCs w:val="28"/>
        </w:rPr>
      </w:pPr>
      <w:r>
        <w:rPr>
          <w:rFonts w:hint="default" w:eastAsia="SimSun" w:cs="Arial" w:asciiTheme="minorAscii" w:hAnsiTheme="minorAscii"/>
          <w:b/>
          <w:bCs/>
          <w:kern w:val="0"/>
          <w:sz w:val="28"/>
          <w:szCs w:val="28"/>
          <w:lang w:val="en-US" w:eastAsia="zh-CN" w:bidi="ar"/>
        </w:rPr>
        <w:t>Poslovni sistem lanca restorana za prodaju i pripremu brze hrane</w:t>
      </w: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i/>
          <w:sz w:val="32"/>
          <w:szCs w:val="32"/>
        </w:rPr>
      </w:pPr>
    </w:p>
    <w:p>
      <w:pPr>
        <w:pStyle w:val="7"/>
        <w:spacing w:line="480" w:lineRule="auto"/>
        <w:jc w:val="center"/>
        <w:rPr>
          <w:rFonts w:hint="default" w:cs="Arial" w:asciiTheme="minorAscii" w:hAnsiTheme="minorAscii"/>
          <w:b/>
          <w:sz w:val="48"/>
          <w:szCs w:val="48"/>
        </w:rPr>
      </w:pPr>
      <w:r>
        <w:rPr>
          <w:rFonts w:hint="default" w:cs="Arial" w:asciiTheme="minorAscii" w:hAnsiTheme="minorAscii"/>
          <w:sz w:val="48"/>
          <w:szCs w:val="48"/>
        </w:rPr>
        <w:t>Domaći zadatak:</w:t>
      </w:r>
      <w:r>
        <w:rPr>
          <w:rFonts w:hint="default" w:cs="Arial" w:asciiTheme="minorAscii" w:hAnsiTheme="minorAscii"/>
          <w:b/>
          <w:sz w:val="48"/>
          <w:szCs w:val="48"/>
        </w:rPr>
        <w:t xml:space="preserve"> </w:t>
      </w:r>
      <w:r>
        <w:rPr>
          <w:rFonts w:hint="default" w:cs="Arial" w:asciiTheme="minorAscii" w:hAnsiTheme="minorAscii"/>
          <w:b/>
          <w:sz w:val="48"/>
          <w:szCs w:val="48"/>
        </w:rPr>
        <w:t>4</w:t>
      </w: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rPr>
          <w:rFonts w:hint="default" w:cs="Arial" w:asciiTheme="minorAscii" w:hAnsiTheme="minorAscii"/>
          <w:b/>
        </w:rPr>
      </w:pP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Ime i prezime: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Dušan Stanković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Broj indeksa: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  <w:lang w:val="en"/>
        </w:rPr>
        <w:t>3</w:t>
      </w:r>
      <w:r>
        <w:rPr>
          <w:rFonts w:hint="default" w:cs="Arial" w:asciiTheme="minorAscii" w:hAnsiTheme="minorAscii"/>
          <w:b/>
          <w:sz w:val="28"/>
        </w:rPr>
        <w:t>611</w:t>
      </w:r>
    </w:p>
    <w:p>
      <w:pPr>
        <w:pStyle w:val="7"/>
        <w:spacing w:line="360" w:lineRule="auto"/>
        <w:rPr>
          <w:rFonts w:hint="default" w:cs="Arial" w:asciiTheme="minorAscii" w:hAnsiTheme="minorAscii"/>
          <w:b/>
          <w:sz w:val="28"/>
        </w:rPr>
      </w:pPr>
      <w:r>
        <w:rPr>
          <w:rFonts w:hint="default" w:cs="Arial" w:asciiTheme="minorAscii" w:hAnsiTheme="minorAscii"/>
          <w:sz w:val="28"/>
        </w:rPr>
        <w:t>Datum izrade:</w:t>
      </w:r>
      <w:r>
        <w:rPr>
          <w:rFonts w:hint="default" w:cs="Arial" w:asciiTheme="minorAscii" w:hAnsiTheme="minorAscii"/>
          <w:b/>
          <w:sz w:val="28"/>
        </w:rPr>
        <w:tab/>
      </w:r>
      <w:r>
        <w:rPr>
          <w:rFonts w:hint="default" w:cs="Arial" w:asciiTheme="minorAscii" w:hAnsiTheme="minorAscii"/>
          <w:b/>
          <w:sz w:val="28"/>
        </w:rPr>
        <w:t>31</w:t>
      </w:r>
      <w:r>
        <w:rPr>
          <w:rFonts w:hint="default" w:cs="Arial" w:asciiTheme="minorAscii" w:hAnsiTheme="minorAscii"/>
          <w:b/>
          <w:sz w:val="28"/>
        </w:rPr>
        <w:t>.10.2021.</w:t>
      </w:r>
    </w:p>
    <w:p>
      <w:pPr>
        <w:pStyle w:val="7"/>
        <w:rPr>
          <w:rFonts w:hint="default" w:asciiTheme="minorAscii" w:hAnsiTheme="minorAscii"/>
        </w:rPr>
      </w:pPr>
    </w:p>
    <w:p>
      <w:pPr>
        <w:pStyle w:val="7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br w:type="page"/>
      </w:r>
    </w:p>
    <w:p>
      <w:pPr>
        <w:pStyle w:val="2"/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Tekst domaćeg zadatka: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</w:rPr>
      </w:pPr>
      <w:r>
        <w:rPr>
          <w:rFonts w:hint="default" w:eastAsia="SimSun" w:cs="SimSun" w:asciiTheme="minorAscii" w:hAnsiTheme="minorAscii"/>
          <w:kern w:val="0"/>
          <w:sz w:val="24"/>
          <w:szCs w:val="24"/>
          <w:lang w:val="en-US" w:eastAsia="zh-CN" w:bidi="ar"/>
        </w:rPr>
        <w:t>Za sistem koji ste dobili za DZ01 identifikujte različite klase korisnika, odredite koje su favorizovane i na osnovu toga kreirajte profile zainteresovanih strana.</w:t>
      </w:r>
    </w:p>
    <w:p>
      <w:pPr>
        <w:rPr>
          <w:rFonts w:hint="default" w:cs="Arial" w:asciiTheme="minorAscii" w:hAnsiTheme="minorAscii"/>
        </w:rPr>
      </w:pPr>
    </w:p>
    <w:p>
      <w:pPr>
        <w:pStyle w:val="2"/>
        <w:rPr>
          <w:rFonts w:hint="default" w:cs="Arial" w:asciiTheme="minorAscii" w:hAnsiTheme="minorAscii"/>
        </w:rPr>
      </w:pPr>
      <w:r>
        <w:rPr>
          <w:rFonts w:hint="default" w:cs="Arial" w:asciiTheme="minorAscii" w:hAnsiTheme="minorAscii"/>
        </w:rPr>
        <w:t>Rešenje zadatka:</w:t>
      </w:r>
    </w:p>
    <w:tbl>
      <w:tblPr>
        <w:tblStyle w:val="9"/>
        <w:tblW w:w="95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649"/>
        <w:gridCol w:w="1980"/>
        <w:gridCol w:w="2070"/>
        <w:gridCol w:w="18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</w:pPr>
            <w:bookmarkStart w:id="0" w:name="_Hlk18746358"/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  <w:t>stejkholder</w:t>
            </w:r>
          </w:p>
        </w:tc>
        <w:tc>
          <w:tcPr>
            <w:tcW w:w="1649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  <w:t>Glavna vrednost</w:t>
            </w:r>
          </w:p>
        </w:tc>
        <w:tc>
          <w:tcPr>
            <w:tcW w:w="198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  <w:t>Stavovi</w:t>
            </w:r>
          </w:p>
        </w:tc>
        <w:tc>
          <w:tcPr>
            <w:tcW w:w="207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  <w:t>Glavni interesi</w:t>
            </w:r>
          </w:p>
        </w:tc>
        <w:tc>
          <w:tcPr>
            <w:tcW w:w="1890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  <w:t>Ograničenja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en"/>
              </w:rPr>
            </w:pPr>
            <w:bookmarkStart w:id="1" w:name="_GoBack"/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en"/>
              </w:rPr>
              <w:t>Kondukter</w:t>
            </w:r>
            <w:bookmarkEnd w:id="1"/>
          </w:p>
        </w:tc>
        <w:tc>
          <w:tcPr>
            <w:tcW w:w="1649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Povećana sigurnost na poslu. Manje posla generalno</w:t>
            </w:r>
          </w:p>
        </w:tc>
        <w:tc>
          <w:tcPr>
            <w:tcW w:w="198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Strahuju od pandemije. Nadaju se posle pandemije nece doći do nedostatka potrebe za njihovim zanimanjem.</w:t>
            </w:r>
          </w:p>
        </w:tc>
        <w:tc>
          <w:tcPr>
            <w:tcW w:w="207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Jasan interfejs za proveru karata.</w:t>
            </w:r>
          </w:p>
        </w:tc>
        <w:tc>
          <w:tcPr>
            <w:tcW w:w="189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Ne sme biti čekanja kod provera kupljenih karata.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en"/>
              </w:rPr>
              <w:t>Vozač</w:t>
            </w:r>
          </w:p>
        </w:tc>
        <w:tc>
          <w:tcPr>
            <w:tcW w:w="1649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Smanjenje jedne funkcije koju moraju obavljati u slučajevima međugradskog prevoza.</w:t>
            </w:r>
          </w:p>
        </w:tc>
        <w:tc>
          <w:tcPr>
            <w:tcW w:w="1980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Strahuju od pandemije. Vozači međugradskog prevoza su već duže vreme nezadovoljni od kada su počeli da vrše dužnosti konduktera.</w:t>
            </w:r>
          </w:p>
        </w:tc>
        <w:tc>
          <w:tcPr>
            <w:tcW w:w="2070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Jasan interfejs za proveru karata.</w:t>
            </w:r>
          </w:p>
        </w:tc>
        <w:tc>
          <w:tcPr>
            <w:tcW w:w="1890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Ne sme biti čekanja kod provera kupljenih i rezervisanih karata.</w:t>
            </w:r>
          </w:p>
        </w:tc>
      </w:tr>
      <w:tr>
        <w:tc>
          <w:tcPr>
            <w:tcW w:w="1951" w:type="dxa"/>
            <w:tcBorders>
              <w:right w:val="single" w:color="7E7E7E" w:themeColor="text1" w:themeTint="80" w:sz="4" w:space="0"/>
              <w:insideV w:val="single" w:sz="4" w:space="0"/>
            </w:tcBorders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sr-Latn-RS"/>
              </w:rPr>
              <w:t>Finansijska služba</w:t>
            </w:r>
          </w:p>
        </w:tc>
        <w:tc>
          <w:tcPr>
            <w:tcW w:w="1649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Automatski generisani iveštaji o kupovini karata bez manuelnog akumuliranja podataka iz različitih autobusa.</w:t>
            </w:r>
          </w:p>
        </w:tc>
        <w:tc>
          <w:tcPr>
            <w:tcW w:w="198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Repetativan posao ručnog unošenja podataka je već mnogo puta doveo do netačnih izveštaja.</w:t>
            </w:r>
          </w:p>
        </w:tc>
        <w:tc>
          <w:tcPr>
            <w:tcW w:w="207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Jasan uvid u cirkulaciju putnika.</w:t>
            </w:r>
          </w:p>
        </w:tc>
        <w:tc>
          <w:tcPr>
            <w:tcW w:w="1890" w:type="dxa"/>
            <w:shd w:val="clear" w:color="auto" w:fill="F1F1F1" w:themeFill="background1" w:themeFillShade="F2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Sve novčane transakcije moraju biti evidentirane.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3" w:hRule="atLeast"/>
        </w:trPr>
        <w:tc>
          <w:tcPr>
            <w:tcW w:w="1951" w:type="dxa"/>
            <w:tcBorders>
              <w:right w:val="single" w:color="7E7E7E" w:themeColor="text1" w:themeTint="80" w:sz="4" w:space="0"/>
              <w:insideV w:val="single" w:sz="4" w:space="0"/>
            </w:tcBorders>
          </w:tcPr>
          <w:p>
            <w:pP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b/>
                <w:bCs/>
                <w:caps/>
                <w:sz w:val="20"/>
                <w:szCs w:val="22"/>
                <w:lang w:val="en"/>
              </w:rPr>
              <w:t>Putnik</w:t>
            </w:r>
          </w:p>
        </w:tc>
        <w:tc>
          <w:tcPr>
            <w:tcW w:w="1649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Povećana sigurnost.</w:t>
            </w:r>
          </w:p>
        </w:tc>
        <w:tc>
          <w:tcPr>
            <w:tcW w:w="1980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Strahuju od pandemije. Mnogi ne žele da koriste gradski prevoz.</w:t>
            </w:r>
          </w:p>
        </w:tc>
        <w:tc>
          <w:tcPr>
            <w:tcW w:w="2070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Raznovrsnost metoda plaćanja. Pouzdanost.</w:t>
            </w:r>
          </w:p>
        </w:tc>
        <w:tc>
          <w:tcPr>
            <w:tcW w:w="1890" w:type="dxa"/>
          </w:tcPr>
          <w:p>
            <w:pP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2"/>
                <w:lang w:val="en"/>
              </w:rPr>
              <w:t>Red vožnje mora biti ažuran.</w:t>
            </w:r>
          </w:p>
        </w:tc>
      </w:tr>
      <w:bookmarkEnd w:id="0"/>
    </w:tbl>
    <w:p/>
    <w:sectPr>
      <w:headerReference r:id="rId5" w:type="default"/>
      <w:footerReference r:id="rId6" w:type="default"/>
      <w:pgSz w:w="11906" w:h="16838"/>
      <w:pgMar w:top="1417" w:right="1417" w:bottom="1417" w:left="1417" w:header="284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</w:rPr>
      <w:t>2</w:t>
    </w:r>
    <w:r>
      <w:rPr>
        <w:rFonts w:ascii="Arial" w:hAnsi="Arial" w:cs="Arial"/>
      </w:rPr>
      <w:fldChar w:fldCharType="end"/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0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31"/>
      <w:gridCol w:w="4531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4531" w:type="dxa"/>
          <w:shd w:val="clear" w:color="auto" w:fill="auto"/>
          <w:noWrap w:val="0"/>
          <w:vAlign w:val="top"/>
        </w:tcPr>
        <w:p>
          <w:pPr>
            <w:pStyle w:val="6"/>
            <w:rPr>
              <w:rFonts w:ascii="Arial" w:hAnsi="Arial" w:cs="Arial"/>
            </w:rPr>
          </w:pPr>
          <w:r>
            <w:rPr>
              <w:rFonts w:ascii="Arial" w:hAnsi="Arial" w:cs="Arial"/>
              <w:lang w:eastAsia="sr-Latn-RS"/>
            </w:rPr>
            <w:drawing>
              <wp:inline distT="0" distB="0" distL="114300" distR="114300">
                <wp:extent cx="1820545" cy="495300"/>
                <wp:effectExtent l="0" t="0" r="8255" b="0"/>
                <wp:docPr id="4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6" descr="LOGO_horizontal_beli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054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noWrap w:val="0"/>
          <w:vAlign w:val="center"/>
        </w:tcPr>
        <w:p>
          <w:pPr>
            <w:pStyle w:val="6"/>
            <w:wordWrap w:val="0"/>
            <w:jc w:val="right"/>
            <w:rPr>
              <w:rFonts w:hint="default" w:ascii="Arial" w:hAnsi="Arial" w:cs="Arial"/>
            </w:rPr>
          </w:pPr>
          <w:r>
            <w:rPr>
              <w:rFonts w:ascii="Arial" w:hAnsi="Arial" w:cs="Arial"/>
            </w:rPr>
            <w:t>SE</w:t>
          </w:r>
          <w:r>
            <w:rPr>
              <w:rFonts w:hint="default"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>
            <w:rPr>
              <w:rFonts w:hint="default" w:ascii="Arial" w:hAnsi="Arial" w:cs="Arial"/>
            </w:rPr>
            <w:t>Inženjerstvo zahteva</w:t>
          </w:r>
        </w:p>
        <w:p>
          <w:pPr>
            <w:pStyle w:val="6"/>
            <w:jc w:val="right"/>
            <w:rPr>
              <w:rFonts w:ascii="Arial" w:hAnsi="Arial" w:cs="Arial"/>
            </w:rPr>
          </w:pPr>
          <w:r>
            <w:rPr>
              <w:rFonts w:hint="default" w:ascii="Arial" w:hAnsi="Arial" w:cs="Arial"/>
            </w:rPr>
            <w:t>Dušan Stanković 3611</w:t>
          </w:r>
          <w:r>
            <w:rPr>
              <w:rStyle w:val="8"/>
              <w:rFonts w:ascii="Arial" w:hAnsi="Arial" w:cs="Arial"/>
            </w:rPr>
            <w:t xml:space="preserve"> </w:t>
          </w:r>
        </w:p>
      </w:tc>
    </w:tr>
  </w:tbl>
  <w:p>
    <w:pPr>
      <w:pStyle w:val="7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5E95F76"/>
    <w:rsid w:val="8A77089D"/>
    <w:rsid w:val="F5E9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 w:cs="Times New Roman"/>
      <w:color w:val="000000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6">
    <w:name w:val="header"/>
    <w:basedOn w:val="1"/>
    <w:unhideWhenUsed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No Spacing"/>
    <w:qFormat/>
    <w:uiPriority w:val="1"/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character" w:styleId="8">
    <w:name w:val="Placeholder Text"/>
    <w:semiHidden/>
    <w:qFormat/>
    <w:uiPriority w:val="99"/>
    <w:rPr>
      <w:color w:val="808080"/>
    </w:rPr>
  </w:style>
  <w:style w:type="table" w:customStyle="1" w:styleId="9">
    <w:name w:val="Plain Table 3"/>
    <w:basedOn w:val="4"/>
    <w:qFormat/>
    <w:uiPriority w:val="43"/>
    <w:rPr>
      <w:rFonts w:eastAsiaTheme="minorHAnsi"/>
      <w:sz w:val="22"/>
      <w:szCs w:val="22"/>
    </w:r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2021-10-31T22:09:00Z</dcterms:created>
  <dc:creator>du</dc:creator>
  <cp:lastModifiedBy>du</cp:lastModifiedBy>
  <dcterms:modified xsi:type="dcterms:W3CDTF">2021-10-31T23:17:02Z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