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351026518382502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4794813098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