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Credits</w:t>
      </w:r>
    </w:p>
    <w:p>
      <w:pPr>
        <w:pStyle w:val="Author"/>
      </w:pPr>
      <w:r>
        <w:t xml:space="preserve">Tobias</w:t>
      </w:r>
      <w:r>
        <w:t xml:space="preserve"> </w:t>
      </w:r>
      <w:r>
        <w:t xml:space="preserve">Jost</w:t>
      </w:r>
    </w:p>
    <w:p>
      <w:pPr>
        <w:pStyle w:val="Date"/>
      </w:pPr>
      <w:r>
        <w:t xml:space="preserve">27/9/2021</w:t>
      </w:r>
    </w:p>
    <w:p>
      <w:pPr>
        <w:numPr>
          <w:ilvl w:val="0"/>
          <w:numId w:val="1001"/>
        </w:numPr>
      </w:pPr>
      <w:r>
        <w:t xml:space="preserve">(</w:t>
      </w:r>
      <w:r>
        <w:t xml:space="preserve">“SCHUMPETER AND KEYNES”</w:t>
      </w:r>
      <w:r>
        <w:t xml:space="preserve"> </w:t>
      </w:r>
      <w:r>
        <w:t xml:space="preserve">1951)</w:t>
      </w:r>
      <w:r>
        <w:t xml:space="preserve">I need to better understand what this is about</w:t>
      </w:r>
    </w:p>
    <w:p>
      <w:pPr>
        <w:numPr>
          <w:ilvl w:val="0"/>
          <w:numId w:val="1001"/>
        </w:numPr>
      </w:pPr>
      <w:r>
        <w:t xml:space="preserve">e kommen dadurch zustande, dass der „first mover" als erster auf dem entsprechenden Auslandsmarkt präsent und</w:t>
      </w:r>
    </w:p>
    <w:p>
      <w:pPr>
        <w:numPr>
          <w:ilvl w:val="0"/>
          <w:numId w:val="1000"/>
        </w:numPr>
        <w:pStyle w:val="Heading1"/>
      </w:pPr>
      <w:bookmarkStart w:id="20" w:name="jhkljkhjklhklj"/>
      <w:r>
        <w:t xml:space="preserve">jhkljkhjklhklj</w:t>
      </w:r>
      <w:bookmarkEnd w:id="20"/>
    </w:p>
    <w:p>
      <w:pPr>
        <w:numPr>
          <w:ilvl w:val="0"/>
          <w:numId w:val="1001"/>
        </w:numPr>
      </w:pPr>
      <w:r>
        <w:t xml:space="preserve">damit sichtbar ist, was für gewöhnlich in Imagevorteilen resultiert. Darüber hinaus kann sich der „first mover" Wissensvorteile gegenüber seinen Konkurrenten verschaffen – schließlich ist er der erste, der Erfahrungen auf dem entsprechenden Auslandsmarkt sammelt. So kann er sich beispielsweise als erster an die Bedürfnisse der Kunden vor Ort anpassen und enge Beziehungen zu diesen aufbauen. Gleiches gilt für die Beziehungen zu weiteren Stakeholdern, mit denen er sich vor Ort vernetzt</w:t>
      </w:r>
      <w:hyperlink r:id="rId21">
        <w:r>
          <w:rPr>
            <w:rStyle w:val="Hyperlink"/>
          </w:rPr>
          <w:t xml:space="preserve">[1]</w:t>
        </w:r>
      </w:hyperlink>
      <w:r>
        <w:t xml:space="preserve">. Auf diese Weise gelingt es dem „first mover" oftmals, sich stark auf dem entsprechenden Auslandsmarkt zu positionieren und Markteintrittsbarrieren für seine</w:t>
      </w:r>
    </w:p>
    <w:bookmarkStart w:id="22" w:name="tobi"/>
    <w:p>
      <w:pPr>
        <w:pStyle w:val="Heading2"/>
      </w:pPr>
      <w:r>
        <w:t xml:space="preserve">TOBI</w:t>
      </w:r>
    </w:p>
    <w:p>
      <w:pPr>
        <w:pStyle w:val="FirstParagraph"/>
      </w:pPr>
      <w:r>
        <w:t xml:space="preserve">e kommen dadurch zustande, dass der „first mover" als erster auf dem entsprechenden Auslandsmarkt präsent und damit sichtbar ist, was für gewöhnlich in Imagevorteilen resultiert. Darüber hinaus kann sich der „first mover" Wissensvorteile gegenüber seinen Konkurrenten verschaffen – schließlich ist er der erste, der Erfahrungen auf dem entsprechenden Auslandsmarkt sammelt. So kann er sich beispielsweise als erster an die Bedürfnisse der Kunden vor Ort anpassen und enge Beziehungen zu diesen aufbauen. Gleiches gilt für die Beziehungen zu weiteren Stakeholdern, mit denen er sich vor Ort vernetzt</w:t>
      </w:r>
      <w:hyperlink r:id="rId21">
        <w:r>
          <w:rPr>
            <w:rStyle w:val="Hyperlink"/>
          </w:rPr>
          <w:t xml:space="preserve">[1]</w:t>
        </w:r>
      </w:hyperlink>
      <w:r>
        <w:t xml:space="preserve">. Auf diese Weise gelingt es dem „first mover" oftmals, sich stark auf dem entsprechenden Auslandsmarkt zu positionieren und Markteintrittsbarrieren für seine</w:t>
      </w:r>
    </w:p>
    <w:bookmarkEnd w:id="22"/>
    <w:bookmarkStart w:id="23" w:name="and-now"/>
    <w:p>
      <w:pPr>
        <w:pStyle w:val="Heading2"/>
      </w:pPr>
      <w:r>
        <w:t xml:space="preserve">And now?</w:t>
      </w:r>
    </w:p>
    <w:p>
      <w:pPr>
        <w:numPr>
          <w:ilvl w:val="0"/>
          <w:numId w:val="1002"/>
        </w:numPr>
        <w:pStyle w:val="Compact"/>
      </w:pPr>
      <w:r>
        <w:t xml:space="preserve">And now</w:t>
      </w:r>
    </w:p>
    <w:p>
      <w:pPr>
        <w:numPr>
          <w:ilvl w:val="0"/>
          <w:numId w:val="1002"/>
        </w:numPr>
        <w:pStyle w:val="Compact"/>
      </w:pPr>
      <w:r>
        <w:t xml:space="preserve">Bullet 2</w:t>
      </w:r>
    </w:p>
    <w:p>
      <w:pPr>
        <w:numPr>
          <w:ilvl w:val="0"/>
          <w:numId w:val="1002"/>
        </w:numPr>
        <w:pStyle w:val="Compact"/>
      </w:pPr>
      <w:r>
        <w:t xml:space="preserve">Bullet 3</w:t>
      </w:r>
    </w:p>
    <w:bookmarkEnd w:id="23"/>
    <w:bookmarkStart w:id="24" w:name="and-now-1"/>
    <w:p>
      <w:pPr>
        <w:pStyle w:val="Heading2"/>
      </w:pPr>
      <w:r>
        <w:t xml:space="preserve">And now?</w:t>
      </w:r>
    </w:p>
    <w:p>
      <w:pPr>
        <w:numPr>
          <w:ilvl w:val="0"/>
          <w:numId w:val="1003"/>
        </w:numPr>
        <w:pStyle w:val="Compact"/>
      </w:pPr>
      <w:r>
        <w:t xml:space="preserve">And now</w:t>
      </w:r>
    </w:p>
    <w:p>
      <w:pPr>
        <w:numPr>
          <w:ilvl w:val="0"/>
          <w:numId w:val="1003"/>
        </w:numPr>
        <w:pStyle w:val="Compact"/>
      </w:pPr>
      <w:r>
        <w:t xml:space="preserve">Bullet 2</w:t>
      </w:r>
    </w:p>
    <w:p>
      <w:pPr>
        <w:numPr>
          <w:ilvl w:val="0"/>
          <w:numId w:val="1003"/>
        </w:numPr>
        <w:pStyle w:val="Compact"/>
      </w:pPr>
      <w:r>
        <w:t xml:space="preserve">Bullet 3</w:t>
      </w:r>
    </w:p>
    <w:bookmarkEnd w:id="24"/>
    <w:bookmarkStart w:id="25" w:name="slide-with-r-output"/>
    <w:p>
      <w:pPr>
        <w:pStyle w:val="Heading2"/>
      </w:pPr>
      <w:r>
        <w:t xml:space="preserve">Slide with R Output</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5"/>
    <w:bookmarkStart w:id="28" w:name="and-now-2"/>
    <w:p>
      <w:pPr>
        <w:pStyle w:val="Heading2"/>
      </w:pPr>
      <w:r>
        <w:t xml:space="preserve">And now?</w:t>
      </w:r>
    </w:p>
    <w:p>
      <w:pPr>
        <w:numPr>
          <w:ilvl w:val="0"/>
          <w:numId w:val="1004"/>
        </w:numPr>
        <w:pStyle w:val="Compact"/>
      </w:pPr>
      <w:r>
        <w:t xml:space="preserve">And now</w:t>
      </w:r>
      <w:r>
        <w:rPr>
          <w:rStyle w:val="FootnoteReference"/>
        </w:rPr>
        <w:footnoteReference w:id="26"/>
      </w:r>
    </w:p>
    <w:p>
      <w:pPr>
        <w:numPr>
          <w:ilvl w:val="0"/>
          <w:numId w:val="1004"/>
        </w:numPr>
        <w:pStyle w:val="Compact"/>
      </w:pPr>
      <w:r>
        <w:t xml:space="preserve">Bullet 2</w:t>
      </w:r>
    </w:p>
    <w:p>
      <w:pPr>
        <w:numPr>
          <w:ilvl w:val="0"/>
          <w:numId w:val="1004"/>
        </w:numPr>
        <w:pStyle w:val="Compact"/>
      </w:pPr>
      <w:r>
        <w:t xml:space="preserve">Bullet 3</w:t>
      </w:r>
      <w:r>
        <w:rPr>
          <w:rStyle w:val="FootnoteReference"/>
        </w:rPr>
        <w:footnoteReference w:id="27"/>
      </w:r>
    </w:p>
    <w:bookmarkEnd w:id="28"/>
    <w:bookmarkStart w:id="30" w:name="slide-with-plot"/>
    <w:p>
      <w:pPr>
        <w:pStyle w:val="Heading2"/>
      </w:pPr>
      <w:r>
        <w:t xml:space="preserve">Slide with Plot</w:t>
      </w:r>
    </w:p>
    <w:p>
      <w:pPr>
        <w:pStyle w:val="FirstParagraph"/>
      </w:pPr>
      <w:r>
        <w:drawing>
          <wp:inline>
            <wp:extent cx="4620126" cy="3696101"/>
            <wp:effectExtent b="0" l="0" r="0" t="0"/>
            <wp:docPr descr="" title="" id="1" name="Picture"/>
            <a:graphic>
              <a:graphicData uri="http://schemas.openxmlformats.org/drawingml/2006/picture">
                <pic:pic>
                  <pic:nvPicPr>
                    <pic:cNvPr descr="Credits_files/figure-docx/pressur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4" w:name="was-passsiert-hiermit"/>
    <w:p>
      <w:pPr>
        <w:pStyle w:val="Heading2"/>
      </w:pPr>
      <w:r>
        <w:t xml:space="preserve">Was passsiert hiermit</w:t>
      </w:r>
    </w:p>
    <w:bookmarkStart w:id="33" w:name="refs"/>
    <w:bookmarkStart w:id="32" w:name="ref-schumpet1951"/>
    <w:p>
      <w:pPr>
        <w:pStyle w:val="Bibliography"/>
      </w:pPr>
      <w:r>
        <w:t xml:space="preserve">“SCHUMPETER AND KEYNES.”</w:t>
      </w:r>
      <w:r>
        <w:t xml:space="preserve"> </w:t>
      </w:r>
      <w:r>
        <w:t xml:space="preserve">1951. In, 136–48. Harvard University Press.</w:t>
      </w:r>
      <w:r>
        <w:t xml:space="preserve"> </w:t>
      </w:r>
      <w:hyperlink r:id="rId31">
        <w:r>
          <w:rPr>
            <w:rStyle w:val="Hyperlink"/>
          </w:rPr>
          <w:t xml:space="preserve">https://doi.org/10.4159/harvard.9780674367340.c25</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tzzuguzkgg</w:t>
      </w:r>
    </w:p>
  </w:footnote>
  <w:footnote w:id="27">
    <w:p>
      <w:pPr>
        <w:pStyle w:val="FootnoteText"/>
      </w:pPr>
      <w:r>
        <w:rPr>
          <w:rStyle w:val="FootnoteReference"/>
        </w:rPr>
        <w:footnoteRef/>
      </w:r>
      <w:r>
        <w:t xml:space="preserve"> </w:t>
      </w:r>
      <w:r>
        <w:t xml:space="preserve">vgl. gjhgkhghgj</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1" Target="https://d.docs.live.net/3e490e04bb46c9cf/Desktop/Synthese_2020_v20200426.docx#_ftn1" TargetMode="External" /><Relationship Type="http://schemas.openxmlformats.org/officeDocument/2006/relationships/hyperlink" Id="rId31" Target="https://doi.org/10.4159/harvard.9780674367340.c25" TargetMode="External" /></Relationships>
</file>

<file path=word/_rels/footnotes.xml.rels><?xml version="1.0" encoding="UTF-8"?>
<Relationships xmlns="http://schemas.openxmlformats.org/package/2006/relationships"><Relationship Type="http://schemas.openxmlformats.org/officeDocument/2006/relationships/hyperlink" Id="rId21" Target="https://d.docs.live.net/3e490e04bb46c9cf/Desktop/Synthese_2020_v20200426.docx#_ftn1" TargetMode="External" /><Relationship Type="http://schemas.openxmlformats.org/officeDocument/2006/relationships/hyperlink" Id="rId31" Target="https://doi.org/10.4159/harvard.9780674367340.c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Credits</dc:title>
  <dc:creator>Tobias Jost</dc:creator>
  <cp:keywords/>
  <dcterms:created xsi:type="dcterms:W3CDTF">2021-09-27T14:52:07Z</dcterms:created>
  <dcterms:modified xsi:type="dcterms:W3CDTF">2021-09-27T14:52:07Z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27/9/2021</vt:lpwstr>
  </property>
  <property fmtid="{D5CDD505-2E9C-101B-9397-08002B2CF9AE}" pid="4" name="output">
    <vt:lpwstr>word_document</vt:lpwstr>
  </property>
</Properties>
</file>