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8A9A" w14:textId="77777777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31CA83C4" w14:textId="77777777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53303869" w14:textId="77777777" w:rsidR="00AB2AC3" w:rsidRPr="00AB2AC3" w:rsidRDefault="00AB2AC3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INDICADORES DE CONTROL INTENO (IPC)</w:t>
      </w:r>
    </w:p>
    <w:p w14:paraId="5F746407" w14:textId="754FF285" w:rsidR="002E20F9" w:rsidRPr="00AB2AC3" w:rsidRDefault="00AB2AC3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DEFINICIÓN Y JUSTIFICACIÓN</w:t>
      </w:r>
    </w:p>
    <w:p w14:paraId="1370E03E" w14:textId="77777777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71085D49" w14:textId="77777777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5021FB0A" w14:textId="77777777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5709B5CF" w14:textId="77777777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404D110F" w14:textId="77777777" w:rsidR="00AB2AC3" w:rsidRPr="00AB2AC3" w:rsidRDefault="00AB2AC3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3F61CAA8" w14:textId="77777777" w:rsidR="00AB2AC3" w:rsidRPr="00AB2AC3" w:rsidRDefault="00AB2AC3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49673DB3" w14:textId="77777777" w:rsidR="00AB2AC3" w:rsidRPr="00AB2AC3" w:rsidRDefault="00AB2AC3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3A4B6AE8" w14:textId="77777777" w:rsidR="00AB2AC3" w:rsidRPr="00AB2AC3" w:rsidRDefault="00AB2AC3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136CEC68" w14:textId="77777777" w:rsidR="00AB2AC3" w:rsidRPr="00AB2AC3" w:rsidRDefault="00AB2AC3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64EC128B" w14:textId="77777777" w:rsidR="00AB2AC3" w:rsidRPr="00AB2AC3" w:rsidRDefault="00AB2AC3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0A3B8717" w14:textId="77777777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7C9966BA" w14:textId="2A90A5F6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ELABORADO POR: Gerardo Julio Mendieta Peñaranda, PhD</w:t>
      </w:r>
    </w:p>
    <w:p w14:paraId="545696E7" w14:textId="705D8DEF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CONSULTORÍA: Fortalecimiento del área de riesgos ADRA-PERU</w:t>
      </w:r>
    </w:p>
    <w:p w14:paraId="12E2E91E" w14:textId="77777777" w:rsidR="002E20F9" w:rsidRPr="00AB2AC3" w:rsidRDefault="002E20F9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</w:p>
    <w:p w14:paraId="0CD2EBD1" w14:textId="77777777" w:rsidR="002E20F9" w:rsidRPr="00AB2AC3" w:rsidRDefault="002E20F9">
      <w:pPr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br w:type="page"/>
      </w:r>
    </w:p>
    <w:p w14:paraId="3A8D1C7D" w14:textId="5F698975" w:rsidR="00AB2AC3" w:rsidRPr="00AB2AC3" w:rsidRDefault="00AB2AC3" w:rsidP="00AB2AC3">
      <w:pPr>
        <w:pStyle w:val="Prrafodelista"/>
        <w:numPr>
          <w:ilvl w:val="0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lastRenderedPageBreak/>
        <w:t>INTRODUCCIÓN</w:t>
      </w:r>
    </w:p>
    <w:p w14:paraId="774677EA" w14:textId="77777777" w:rsidR="00AB2AC3" w:rsidRDefault="00AB2AC3" w:rsidP="00AB2AC3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gestión del riesgo crediticio en instituciones de microfinanzas y crédito social exige herramientas de análisis que vayan más allá de los indicadores financieros tradicionales.</w:t>
      </w:r>
    </w:p>
    <w:p w14:paraId="528AA886" w14:textId="7638ACB4" w:rsidR="00AB2AC3" w:rsidRPr="00AB2AC3" w:rsidRDefault="00AB2AC3" w:rsidP="00AB2AC3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En este contexto, los indicadores desarrollados para ADRA responden a la necesidad de contar con un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modelo integral, dinámico y contextualizado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capaz de reflejar de manera más precisa la realidad económica, conductual y social de sus clientes.</w:t>
      </w:r>
    </w:p>
    <w:p w14:paraId="2C6FF09A" w14:textId="77777777" w:rsidR="00AB2AC3" w:rsidRPr="00AB2AC3" w:rsidRDefault="00AB2AC3" w:rsidP="00AB2AC3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 diferencia de los modelos convencionales —centrados principalmente en variables contables estáticas como ingresos declarados, ratios financieros simples o historial de mora básico—, los indicadores de ADRA han sido construidos con un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enfoque multidimensional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considerando no solo la capacidad de pago, sino también la voluntad de pago, la estabilidad económica del cliente y su compromiso con la institución.</w:t>
      </w:r>
    </w:p>
    <w:p w14:paraId="613D9EEF" w14:textId="4B5EBCFA" w:rsidR="00AB2AC3" w:rsidRPr="00D570D4" w:rsidRDefault="00AB2AC3" w:rsidP="00D570D4">
      <w:pPr>
        <w:pStyle w:val="Prrafodelista"/>
        <w:numPr>
          <w:ilvl w:val="1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D570D4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 xml:space="preserve">IMPORTANCIA </w:t>
      </w:r>
    </w:p>
    <w:p w14:paraId="1407342F" w14:textId="77777777" w:rsidR="00AB2AC3" w:rsidRPr="00AB2AC3" w:rsidRDefault="00AB2AC3" w:rsidP="00AB2AC3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Estos indicadores son importantes porque permiten:</w:t>
      </w:r>
    </w:p>
    <w:p w14:paraId="73699E20" w14:textId="77777777" w:rsidR="00AB2AC3" w:rsidRPr="00AB2AC3" w:rsidRDefault="00AB2AC3" w:rsidP="00AB2AC3">
      <w:pPr>
        <w:numPr>
          <w:ilvl w:val="0"/>
          <w:numId w:val="4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Anticipar el riesgo antes de que se materialice en mora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mediante señales tempranas de deterioro económico, patrimonial y conductual.</w:t>
      </w:r>
    </w:p>
    <w:p w14:paraId="35E43487" w14:textId="77777777" w:rsidR="00AB2AC3" w:rsidRPr="00AB2AC3" w:rsidRDefault="00AB2AC3" w:rsidP="00AB2AC3">
      <w:pPr>
        <w:numPr>
          <w:ilvl w:val="0"/>
          <w:numId w:val="4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Diferenciar entre incapacidad de pago y falta de voluntad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algo crítico en el contexto de microcrédito.</w:t>
      </w:r>
    </w:p>
    <w:p w14:paraId="0EBFDF1C" w14:textId="77777777" w:rsidR="00AB2AC3" w:rsidRPr="00AB2AC3" w:rsidRDefault="00AB2AC3" w:rsidP="00AB2AC3">
      <w:pPr>
        <w:numPr>
          <w:ilvl w:val="0"/>
          <w:numId w:val="4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Evaluar sostenibilidad del crédito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no solo en el corto plazo, sino a lo largo del ciclo de vida del cliente.</w:t>
      </w:r>
    </w:p>
    <w:p w14:paraId="71DEF442" w14:textId="77777777" w:rsidR="00AB2AC3" w:rsidRPr="00AB2AC3" w:rsidRDefault="00AB2AC3" w:rsidP="00AB2AC3">
      <w:pPr>
        <w:numPr>
          <w:ilvl w:val="0"/>
          <w:numId w:val="4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Reducir pérdidas esperadas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al mejorar decisiones de aprobación, seguimiento y recuperación.</w:t>
      </w:r>
    </w:p>
    <w:p w14:paraId="114D85EF" w14:textId="77777777" w:rsidR="00AB2AC3" w:rsidRPr="00AB2AC3" w:rsidRDefault="00AB2AC3" w:rsidP="00AB2AC3">
      <w:pPr>
        <w:numPr>
          <w:ilvl w:val="0"/>
          <w:numId w:val="4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Fortalecer la gestión institucional del riesgo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, alineando la </w:t>
      </w: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originación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el monitoreo y la cobranza bajo una misma lógica analítica.</w:t>
      </w:r>
    </w:p>
    <w:p w14:paraId="6617E256" w14:textId="77777777" w:rsidR="00AB2AC3" w:rsidRPr="00AB2AC3" w:rsidRDefault="00AB2AC3" w:rsidP="00AB2AC3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Estos indicadores permiten a ADRA proteger su cartera sin perder su enfoque social, equilibrando inclusión financiera con sostenibilidad.</w:t>
      </w:r>
    </w:p>
    <w:p w14:paraId="3053D84F" w14:textId="19E99404" w:rsidR="00AB2AC3" w:rsidRPr="00AB2AC3" w:rsidRDefault="00AB2AC3" w:rsidP="00D570D4">
      <w:pPr>
        <w:pStyle w:val="Prrafodelista"/>
        <w:numPr>
          <w:ilvl w:val="1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DIFERENCIA CON LOS INDICADORES TRADICIONALES</w:t>
      </w:r>
    </w:p>
    <w:p w14:paraId="1B9E1163" w14:textId="77777777" w:rsidR="00AB2AC3" w:rsidRPr="00AB2AC3" w:rsidRDefault="00AB2AC3" w:rsidP="00AB2AC3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Los indicadores tradicionales suelen presentar limitaciones importantes en el contexto de ADRA: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4898"/>
      </w:tblGrid>
      <w:tr w:rsidR="00AB2AC3" w:rsidRPr="00AB2AC3" w14:paraId="56910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DCFC5" w14:textId="77777777" w:rsidR="00AB2AC3" w:rsidRPr="00AB2AC3" w:rsidRDefault="00AB2AC3" w:rsidP="00AB2AC3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Indicadores Tradicionales</w:t>
            </w:r>
          </w:p>
        </w:tc>
        <w:tc>
          <w:tcPr>
            <w:tcW w:w="0" w:type="auto"/>
            <w:vAlign w:val="center"/>
            <w:hideMark/>
          </w:tcPr>
          <w:p w14:paraId="1EE87303" w14:textId="77777777" w:rsidR="00AB2AC3" w:rsidRPr="00AB2AC3" w:rsidRDefault="00AB2AC3" w:rsidP="00AB2AC3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Indicadores ADRA</w:t>
            </w:r>
          </w:p>
        </w:tc>
      </w:tr>
      <w:tr w:rsidR="00AB2AC3" w:rsidRPr="00AB2AC3" w14:paraId="56DB2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F858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Enfoque exclusivamente financiero</w:t>
            </w:r>
          </w:p>
        </w:tc>
        <w:tc>
          <w:tcPr>
            <w:tcW w:w="0" w:type="auto"/>
            <w:vAlign w:val="center"/>
            <w:hideMark/>
          </w:tcPr>
          <w:p w14:paraId="48EA12AC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Enfoque financiero + conductual + operativo</w:t>
            </w:r>
          </w:p>
        </w:tc>
      </w:tr>
      <w:tr w:rsidR="00AB2AC3" w:rsidRPr="00AB2AC3" w14:paraId="298A4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5D7D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Medición estática (foto del momento)</w:t>
            </w:r>
          </w:p>
        </w:tc>
        <w:tc>
          <w:tcPr>
            <w:tcW w:w="0" w:type="auto"/>
            <w:vAlign w:val="center"/>
            <w:hideMark/>
          </w:tcPr>
          <w:p w14:paraId="248F53B0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Medición dinámica (tendencias y evolución)</w:t>
            </w:r>
          </w:p>
        </w:tc>
      </w:tr>
      <w:tr w:rsidR="00AB2AC3" w:rsidRPr="00AB2AC3" w14:paraId="69B56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7A8B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Alta dependencia de información declarada</w:t>
            </w:r>
          </w:p>
        </w:tc>
        <w:tc>
          <w:tcPr>
            <w:tcW w:w="0" w:type="auto"/>
            <w:vAlign w:val="center"/>
            <w:hideMark/>
          </w:tcPr>
          <w:p w14:paraId="6C53E642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Uso de información observada y comportamiento real</w:t>
            </w:r>
          </w:p>
        </w:tc>
      </w:tr>
      <w:tr w:rsidR="00AB2AC3" w:rsidRPr="00AB2AC3" w14:paraId="2026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5C72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Poco sensibles a microcrédito</w:t>
            </w:r>
          </w:p>
        </w:tc>
        <w:tc>
          <w:tcPr>
            <w:tcW w:w="0" w:type="auto"/>
            <w:vAlign w:val="center"/>
            <w:hideMark/>
          </w:tcPr>
          <w:p w14:paraId="673966B7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Diseñados para pagos frecuentes y flujos variables</w:t>
            </w:r>
          </w:p>
        </w:tc>
      </w:tr>
      <w:tr w:rsidR="00AB2AC3" w:rsidRPr="00AB2AC3" w14:paraId="109FA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792D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No distinguen voluntad vs capacidad</w:t>
            </w:r>
          </w:p>
        </w:tc>
        <w:tc>
          <w:tcPr>
            <w:tcW w:w="0" w:type="auto"/>
            <w:vAlign w:val="center"/>
            <w:hideMark/>
          </w:tcPr>
          <w:p w14:paraId="64C5BAE4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Separan claramente capacidad, conducta y compromiso</w:t>
            </w:r>
          </w:p>
        </w:tc>
      </w:tr>
      <w:tr w:rsidR="00AB2AC3" w:rsidRPr="00AB2AC3" w14:paraId="6DF8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08BC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Aplicables de forma genérica</w:t>
            </w:r>
          </w:p>
        </w:tc>
        <w:tc>
          <w:tcPr>
            <w:tcW w:w="0" w:type="auto"/>
            <w:vAlign w:val="center"/>
            <w:hideMark/>
          </w:tcPr>
          <w:p w14:paraId="0D04031F" w14:textId="77777777" w:rsidR="00AB2AC3" w:rsidRPr="00AB2AC3" w:rsidRDefault="00AB2AC3" w:rsidP="00AB2AC3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Construidos específicamente para el modelo ADRA</w:t>
            </w:r>
          </w:p>
        </w:tc>
      </w:tr>
    </w:tbl>
    <w:p w14:paraId="2F9CF322" w14:textId="67D1CB8D" w:rsidR="00AB2AC3" w:rsidRPr="00AB2AC3" w:rsidRDefault="00AB2AC3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Mientras los indicadores tradicionales responden a modelos bancarios formales, los indicadores ADRA responden a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 xml:space="preserve">realidad del </w:t>
      </w:r>
      <w:proofErr w:type="spellStart"/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microemprendedor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donde los ingresos son variables, la informalidad es frecuente y el comportamiento es tan relevante como la capacidad económica.</w:t>
      </w:r>
    </w:p>
    <w:p w14:paraId="33283D8A" w14:textId="22B524DE" w:rsidR="00AB2AC3" w:rsidRPr="00AB2AC3" w:rsidRDefault="00AB2AC3" w:rsidP="00D570D4">
      <w:pPr>
        <w:pStyle w:val="Prrafodelista"/>
        <w:numPr>
          <w:ilvl w:val="1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CONSTRU</w:t>
      </w:r>
      <w:r w:rsidRPr="00D570D4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CC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</w:t>
      </w:r>
      <w:r w:rsidRPr="00D570D4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ÓN</w:t>
      </w:r>
    </w:p>
    <w:p w14:paraId="29CD96F9" w14:textId="77777777" w:rsidR="00AB2AC3" w:rsidRPr="00AB2AC3" w:rsidRDefault="00AB2AC3" w:rsidP="00AB2AC3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Los indicadores fueron diseñados específicamente considerando:</w:t>
      </w:r>
    </w:p>
    <w:p w14:paraId="4F259F01" w14:textId="77777777" w:rsidR="00AB2AC3" w:rsidRPr="00AB2AC3" w:rsidRDefault="00AB2AC3" w:rsidP="00AB2AC3">
      <w:pPr>
        <w:numPr>
          <w:ilvl w:val="0"/>
          <w:numId w:val="4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El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modelo de atención de ADRA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basado en cercanía al cliente, seguimiento continuo y conocimiento profundo de su realidad.</w:t>
      </w:r>
    </w:p>
    <w:p w14:paraId="7151CD51" w14:textId="77777777" w:rsidR="00AB2AC3" w:rsidRPr="00AB2AC3" w:rsidRDefault="00AB2AC3" w:rsidP="00AB2AC3">
      <w:pPr>
        <w:numPr>
          <w:ilvl w:val="0"/>
          <w:numId w:val="4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frecuencia de pago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típica del microcrédito (semanal, quincenal), que requiere indicadores más sensibles como tickets impagos y mora proporcional.</w:t>
      </w:r>
    </w:p>
    <w:p w14:paraId="6A3E821A" w14:textId="77777777" w:rsidR="00AB2AC3" w:rsidRPr="00AB2AC3" w:rsidRDefault="00AB2AC3" w:rsidP="00AB2AC3">
      <w:pPr>
        <w:numPr>
          <w:ilvl w:val="0"/>
          <w:numId w:val="4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diversidad de fuentes de ingreso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del cliente ADRA, incorporando jerarquías de origen del pago.</w:t>
      </w:r>
    </w:p>
    <w:p w14:paraId="7B120C03" w14:textId="77777777" w:rsidR="00AB2AC3" w:rsidRPr="00AB2AC3" w:rsidRDefault="00AB2AC3" w:rsidP="00AB2AC3">
      <w:pPr>
        <w:numPr>
          <w:ilvl w:val="0"/>
          <w:numId w:val="4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El rol de los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ahorros individuales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como mecanismo de compromiso y mitigación del riesgo.</w:t>
      </w:r>
    </w:p>
    <w:p w14:paraId="7E63D6DB" w14:textId="77777777" w:rsidR="00AB2AC3" w:rsidRPr="00AB2AC3" w:rsidRDefault="00AB2AC3" w:rsidP="00AB2AC3">
      <w:pPr>
        <w:numPr>
          <w:ilvl w:val="0"/>
          <w:numId w:val="4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necesidad de evaluar no solo el crédito, sino también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relación del cliente con la institución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(retención, ciclos, rechazos).</w:t>
      </w:r>
    </w:p>
    <w:p w14:paraId="573694DB" w14:textId="77777777" w:rsidR="00AB2AC3" w:rsidRPr="00AB2AC3" w:rsidRDefault="00AB2AC3" w:rsidP="00AB2AC3">
      <w:pPr>
        <w:numPr>
          <w:ilvl w:val="0"/>
          <w:numId w:val="4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importancia de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estabilidad económica y psicológica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del cliente como factor clave de sostenibilidad.</w:t>
      </w:r>
    </w:p>
    <w:p w14:paraId="63F974CA" w14:textId="77777777" w:rsidR="00AB2AC3" w:rsidRPr="00AB2AC3" w:rsidRDefault="00AB2AC3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En este sentido, los indicadores ADRA no solo miden riesgo, sino que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interpretan la historia del cliente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su comportamiento, su esfuerzo, su estabilidad y su compromiso.</w:t>
      </w:r>
    </w:p>
    <w:p w14:paraId="1AD31A17" w14:textId="2A0F3824" w:rsidR="00AB2AC3" w:rsidRPr="00AB2AC3" w:rsidRDefault="00AB2AC3" w:rsidP="00D570D4">
      <w:pPr>
        <w:pStyle w:val="Prrafodelista"/>
        <w:numPr>
          <w:ilvl w:val="1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lastRenderedPageBreak/>
        <w:t>ENFOQUE INTEGRAL</w:t>
      </w:r>
    </w:p>
    <w:p w14:paraId="2F9CA745" w14:textId="77777777" w:rsidR="00AB2AC3" w:rsidRPr="00AB2AC3" w:rsidRDefault="00AB2AC3" w:rsidP="00AB2AC3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Los indicadores se agrupan conceptualmente en tres grandes dimensiones:</w:t>
      </w:r>
    </w:p>
    <w:p w14:paraId="27C9BD69" w14:textId="77777777" w:rsidR="00AB2AC3" w:rsidRPr="00AB2AC3" w:rsidRDefault="00AB2AC3" w:rsidP="00AB2AC3">
      <w:pPr>
        <w:numPr>
          <w:ilvl w:val="0"/>
          <w:numId w:val="4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Ingreso del cliente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Evalúan capacidad económica, liquidez, respaldo patrimonial y sostenibilidad del pago.</w:t>
      </w:r>
    </w:p>
    <w:p w14:paraId="01743998" w14:textId="77777777" w:rsidR="00AB2AC3" w:rsidRPr="00AB2AC3" w:rsidRDefault="00AB2AC3" w:rsidP="00AB2AC3">
      <w:pPr>
        <w:numPr>
          <w:ilvl w:val="0"/>
          <w:numId w:val="4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Voluntad de pago del cliente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Analizan conducta financiera, disciplina, historial de cumplimiento y riesgo moral.</w:t>
      </w:r>
    </w:p>
    <w:p w14:paraId="62D22487" w14:textId="77777777" w:rsidR="00AB2AC3" w:rsidRPr="00AB2AC3" w:rsidRDefault="00AB2AC3" w:rsidP="00AB2AC3">
      <w:pPr>
        <w:numPr>
          <w:ilvl w:val="0"/>
          <w:numId w:val="4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Garantía psicológica del cliente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Miden estabilidad, experiencia, compromiso institucional y madurez financiera.</w:t>
      </w:r>
    </w:p>
    <w:p w14:paraId="32D0449C" w14:textId="77777777" w:rsidR="00AB2AC3" w:rsidRPr="00AB2AC3" w:rsidRDefault="00AB2AC3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enfoque tridimensional permite a ADRA tomar decisiones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más justas, más precisas y más alineadas con su misión social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evitando exclusión financiera innecesaria, pero protegiendo la calidad del portafolio.</w:t>
      </w:r>
    </w:p>
    <w:p w14:paraId="6456ADB2" w14:textId="476077A7" w:rsidR="002019C6" w:rsidRPr="00AB2AC3" w:rsidRDefault="002019C6" w:rsidP="00AB2AC3">
      <w:pPr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IPC1 y 2 – Mora</w:t>
      </w:r>
    </w:p>
    <w:p w14:paraId="0F64696A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14400054" w14:textId="77777777" w:rsidR="002E05A7" w:rsidRPr="00AB2AC3" w:rsidRDefault="002E05A7" w:rsidP="00D570D4">
      <w:pPr>
        <w:pStyle w:val="NormalWeb"/>
        <w:jc w:val="both"/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La medición de la mora es esencial porque constituye la primera señal objetiva de que el cliente ha perdido temporal o permanentemente la capacidad o voluntad de cumplir con su obligación financiera.</w:t>
      </w:r>
      <w:r w:rsidRPr="00AB2AC3">
        <w:rPr>
          <w:rFonts w:ascii="Century Gothic" w:hAnsi="Century Gothic"/>
          <w:color w:val="000000"/>
        </w:rPr>
        <w:br/>
        <w:t>Técnicamente, la mora es el observable más correlacionado con la</w:t>
      </w:r>
      <w:r w:rsidRPr="00AB2AC3">
        <w:rPr>
          <w:rStyle w:val="apple-converted-space"/>
          <w:rFonts w:ascii="Century Gothic" w:eastAsiaTheme="majorEastAsia" w:hAnsi="Century Gothic"/>
          <w:color w:val="000000"/>
        </w:rPr>
        <w:t> </w:t>
      </w:r>
      <w:r w:rsidRPr="00AB2AC3">
        <w:rPr>
          <w:rStyle w:val="Textoennegrita"/>
          <w:rFonts w:ascii="Century Gothic" w:eastAsiaTheme="majorEastAsia" w:hAnsi="Century Gothic"/>
          <w:color w:val="000000"/>
        </w:rPr>
        <w:t>probabilidad de incumplimiento (PD)</w:t>
      </w:r>
      <w:r w:rsidRPr="00AB2AC3">
        <w:rPr>
          <w:rStyle w:val="apple-converted-space"/>
          <w:rFonts w:ascii="Century Gothic" w:eastAsiaTheme="majorEastAsia" w:hAnsi="Century Gothic"/>
          <w:color w:val="000000"/>
        </w:rPr>
        <w:t> </w:t>
      </w:r>
      <w:r w:rsidRPr="00AB2AC3">
        <w:rPr>
          <w:rFonts w:ascii="Century Gothic" w:hAnsi="Century Gothic"/>
          <w:color w:val="000000"/>
        </w:rPr>
        <w:t>y con la transición del crédito hacia estados de deterioro significativo o default.</w:t>
      </w:r>
    </w:p>
    <w:p w14:paraId="765955FA" w14:textId="77777777" w:rsidR="002E05A7" w:rsidRPr="00AB2AC3" w:rsidRDefault="002E05A7" w:rsidP="002E05A7">
      <w:pPr>
        <w:pStyle w:val="NormalWeb"/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La mora permite identificar:</w:t>
      </w:r>
    </w:p>
    <w:p w14:paraId="5C445240" w14:textId="77777777" w:rsidR="002E05A7" w:rsidRPr="00AB2AC3" w:rsidRDefault="002E05A7" w:rsidP="002E05A7">
      <w:pPr>
        <w:pStyle w:val="NormalWeb"/>
        <w:numPr>
          <w:ilvl w:val="0"/>
          <w:numId w:val="31"/>
        </w:numPr>
        <w:rPr>
          <w:rFonts w:ascii="Century Gothic" w:hAnsi="Century Gothic"/>
          <w:color w:val="000000"/>
        </w:rPr>
      </w:pPr>
      <w:r w:rsidRPr="00AB2AC3">
        <w:rPr>
          <w:rStyle w:val="Textoennegrita"/>
          <w:rFonts w:ascii="Century Gothic" w:eastAsiaTheme="majorEastAsia" w:hAnsi="Century Gothic"/>
          <w:color w:val="000000"/>
        </w:rPr>
        <w:t>Deterioro en la salud financiera del cliente</w:t>
      </w:r>
    </w:p>
    <w:p w14:paraId="441459CF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Inestabilidad de ingresos</w:t>
      </w:r>
    </w:p>
    <w:p w14:paraId="5BC63E01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Problemas de liquidez</w:t>
      </w:r>
    </w:p>
    <w:p w14:paraId="5F45841A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Riesgo de sobreendeudamiento</w:t>
      </w:r>
    </w:p>
    <w:p w14:paraId="08E9CE30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Desorganización financiera</w:t>
      </w:r>
    </w:p>
    <w:p w14:paraId="0C97BAC4" w14:textId="77777777" w:rsidR="002E05A7" w:rsidRPr="00AB2AC3" w:rsidRDefault="002E05A7" w:rsidP="002E05A7">
      <w:pPr>
        <w:pStyle w:val="NormalWeb"/>
        <w:numPr>
          <w:ilvl w:val="0"/>
          <w:numId w:val="31"/>
        </w:numPr>
        <w:rPr>
          <w:rFonts w:ascii="Century Gothic" w:hAnsi="Century Gothic"/>
          <w:color w:val="000000"/>
        </w:rPr>
      </w:pPr>
      <w:r w:rsidRPr="00AB2AC3">
        <w:rPr>
          <w:rStyle w:val="Textoennegrita"/>
          <w:rFonts w:ascii="Century Gothic" w:eastAsiaTheme="majorEastAsia" w:hAnsi="Century Gothic"/>
          <w:color w:val="000000"/>
        </w:rPr>
        <w:t>Conductas asociadas al riesgo moral</w:t>
      </w:r>
    </w:p>
    <w:p w14:paraId="33E4B4F0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Falta de disciplina de pago</w:t>
      </w:r>
    </w:p>
    <w:p w14:paraId="67FE3CD1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Uso inadecuado del crédito</w:t>
      </w:r>
    </w:p>
    <w:p w14:paraId="1F7011C4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Prioridad de pago hacia otras entidades</w:t>
      </w:r>
    </w:p>
    <w:p w14:paraId="29665F00" w14:textId="77777777" w:rsidR="002E05A7" w:rsidRPr="00AB2AC3" w:rsidRDefault="002E05A7" w:rsidP="002E05A7">
      <w:pPr>
        <w:pStyle w:val="NormalWeb"/>
        <w:numPr>
          <w:ilvl w:val="0"/>
          <w:numId w:val="31"/>
        </w:numPr>
        <w:rPr>
          <w:rFonts w:ascii="Century Gothic" w:hAnsi="Century Gothic"/>
          <w:color w:val="000000"/>
        </w:rPr>
      </w:pPr>
      <w:r w:rsidRPr="00AB2AC3">
        <w:rPr>
          <w:rStyle w:val="Textoennegrita"/>
          <w:rFonts w:ascii="Century Gothic" w:eastAsiaTheme="majorEastAsia" w:hAnsi="Century Gothic"/>
          <w:color w:val="000000"/>
        </w:rPr>
        <w:t>Impacto en provisiones y solvencia institucional</w:t>
      </w:r>
    </w:p>
    <w:p w14:paraId="575751D3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Incremento de provisiones regulatorias</w:t>
      </w:r>
    </w:p>
    <w:p w14:paraId="4BEAE8CA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 xml:space="preserve">Aumento de pérdidas esperadas (EL: </w:t>
      </w:r>
      <w:proofErr w:type="spellStart"/>
      <w:r w:rsidRPr="00AB2AC3">
        <w:rPr>
          <w:rFonts w:ascii="Century Gothic" w:hAnsi="Century Gothic"/>
          <w:color w:val="000000"/>
        </w:rPr>
        <w:t>Expected</w:t>
      </w:r>
      <w:proofErr w:type="spellEnd"/>
      <w:r w:rsidRPr="00AB2AC3">
        <w:rPr>
          <w:rFonts w:ascii="Century Gothic" w:hAnsi="Century Gothic"/>
          <w:color w:val="000000"/>
        </w:rPr>
        <w:t xml:space="preserve"> </w:t>
      </w:r>
      <w:proofErr w:type="spellStart"/>
      <w:r w:rsidRPr="00AB2AC3">
        <w:rPr>
          <w:rFonts w:ascii="Century Gothic" w:hAnsi="Century Gothic"/>
          <w:color w:val="000000"/>
        </w:rPr>
        <w:t>Loss</w:t>
      </w:r>
      <w:proofErr w:type="spellEnd"/>
      <w:r w:rsidRPr="00AB2AC3">
        <w:rPr>
          <w:rFonts w:ascii="Century Gothic" w:hAnsi="Century Gothic"/>
          <w:color w:val="000000"/>
        </w:rPr>
        <w:t>)</w:t>
      </w:r>
    </w:p>
    <w:p w14:paraId="0DF15EC2" w14:textId="77777777" w:rsidR="002E05A7" w:rsidRPr="00AB2AC3" w:rsidRDefault="002E05A7" w:rsidP="002E05A7">
      <w:pPr>
        <w:pStyle w:val="NormalWeb"/>
        <w:numPr>
          <w:ilvl w:val="1"/>
          <w:numId w:val="31"/>
        </w:numPr>
        <w:rPr>
          <w:rFonts w:ascii="Century Gothic" w:hAnsi="Century Gothic"/>
          <w:color w:val="000000"/>
        </w:rPr>
      </w:pPr>
      <w:r w:rsidRPr="00AB2AC3">
        <w:rPr>
          <w:rFonts w:ascii="Century Gothic" w:hAnsi="Century Gothic"/>
          <w:color w:val="000000"/>
        </w:rPr>
        <w:t>Elevación de la severidad de pérdida (LGD)</w:t>
      </w:r>
    </w:p>
    <w:p w14:paraId="7FCCF5FD" w14:textId="77777777" w:rsidR="002E05A7" w:rsidRPr="00AB2AC3" w:rsidRDefault="002E05A7" w:rsidP="002E05A7">
      <w:pPr>
        <w:pStyle w:val="NormalWeb"/>
        <w:numPr>
          <w:ilvl w:val="0"/>
          <w:numId w:val="31"/>
        </w:numPr>
        <w:rPr>
          <w:rFonts w:ascii="Century Gothic" w:hAnsi="Century Gothic"/>
          <w:color w:val="000000"/>
        </w:rPr>
      </w:pPr>
      <w:r w:rsidRPr="00AB2AC3">
        <w:rPr>
          <w:rStyle w:val="Textoennegrita"/>
          <w:rFonts w:ascii="Century Gothic" w:eastAsiaTheme="majorEastAsia" w:hAnsi="Century Gothic"/>
          <w:color w:val="000000"/>
        </w:rPr>
        <w:lastRenderedPageBreak/>
        <w:t>Probabilidad de recuperación espontánea vs. judicial</w:t>
      </w:r>
      <w:r w:rsidRPr="00AB2AC3">
        <w:rPr>
          <w:rFonts w:ascii="Century Gothic" w:hAnsi="Century Gothic"/>
          <w:color w:val="000000"/>
        </w:rPr>
        <w:br/>
        <w:t>A mayor tramo de mora, menor es la probabilidad de recuperación voluntaria del cliente.</w:t>
      </w:r>
    </w:p>
    <w:p w14:paraId="774A8EFF" w14:textId="3FB86C06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IPC3 – Días en mora / días totales del crédito (Mora proporcional)</w:t>
      </w:r>
    </w:p>
    <w:p w14:paraId="025CBB29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269163A7" w14:textId="77777777" w:rsidR="00D570D4" w:rsidRDefault="002019C6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mide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intensidad relativa de la mora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ajustando el atraso en días respecto a la duración total del crédito.</w:t>
      </w:r>
    </w:p>
    <w:p w14:paraId="3A84C460" w14:textId="26DDD06B" w:rsidR="002019C6" w:rsidRPr="00AB2AC3" w:rsidRDefault="002019C6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 diferencia de la mora absoluta, esta razón permite evaluar el deterioro proporcional:</w:t>
      </w:r>
    </w:p>
    <w:p w14:paraId="126E5E5D" w14:textId="77777777" w:rsidR="002019C6" w:rsidRPr="00AB2AC3" w:rsidRDefault="002019C6" w:rsidP="002019C6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En créditos de corto plazo, pocos días de mora son críticos.</w:t>
      </w:r>
    </w:p>
    <w:p w14:paraId="2F26C4D7" w14:textId="77777777" w:rsidR="002019C6" w:rsidRPr="00AB2AC3" w:rsidRDefault="002019C6" w:rsidP="002019C6">
      <w:pPr>
        <w:numPr>
          <w:ilvl w:val="0"/>
          <w:numId w:val="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En créditos largos, se puede tolerar un atraso mayor antes de considerarlo severo.</w:t>
      </w:r>
    </w:p>
    <w:p w14:paraId="7D5A48A3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Desde la perspectiva de riesgo:</w:t>
      </w:r>
    </w:p>
    <w:p w14:paraId="0BA1A1EF" w14:textId="77777777" w:rsidR="002019C6" w:rsidRPr="00AB2AC3" w:rsidRDefault="002019C6" w:rsidP="002019C6">
      <w:pPr>
        <w:numPr>
          <w:ilvl w:val="0"/>
          <w:numId w:val="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Mejora la precisión de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probabilidad de incumplimiento (PD)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</w:p>
    <w:p w14:paraId="52CE05F2" w14:textId="77777777" w:rsidR="002019C6" w:rsidRPr="00AB2AC3" w:rsidRDefault="002019C6" w:rsidP="002019C6">
      <w:pPr>
        <w:numPr>
          <w:ilvl w:val="0"/>
          <w:numId w:val="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Permite comparar créditos de diferentes plazos.</w:t>
      </w:r>
    </w:p>
    <w:p w14:paraId="44C6F0A0" w14:textId="77777777" w:rsidR="002019C6" w:rsidRPr="00AB2AC3" w:rsidRDefault="002019C6" w:rsidP="002019C6">
      <w:pPr>
        <w:numPr>
          <w:ilvl w:val="0"/>
          <w:numId w:val="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Es muy útil para modelos de </w:t>
      </w: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scoring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y segmentación.</w:t>
      </w:r>
    </w:p>
    <w:p w14:paraId="1F0A108E" w14:textId="77777777" w:rsidR="002019C6" w:rsidRPr="00AB2AC3" w:rsidRDefault="002019C6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Una mora proporcional alta indica deterioro temprano de la obligación y se asocia con clientes que presentan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liquidez insuficiente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desorden financiero o intencionalidad de pago dudosa.</w:t>
      </w:r>
    </w:p>
    <w:p w14:paraId="401D8270" w14:textId="479E591D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IPC4 – Capital en mora / Tickets (Número de pagos vencidos)</w:t>
      </w:r>
    </w:p>
    <w:p w14:paraId="4721E97D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7B074257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transforma la mora en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cantidad de pagos incumplidos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lo cual:</w:t>
      </w:r>
    </w:p>
    <w:p w14:paraId="6088ECF4" w14:textId="77777777" w:rsidR="002019C6" w:rsidRPr="00AB2AC3" w:rsidRDefault="002019C6" w:rsidP="002019C6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Detecta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falta de disciplina financiera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</w:p>
    <w:p w14:paraId="7FF73550" w14:textId="77777777" w:rsidR="002019C6" w:rsidRPr="00AB2AC3" w:rsidRDefault="002019C6" w:rsidP="002019C6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Identifica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rupturas en el flujo de caja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del cliente.</w:t>
      </w:r>
    </w:p>
    <w:p w14:paraId="49C534C0" w14:textId="77777777" w:rsidR="002019C6" w:rsidRPr="00AB2AC3" w:rsidRDefault="002019C6" w:rsidP="002019C6">
      <w:pPr>
        <w:numPr>
          <w:ilvl w:val="0"/>
          <w:numId w:val="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Permite observar deterioro antes de que aparezcan "días de mora elevados".</w:t>
      </w:r>
    </w:p>
    <w:p w14:paraId="2D8578CD" w14:textId="77777777" w:rsidR="002019C6" w:rsidRPr="00AB2AC3" w:rsidRDefault="002019C6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Desde un enfoque </w:t>
      </w: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microfinanciero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el incumplimiento de varios tickets consecutivos es uno de los mejores predictores de deterioro y alto riesgo operativo.</w:t>
      </w:r>
    </w:p>
    <w:p w14:paraId="74781C26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Se utiliza para:</w:t>
      </w:r>
    </w:p>
    <w:p w14:paraId="3EDCC92D" w14:textId="77777777" w:rsidR="002019C6" w:rsidRPr="00AB2AC3" w:rsidRDefault="002019C6" w:rsidP="002019C6">
      <w:pPr>
        <w:numPr>
          <w:ilvl w:val="0"/>
          <w:numId w:val="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Anticipar default.</w:t>
      </w:r>
    </w:p>
    <w:p w14:paraId="371EA86D" w14:textId="77777777" w:rsidR="002019C6" w:rsidRPr="00AB2AC3" w:rsidRDefault="002019C6" w:rsidP="002019C6">
      <w:pPr>
        <w:numPr>
          <w:ilvl w:val="0"/>
          <w:numId w:val="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Priorizar la cobranza.</w:t>
      </w:r>
    </w:p>
    <w:p w14:paraId="2E3038B6" w14:textId="77777777" w:rsidR="002019C6" w:rsidRPr="00AB2AC3" w:rsidRDefault="002019C6" w:rsidP="002019C6">
      <w:pPr>
        <w:numPr>
          <w:ilvl w:val="0"/>
          <w:numId w:val="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Determinar urgencia de intervención de campo.</w:t>
      </w:r>
    </w:p>
    <w:p w14:paraId="0AFC732A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un indicador directo de comportamiento y disciplina del cliente.</w:t>
      </w:r>
    </w:p>
    <w:p w14:paraId="11CF243D" w14:textId="16A62F5A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IPC5 – Total deuda / Total garantía (incluye ahorros y efectivo)</w:t>
      </w:r>
    </w:p>
    <w:p w14:paraId="52ADEE68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759FF919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Evalúa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cobertura del crédito mediante garantías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siendo un insumo fundamental en la estimación de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pérdida dada incumplimiento (LGD)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</w:p>
    <w:p w14:paraId="152434D0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Una mayor relación deuda/garantía implica:</w:t>
      </w:r>
    </w:p>
    <w:p w14:paraId="290AC54A" w14:textId="77777777" w:rsidR="002019C6" w:rsidRPr="00AB2AC3" w:rsidRDefault="002019C6" w:rsidP="002019C6">
      <w:pPr>
        <w:numPr>
          <w:ilvl w:val="0"/>
          <w:numId w:val="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Menor capacidad de recuperación.</w:t>
      </w:r>
    </w:p>
    <w:p w14:paraId="1D3F646D" w14:textId="77777777" w:rsidR="002019C6" w:rsidRPr="00AB2AC3" w:rsidRDefault="002019C6" w:rsidP="002019C6">
      <w:pPr>
        <w:numPr>
          <w:ilvl w:val="0"/>
          <w:numId w:val="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pérdida esperada.</w:t>
      </w:r>
    </w:p>
    <w:p w14:paraId="23FC7A73" w14:textId="77777777" w:rsidR="002019C6" w:rsidRPr="00AB2AC3" w:rsidRDefault="002019C6" w:rsidP="002019C6">
      <w:pPr>
        <w:numPr>
          <w:ilvl w:val="0"/>
          <w:numId w:val="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Más exposición patrimonial para la institución.</w:t>
      </w:r>
    </w:p>
    <w:p w14:paraId="27F240E1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permite clasificar créditos:</w:t>
      </w:r>
    </w:p>
    <w:p w14:paraId="13AFCCEF" w14:textId="77777777" w:rsidR="002019C6" w:rsidRPr="00AB2AC3" w:rsidRDefault="002019C6" w:rsidP="002019C6">
      <w:pPr>
        <w:numPr>
          <w:ilvl w:val="0"/>
          <w:numId w:val="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Con garantías suficientes.</w:t>
      </w:r>
    </w:p>
    <w:p w14:paraId="5A55B474" w14:textId="77777777" w:rsidR="002019C6" w:rsidRPr="00AB2AC3" w:rsidRDefault="002019C6" w:rsidP="002019C6">
      <w:pPr>
        <w:numPr>
          <w:ilvl w:val="0"/>
          <w:numId w:val="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Subgarantizados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</w:p>
    <w:p w14:paraId="24F8B8DC" w14:textId="77777777" w:rsidR="002019C6" w:rsidRPr="00AB2AC3" w:rsidRDefault="002019C6" w:rsidP="002019C6">
      <w:pPr>
        <w:numPr>
          <w:ilvl w:val="0"/>
          <w:numId w:val="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Altamente expuestos.</w:t>
      </w:r>
    </w:p>
    <w:p w14:paraId="74D886EB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esencial para gestionar el riesgo de pérdida en clientes con comportamiento dudoso.</w:t>
      </w:r>
    </w:p>
    <w:p w14:paraId="32DD76E6" w14:textId="00733AB5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IPC6 – Días de mora acumulados / días promedio entre pago y pago (Recurrencia histórica)</w:t>
      </w:r>
    </w:p>
    <w:p w14:paraId="752715FD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6D3CA44F" w14:textId="77777777" w:rsidR="00D570D4" w:rsidRDefault="002019C6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mide el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patrón histórico de morosidad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del cliente.</w:t>
      </w:r>
    </w:p>
    <w:p w14:paraId="77839334" w14:textId="71BCA617" w:rsidR="002019C6" w:rsidRPr="00AB2AC3" w:rsidRDefault="002019C6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No solo importa la mora actual, sino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si el cliente ha sido reiterativo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en caer en mora.</w:t>
      </w:r>
    </w:p>
    <w:p w14:paraId="0DB31B51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uno de los predictores más potentes de PD porque:</w:t>
      </w:r>
    </w:p>
    <w:p w14:paraId="2B2BBBC8" w14:textId="77777777" w:rsidR="002019C6" w:rsidRPr="00AB2AC3" w:rsidRDefault="002019C6" w:rsidP="002019C6">
      <w:pPr>
        <w:numPr>
          <w:ilvl w:val="0"/>
          <w:numId w:val="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recurrencia de mora indica fragilidad estructural del flujo de caja.</w:t>
      </w:r>
    </w:p>
    <w:p w14:paraId="47CFBAD4" w14:textId="77777777" w:rsidR="002019C6" w:rsidRPr="00AB2AC3" w:rsidRDefault="002019C6" w:rsidP="002019C6">
      <w:pPr>
        <w:numPr>
          <w:ilvl w:val="0"/>
          <w:numId w:val="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Clientes reincidentes suelen presentar sobreendeudamiento o descalce de ingresos.</w:t>
      </w:r>
    </w:p>
    <w:p w14:paraId="073F2253" w14:textId="77777777" w:rsidR="002019C6" w:rsidRPr="00AB2AC3" w:rsidRDefault="002019C6" w:rsidP="002019C6">
      <w:pPr>
        <w:numPr>
          <w:ilvl w:val="0"/>
          <w:numId w:val="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probabilidad de deterioro futuro aumenta significativamente.</w:t>
      </w:r>
    </w:p>
    <w:p w14:paraId="1C146C52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Las entidades utilizan este indicador para:</w:t>
      </w:r>
    </w:p>
    <w:p w14:paraId="568C5909" w14:textId="77777777" w:rsidR="002019C6" w:rsidRPr="00AB2AC3" w:rsidRDefault="002019C6" w:rsidP="002019C6">
      <w:pPr>
        <w:numPr>
          <w:ilvl w:val="0"/>
          <w:numId w:val="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Scoring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de riesgo.</w:t>
      </w:r>
    </w:p>
    <w:p w14:paraId="6140808A" w14:textId="77777777" w:rsidR="002019C6" w:rsidRPr="00AB2AC3" w:rsidRDefault="002019C6" w:rsidP="002019C6">
      <w:pPr>
        <w:numPr>
          <w:ilvl w:val="0"/>
          <w:numId w:val="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Renovaciones y ampliaciones.</w:t>
      </w:r>
    </w:p>
    <w:p w14:paraId="029018E9" w14:textId="77777777" w:rsidR="002019C6" w:rsidRPr="00AB2AC3" w:rsidRDefault="002019C6" w:rsidP="002019C6">
      <w:pPr>
        <w:numPr>
          <w:ilvl w:val="0"/>
          <w:numId w:val="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Alertas tempranas.</w:t>
      </w:r>
    </w:p>
    <w:p w14:paraId="58BE1FAB" w14:textId="15AB08C8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IPC7 – Ingreso primario / Tickets (Capacidad de pago directa)</w:t>
      </w:r>
    </w:p>
    <w:p w14:paraId="10D1D04B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5C3099AC" w14:textId="77777777" w:rsidR="002019C6" w:rsidRPr="00AB2AC3" w:rsidRDefault="002019C6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mide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solvencia directa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del cliente para cubrir su obligación usando solo su ingreso principal.</w:t>
      </w:r>
    </w:p>
    <w:p w14:paraId="4F843FD0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fundamental porque:</w:t>
      </w:r>
    </w:p>
    <w:p w14:paraId="1F90F0B9" w14:textId="77777777" w:rsidR="002019C6" w:rsidRPr="00AB2AC3" w:rsidRDefault="002019C6" w:rsidP="002019C6">
      <w:pPr>
        <w:numPr>
          <w:ilvl w:val="0"/>
          <w:numId w:val="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Determina si el cliente depende de fuentes alternativas para pagar.</w:t>
      </w:r>
    </w:p>
    <w:p w14:paraId="166F9ABD" w14:textId="77777777" w:rsidR="002019C6" w:rsidRPr="00AB2AC3" w:rsidRDefault="002019C6" w:rsidP="002019C6">
      <w:pPr>
        <w:numPr>
          <w:ilvl w:val="0"/>
          <w:numId w:val="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Identifica posibles escenarios de sobreendeudamiento.</w:t>
      </w:r>
    </w:p>
    <w:p w14:paraId="528FFA9C" w14:textId="77777777" w:rsidR="002019C6" w:rsidRPr="00AB2AC3" w:rsidRDefault="002019C6" w:rsidP="002019C6">
      <w:pPr>
        <w:numPr>
          <w:ilvl w:val="0"/>
          <w:numId w:val="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Permite medir la sostenibilidad del crédito.</w:t>
      </w:r>
    </w:p>
    <w:p w14:paraId="788E041E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valor bajo indica:</w:t>
      </w:r>
    </w:p>
    <w:p w14:paraId="7B40DDBE" w14:textId="77777777" w:rsidR="002019C6" w:rsidRPr="00AB2AC3" w:rsidRDefault="002019C6" w:rsidP="002019C6">
      <w:pPr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de liquidez.</w:t>
      </w:r>
    </w:p>
    <w:p w14:paraId="0287C2FB" w14:textId="77777777" w:rsidR="002019C6" w:rsidRPr="00AB2AC3" w:rsidRDefault="002019C6" w:rsidP="002019C6">
      <w:pPr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Dependencia de ingresos secundarios o terceros.</w:t>
      </w:r>
    </w:p>
    <w:p w14:paraId="2D4FBB86" w14:textId="77777777" w:rsidR="002019C6" w:rsidRPr="00AB2AC3" w:rsidRDefault="002019C6" w:rsidP="002019C6">
      <w:pPr>
        <w:numPr>
          <w:ilvl w:val="0"/>
          <w:numId w:val="1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Probabilidad de deterioro financiero ante cualquier shock.</w:t>
      </w:r>
    </w:p>
    <w:p w14:paraId="66D9E131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Se utiliza para evaluar la verdadera capacidad de pago.</w:t>
      </w:r>
    </w:p>
    <w:p w14:paraId="6D96683D" w14:textId="715DAF27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IPC8 – Fuente del pago (Primario / Secundario / Otros / Garantía)</w:t>
      </w:r>
    </w:p>
    <w:p w14:paraId="3E29CD91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64C0129C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clasifica el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origen del pago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estableciendo un ranking de estabilidad:</w:t>
      </w:r>
    </w:p>
    <w:p w14:paraId="3796C9D5" w14:textId="77777777" w:rsidR="002019C6" w:rsidRPr="00AB2AC3" w:rsidRDefault="002019C6" w:rsidP="002019C6">
      <w:pPr>
        <w:numPr>
          <w:ilvl w:val="0"/>
          <w:numId w:val="1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Ingreso primario: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estable y predecible.</w:t>
      </w:r>
    </w:p>
    <w:p w14:paraId="2EC9BE15" w14:textId="77777777" w:rsidR="002019C6" w:rsidRPr="00AB2AC3" w:rsidRDefault="002019C6" w:rsidP="002019C6">
      <w:pPr>
        <w:numPr>
          <w:ilvl w:val="0"/>
          <w:numId w:val="1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Ingreso secundario: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menos estable, mayor volatilidad.</w:t>
      </w:r>
    </w:p>
    <w:p w14:paraId="0C8DECF8" w14:textId="77777777" w:rsidR="002019C6" w:rsidRPr="00AB2AC3" w:rsidRDefault="002019C6" w:rsidP="002019C6">
      <w:pPr>
        <w:numPr>
          <w:ilvl w:val="0"/>
          <w:numId w:val="1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Otros ingresos: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informales o variables.</w:t>
      </w:r>
    </w:p>
    <w:p w14:paraId="3BC8A88E" w14:textId="77777777" w:rsidR="002019C6" w:rsidRPr="00AB2AC3" w:rsidRDefault="002019C6" w:rsidP="002019C6">
      <w:pPr>
        <w:numPr>
          <w:ilvl w:val="0"/>
          <w:numId w:val="1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Garantías u otros activos: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señales de posible incapacidad de pago.</w:t>
      </w:r>
    </w:p>
    <w:p w14:paraId="1BF72DD9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Este indicador evalúa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moral y riesgo operativo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ya que clientes que pagan con fuentes externas suelen:</w:t>
      </w:r>
    </w:p>
    <w:p w14:paraId="74A6A4A3" w14:textId="77777777" w:rsidR="002019C6" w:rsidRPr="00AB2AC3" w:rsidRDefault="002019C6" w:rsidP="002019C6">
      <w:pPr>
        <w:numPr>
          <w:ilvl w:val="0"/>
          <w:numId w:val="1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No tener ingresos suficientes del negocio.</w:t>
      </w:r>
    </w:p>
    <w:p w14:paraId="3806F401" w14:textId="77777777" w:rsidR="002019C6" w:rsidRPr="00AB2AC3" w:rsidRDefault="002019C6" w:rsidP="002019C6">
      <w:pPr>
        <w:numPr>
          <w:ilvl w:val="0"/>
          <w:numId w:val="1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Depender de terceros.</w:t>
      </w:r>
    </w:p>
    <w:p w14:paraId="7DCBAEB0" w14:textId="77777777" w:rsidR="002019C6" w:rsidRPr="00AB2AC3" w:rsidRDefault="002019C6" w:rsidP="002019C6">
      <w:pPr>
        <w:numPr>
          <w:ilvl w:val="0"/>
          <w:numId w:val="1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Tener actividad económica débil o inestable.</w:t>
      </w:r>
    </w:p>
    <w:p w14:paraId="09F99E76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clave para sostenibilidad del crédito.</w:t>
      </w:r>
    </w:p>
    <w:p w14:paraId="7807ED00" w14:textId="7A3DD342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IPC9 – Deuda con ADRA / Pasivo total del cliente (Concentración de exposición)</w:t>
      </w:r>
    </w:p>
    <w:p w14:paraId="631C10CF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46BDC01F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Evalúa qué proporción del endeudamiento del cliente corresponde a la entidad.</w:t>
      </w:r>
    </w:p>
    <w:p w14:paraId="788046D1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porcentaje bajo indica:</w:t>
      </w:r>
    </w:p>
    <w:p w14:paraId="6C29ACCB" w14:textId="77777777" w:rsidR="002019C6" w:rsidRPr="00AB2AC3" w:rsidRDefault="002019C6" w:rsidP="002019C6">
      <w:pPr>
        <w:numPr>
          <w:ilvl w:val="0"/>
          <w:numId w:val="1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Exposición significativa del cliente con terceros.</w:t>
      </w:r>
    </w:p>
    <w:p w14:paraId="15D6E51B" w14:textId="77777777" w:rsidR="002019C6" w:rsidRPr="00AB2AC3" w:rsidRDefault="002019C6" w:rsidP="002019C6">
      <w:pPr>
        <w:numPr>
          <w:ilvl w:val="0"/>
          <w:numId w:val="1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de contagio financiero.</w:t>
      </w:r>
    </w:p>
    <w:p w14:paraId="701FEBF0" w14:textId="77777777" w:rsidR="002019C6" w:rsidRPr="00AB2AC3" w:rsidRDefault="002019C6" w:rsidP="002019C6">
      <w:pPr>
        <w:numPr>
          <w:ilvl w:val="0"/>
          <w:numId w:val="1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Menor control de la entidad sobre la estructura financiera del cliente.</w:t>
      </w:r>
    </w:p>
    <w:p w14:paraId="13AB39B2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porcentaje alto indica:</w:t>
      </w:r>
    </w:p>
    <w:p w14:paraId="2AD11D89" w14:textId="77777777" w:rsidR="002019C6" w:rsidRPr="00AB2AC3" w:rsidRDefault="002019C6" w:rsidP="002019C6">
      <w:pPr>
        <w:numPr>
          <w:ilvl w:val="0"/>
          <w:numId w:val="1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Alto riesgo institucional si el cliente cae en mora.</w:t>
      </w:r>
    </w:p>
    <w:p w14:paraId="3366C944" w14:textId="77777777" w:rsidR="002019C6" w:rsidRPr="00AB2AC3" w:rsidRDefault="002019C6" w:rsidP="002019C6">
      <w:pPr>
        <w:numPr>
          <w:ilvl w:val="0"/>
          <w:numId w:val="1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Necesidad de monitoreo adicional.</w:t>
      </w:r>
    </w:p>
    <w:p w14:paraId="09440DE6" w14:textId="77777777" w:rsidR="002019C6" w:rsidRPr="00AB2AC3" w:rsidRDefault="002019C6" w:rsidP="002019C6">
      <w:pPr>
        <w:numPr>
          <w:ilvl w:val="0"/>
          <w:numId w:val="1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Posible </w:t>
      </w: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sobredependencia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del cliente hacia ADRA.</w:t>
      </w:r>
    </w:p>
    <w:p w14:paraId="12D5DC04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es clave para medir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de mercado y sistémico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</w:p>
    <w:p w14:paraId="3BA83CDB" w14:textId="64C4D2EC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IPC10 – Créditos sin ADRA / Créditos totales (Nivel de contagio)</w:t>
      </w:r>
    </w:p>
    <w:p w14:paraId="40336A10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0F78ACC0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Mide cuántas entidades financieras comparten al cliente.</w:t>
      </w:r>
    </w:p>
    <w:p w14:paraId="2387F96C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cliente con múltiples créditos externos presenta:</w:t>
      </w:r>
    </w:p>
    <w:p w14:paraId="32787C80" w14:textId="77777777" w:rsidR="002019C6" w:rsidRPr="00AB2AC3" w:rsidRDefault="002019C6" w:rsidP="002019C6">
      <w:pPr>
        <w:numPr>
          <w:ilvl w:val="0"/>
          <w:numId w:val="1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probabilidad de sobreendeudamiento.</w:t>
      </w:r>
    </w:p>
    <w:p w14:paraId="534D134A" w14:textId="77777777" w:rsidR="002019C6" w:rsidRPr="00AB2AC3" w:rsidRDefault="002019C6" w:rsidP="002019C6">
      <w:pPr>
        <w:numPr>
          <w:ilvl w:val="0"/>
          <w:numId w:val="1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Menor liquidez disponible.</w:t>
      </w:r>
    </w:p>
    <w:p w14:paraId="4EE9E116" w14:textId="77777777" w:rsidR="002019C6" w:rsidRPr="00AB2AC3" w:rsidRDefault="002019C6" w:rsidP="002019C6">
      <w:pPr>
        <w:numPr>
          <w:ilvl w:val="0"/>
          <w:numId w:val="1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vulnerabilidad ante shocks económicos.</w:t>
      </w:r>
    </w:p>
    <w:p w14:paraId="7D6CF5B6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alto nivel de contagio indica:</w:t>
      </w:r>
    </w:p>
    <w:p w14:paraId="581B3676" w14:textId="77777777" w:rsidR="002019C6" w:rsidRPr="00AB2AC3" w:rsidRDefault="002019C6" w:rsidP="002019C6">
      <w:pPr>
        <w:numPr>
          <w:ilvl w:val="0"/>
          <w:numId w:val="1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Baja fidelidad financiera.</w:t>
      </w:r>
    </w:p>
    <w:p w14:paraId="27052390" w14:textId="77777777" w:rsidR="002019C6" w:rsidRPr="00AB2AC3" w:rsidRDefault="002019C6" w:rsidP="002019C6">
      <w:pPr>
        <w:numPr>
          <w:ilvl w:val="0"/>
          <w:numId w:val="1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Posible abuso del crédito.</w:t>
      </w:r>
    </w:p>
    <w:p w14:paraId="0B3204DC" w14:textId="77777777" w:rsidR="002019C6" w:rsidRPr="00AB2AC3" w:rsidRDefault="002019C6" w:rsidP="002019C6">
      <w:pPr>
        <w:numPr>
          <w:ilvl w:val="0"/>
          <w:numId w:val="1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de impago por competencia de pagos mensuales.</w:t>
      </w:r>
    </w:p>
    <w:p w14:paraId="18F13295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clave para decisiones de aprobación y renovación.</w:t>
      </w:r>
    </w:p>
    <w:p w14:paraId="20D865F9" w14:textId="44D5D75A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IPC11 – (Ciclos anteriores / total ciclos) (Nivel de retención)</w:t>
      </w:r>
    </w:p>
    <w:p w14:paraId="28CCBC94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516B394E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mide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permanencia del cliente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en la institución.</w:t>
      </w:r>
    </w:p>
    <w:p w14:paraId="19824060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cliente con alto nivel de retención:</w:t>
      </w:r>
    </w:p>
    <w:p w14:paraId="34EC70F4" w14:textId="77777777" w:rsidR="002019C6" w:rsidRPr="00AB2AC3" w:rsidRDefault="002019C6" w:rsidP="002019C6">
      <w:pPr>
        <w:numPr>
          <w:ilvl w:val="0"/>
          <w:numId w:val="1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Posee historial verificable.</w:t>
      </w:r>
    </w:p>
    <w:p w14:paraId="6DB5FE74" w14:textId="77777777" w:rsidR="002019C6" w:rsidRPr="00AB2AC3" w:rsidRDefault="002019C6" w:rsidP="002019C6">
      <w:pPr>
        <w:numPr>
          <w:ilvl w:val="0"/>
          <w:numId w:val="1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Permite evaluar comportamiento longitudinal.</w:t>
      </w:r>
    </w:p>
    <w:p w14:paraId="79EFA2B8" w14:textId="77777777" w:rsidR="002019C6" w:rsidRPr="00AB2AC3" w:rsidRDefault="002019C6" w:rsidP="002019C6">
      <w:pPr>
        <w:numPr>
          <w:ilvl w:val="0"/>
          <w:numId w:val="1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Presenta menor riesgo moral.</w:t>
      </w:r>
    </w:p>
    <w:p w14:paraId="79427356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cliente con baja retención:</w:t>
      </w:r>
    </w:p>
    <w:p w14:paraId="054FAC3F" w14:textId="77777777" w:rsidR="002019C6" w:rsidRPr="00AB2AC3" w:rsidRDefault="002019C6" w:rsidP="002019C6">
      <w:pPr>
        <w:numPr>
          <w:ilvl w:val="0"/>
          <w:numId w:val="1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Aumenta la incertidumbre del modelo.</w:t>
      </w:r>
    </w:p>
    <w:p w14:paraId="5C8FA60E" w14:textId="77777777" w:rsidR="002019C6" w:rsidRPr="00AB2AC3" w:rsidRDefault="002019C6" w:rsidP="002019C6">
      <w:pPr>
        <w:numPr>
          <w:ilvl w:val="0"/>
          <w:numId w:val="1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Reduce predictibilidad del comportamiento.</w:t>
      </w:r>
    </w:p>
    <w:p w14:paraId="0DE257A2" w14:textId="77777777" w:rsidR="002019C6" w:rsidRPr="00AB2AC3" w:rsidRDefault="002019C6" w:rsidP="002019C6">
      <w:pPr>
        <w:numPr>
          <w:ilvl w:val="0"/>
          <w:numId w:val="1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Impide determinar patrones de pago confiables.</w:t>
      </w:r>
    </w:p>
    <w:p w14:paraId="5D92D4D3" w14:textId="081FF7E0" w:rsidR="002019C6" w:rsidRPr="00D570D4" w:rsidRDefault="002019C6" w:rsidP="00D570D4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un indicador crítico de riesgo operativo y de mercado.</w:t>
      </w:r>
    </w:p>
    <w:p w14:paraId="64FB95AA" w14:textId="30766DAF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IPC12 – Operaciones rechazadas / operaciones totales (Riesgo documental y moral)</w:t>
      </w:r>
    </w:p>
    <w:p w14:paraId="22A993FE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5E9F4D11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Mide la cantidad de veces que el cliente ha sido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rechazado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en solicitudes crediticias.</w:t>
      </w:r>
    </w:p>
    <w:p w14:paraId="205C5E31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útil para detectar:</w:t>
      </w:r>
    </w:p>
    <w:p w14:paraId="12964F8D" w14:textId="77777777" w:rsidR="002019C6" w:rsidRPr="00AB2AC3" w:rsidRDefault="002019C6" w:rsidP="002019C6">
      <w:pPr>
        <w:numPr>
          <w:ilvl w:val="0"/>
          <w:numId w:val="1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Inconsistencias documentarias.</w:t>
      </w:r>
    </w:p>
    <w:p w14:paraId="2B768E38" w14:textId="77777777" w:rsidR="002019C6" w:rsidRPr="00AB2AC3" w:rsidRDefault="002019C6" w:rsidP="002019C6">
      <w:pPr>
        <w:numPr>
          <w:ilvl w:val="0"/>
          <w:numId w:val="1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moral potencial.</w:t>
      </w:r>
    </w:p>
    <w:p w14:paraId="7E3AC472" w14:textId="77777777" w:rsidR="002019C6" w:rsidRPr="00AB2AC3" w:rsidRDefault="002019C6" w:rsidP="002019C6">
      <w:pPr>
        <w:numPr>
          <w:ilvl w:val="0"/>
          <w:numId w:val="1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Cambios frecuentes de información.</w:t>
      </w:r>
    </w:p>
    <w:p w14:paraId="2F8F3BE8" w14:textId="77777777" w:rsidR="002019C6" w:rsidRPr="00AB2AC3" w:rsidRDefault="002019C6" w:rsidP="002019C6">
      <w:pPr>
        <w:numPr>
          <w:ilvl w:val="0"/>
          <w:numId w:val="1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Intentos de fraude o sobreendeudamiento.</w:t>
      </w:r>
    </w:p>
    <w:p w14:paraId="24F9FBBD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Altas tasas de rechazo indican comportamiento no confiable y riesgo elevado.</w:t>
      </w:r>
    </w:p>
    <w:p w14:paraId="6F29C694" w14:textId="139AEFED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lastRenderedPageBreak/>
        <w:t>IPC13 – (Efectivo + ahorros) / activo total (Liquidez del cliente)</w:t>
      </w:r>
    </w:p>
    <w:p w14:paraId="30B4062A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055D5067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Evalúa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capacidad de liquidez inmediata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fundamental para enfrentar contingencias.</w:t>
      </w:r>
    </w:p>
    <w:p w14:paraId="67E23C68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cliente con baja liquidez presenta:</w:t>
      </w:r>
    </w:p>
    <w:p w14:paraId="6D345C70" w14:textId="77777777" w:rsidR="002019C6" w:rsidRPr="00AB2AC3" w:rsidRDefault="002019C6" w:rsidP="002019C6">
      <w:pPr>
        <w:numPr>
          <w:ilvl w:val="0"/>
          <w:numId w:val="2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Vulnerabilidad ante shocks.</w:t>
      </w:r>
    </w:p>
    <w:p w14:paraId="0CCB1BCB" w14:textId="77777777" w:rsidR="002019C6" w:rsidRPr="00AB2AC3" w:rsidRDefault="002019C6" w:rsidP="002019C6">
      <w:pPr>
        <w:numPr>
          <w:ilvl w:val="0"/>
          <w:numId w:val="2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de incumplimiento por falta de colchón financiero.</w:t>
      </w:r>
    </w:p>
    <w:p w14:paraId="66F5EBD2" w14:textId="77777777" w:rsidR="002019C6" w:rsidRPr="00AB2AC3" w:rsidRDefault="002019C6" w:rsidP="002019C6">
      <w:pPr>
        <w:numPr>
          <w:ilvl w:val="0"/>
          <w:numId w:val="2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exposición a pérdida en caso de caída del negocio.</w:t>
      </w:r>
    </w:p>
    <w:p w14:paraId="0364D685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cliente con liquidez alta puede absorber fluctuaciones en ingresos y gastos.</w:t>
      </w:r>
    </w:p>
    <w:p w14:paraId="4458C158" w14:textId="7505F2E9" w:rsidR="006729AA" w:rsidRPr="00AB2AC3" w:rsidRDefault="002019C6" w:rsidP="006729AA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 xml:space="preserve">IPC14 – </w:t>
      </w:r>
      <w:r w:rsidR="006729AA"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 xml:space="preserve">Ingreso t-1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 xml:space="preserve">/ </w:t>
      </w:r>
      <w:r w:rsidR="006729AA"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Ingreso t  (Variación del ingreso)</w:t>
      </w:r>
    </w:p>
    <w:p w14:paraId="1BFE351F" w14:textId="77777777" w:rsidR="006729AA" w:rsidRPr="00AB2AC3" w:rsidRDefault="006729AA" w:rsidP="006729AA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1D2A74C8" w14:textId="77777777" w:rsidR="00D570D4" w:rsidRDefault="006729AA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mide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evolución del ingreso del cliente en el tiempo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comparando el ingreso del período anterior (t-1) con el ingreso del período actual (t).</w:t>
      </w:r>
    </w:p>
    <w:p w14:paraId="0248AC2D" w14:textId="1E682A46" w:rsidR="006729AA" w:rsidRPr="00AB2AC3" w:rsidRDefault="006729AA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Permite identificar si la capacidad generadora de ingresos del cliente se encuentra en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crecimiento, estancamiento o deterioro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lo cual es un factor determinante para la sostenibilidad del pago de sus obligaciones financieras.</w:t>
      </w:r>
    </w:p>
    <w:p w14:paraId="3901D985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ratio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menor a 1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indica:</w:t>
      </w:r>
    </w:p>
    <w:p w14:paraId="17028C60" w14:textId="77777777" w:rsidR="006729AA" w:rsidRPr="00AB2AC3" w:rsidRDefault="006729AA" w:rsidP="006729AA">
      <w:pPr>
        <w:numPr>
          <w:ilvl w:val="0"/>
          <w:numId w:val="3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Crecimiento del ingreso del cliente.</w:t>
      </w:r>
    </w:p>
    <w:p w14:paraId="57D00D2D" w14:textId="77777777" w:rsidR="006729AA" w:rsidRPr="00AB2AC3" w:rsidRDefault="006729AA" w:rsidP="006729AA">
      <w:pPr>
        <w:numPr>
          <w:ilvl w:val="0"/>
          <w:numId w:val="3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capacidad de pago futura.</w:t>
      </w:r>
    </w:p>
    <w:p w14:paraId="63964A11" w14:textId="77777777" w:rsidR="006729AA" w:rsidRPr="00AB2AC3" w:rsidRDefault="006729AA" w:rsidP="006729AA">
      <w:pPr>
        <w:numPr>
          <w:ilvl w:val="0"/>
          <w:numId w:val="3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Mejora en la estabilidad económica.</w:t>
      </w:r>
    </w:p>
    <w:p w14:paraId="17A45C66" w14:textId="77777777" w:rsidR="006729AA" w:rsidRPr="00AB2AC3" w:rsidRDefault="006729AA" w:rsidP="006729AA">
      <w:pPr>
        <w:numPr>
          <w:ilvl w:val="0"/>
          <w:numId w:val="3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resiliencia frente a shocks externos.</w:t>
      </w:r>
    </w:p>
    <w:p w14:paraId="17796FF3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ratio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igual a 1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indica:</w:t>
      </w:r>
    </w:p>
    <w:p w14:paraId="28C88E47" w14:textId="77777777" w:rsidR="006729AA" w:rsidRPr="00AB2AC3" w:rsidRDefault="006729AA" w:rsidP="006729AA">
      <w:pPr>
        <w:numPr>
          <w:ilvl w:val="0"/>
          <w:numId w:val="3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Estancamiento del ingreso.</w:t>
      </w:r>
    </w:p>
    <w:p w14:paraId="3106FAD5" w14:textId="77777777" w:rsidR="006729AA" w:rsidRPr="00AB2AC3" w:rsidRDefault="006729AA" w:rsidP="006729AA">
      <w:pPr>
        <w:numPr>
          <w:ilvl w:val="0"/>
          <w:numId w:val="3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Capacidad de pago estable pero sin holgura.</w:t>
      </w:r>
    </w:p>
    <w:p w14:paraId="73D18A54" w14:textId="77777777" w:rsidR="006729AA" w:rsidRPr="00AB2AC3" w:rsidRDefault="006729AA" w:rsidP="006729AA">
      <w:pPr>
        <w:numPr>
          <w:ilvl w:val="0"/>
          <w:numId w:val="3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Vulnerabilidad ante incrementos de gasto o contingencias.</w:t>
      </w:r>
    </w:p>
    <w:p w14:paraId="48B4A742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ratio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mayor a 1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indica:</w:t>
      </w:r>
    </w:p>
    <w:p w14:paraId="55817AA6" w14:textId="77777777" w:rsidR="006729AA" w:rsidRPr="00AB2AC3" w:rsidRDefault="006729AA" w:rsidP="006729AA">
      <w:pPr>
        <w:numPr>
          <w:ilvl w:val="0"/>
          <w:numId w:val="4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Disminución del ingreso.</w:t>
      </w:r>
    </w:p>
    <w:p w14:paraId="634B0CD1" w14:textId="77777777" w:rsidR="006729AA" w:rsidRPr="00AB2AC3" w:rsidRDefault="006729AA" w:rsidP="006729AA">
      <w:pPr>
        <w:numPr>
          <w:ilvl w:val="0"/>
          <w:numId w:val="4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Deterioro de la capacidad de pago.</w:t>
      </w:r>
    </w:p>
    <w:p w14:paraId="513797F3" w14:textId="77777777" w:rsidR="006729AA" w:rsidRPr="00AB2AC3" w:rsidRDefault="006729AA" w:rsidP="006729AA">
      <w:pPr>
        <w:numPr>
          <w:ilvl w:val="0"/>
          <w:numId w:val="4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probabilidad de estrés financiero.</w:t>
      </w:r>
    </w:p>
    <w:p w14:paraId="5CCD1FF0" w14:textId="77777777" w:rsidR="006729AA" w:rsidRPr="00AB2AC3" w:rsidRDefault="006729AA" w:rsidP="006729AA">
      <w:pPr>
        <w:numPr>
          <w:ilvl w:val="0"/>
          <w:numId w:val="4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creciente de incumplimiento.</w:t>
      </w:r>
    </w:p>
    <w:p w14:paraId="444F3226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está asociado a:</w:t>
      </w:r>
    </w:p>
    <w:p w14:paraId="2D43AE3A" w14:textId="77777777" w:rsidR="006729AA" w:rsidRPr="00AB2AC3" w:rsidRDefault="006729AA" w:rsidP="006729AA">
      <w:pPr>
        <w:numPr>
          <w:ilvl w:val="0"/>
          <w:numId w:val="4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crediticio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(variación en la capacidad de pago).</w:t>
      </w:r>
    </w:p>
    <w:p w14:paraId="187FB96B" w14:textId="77777777" w:rsidR="006729AA" w:rsidRPr="00AB2AC3" w:rsidRDefault="006729AA" w:rsidP="006729AA">
      <w:pPr>
        <w:numPr>
          <w:ilvl w:val="0"/>
          <w:numId w:val="4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operativo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(desempeño del negocio o actividad económica).</w:t>
      </w:r>
    </w:p>
    <w:p w14:paraId="76F9093F" w14:textId="77777777" w:rsidR="006729AA" w:rsidRPr="00AB2AC3" w:rsidRDefault="006729AA" w:rsidP="006729AA">
      <w:pPr>
        <w:numPr>
          <w:ilvl w:val="0"/>
          <w:numId w:val="4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de liquidez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(menor flujo disponible para cubrir obligaciones).</w:t>
      </w:r>
    </w:p>
    <w:p w14:paraId="4AE4ABC0" w14:textId="77777777" w:rsidR="006729AA" w:rsidRPr="00AB2AC3" w:rsidRDefault="006729AA" w:rsidP="006729AA">
      <w:pPr>
        <w:numPr>
          <w:ilvl w:val="0"/>
          <w:numId w:val="41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de mercado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(impacto de condiciones económicas externas).</w:t>
      </w:r>
    </w:p>
    <w:p w14:paraId="530EFB05" w14:textId="28A56012" w:rsidR="002019C6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esencial para evaluar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tendencia económica del cliente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, anticipar deterioros antes de que se </w:t>
      </w: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refl</w:t>
      </w:r>
      <w:proofErr w:type="spellEnd"/>
      <w:r w:rsidR="00E56F51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ab/>
      </w: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ejen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en la mora y fortalecer los sistemas de alerta temprana dentro de la gestión integral del riesgo.</w:t>
      </w:r>
    </w:p>
    <w:p w14:paraId="7DF0116F" w14:textId="74C3F0F3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IPC15 – Años desde el primer crédito / años de experiencia en la actividad</w:t>
      </w:r>
    </w:p>
    <w:p w14:paraId="7DD9CBDA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276E7198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Evalúa si el cliente se inició en el uso del crédito antes o después de consolidar su experiencia económica.</w:t>
      </w:r>
    </w:p>
    <w:p w14:paraId="53089063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valor elevado indica:</w:t>
      </w:r>
    </w:p>
    <w:p w14:paraId="0A97FA56" w14:textId="77777777" w:rsidR="002019C6" w:rsidRPr="00AB2AC3" w:rsidRDefault="002019C6" w:rsidP="002019C6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Profesionalización financiera.</w:t>
      </w:r>
    </w:p>
    <w:p w14:paraId="036B7CF4" w14:textId="77777777" w:rsidR="002019C6" w:rsidRPr="00AB2AC3" w:rsidRDefault="002019C6" w:rsidP="002019C6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Mejor entendimiento del crédito como herramienta.</w:t>
      </w:r>
    </w:p>
    <w:p w14:paraId="4DA54999" w14:textId="77777777" w:rsidR="002019C6" w:rsidRPr="00AB2AC3" w:rsidRDefault="002019C6" w:rsidP="002019C6">
      <w:pPr>
        <w:numPr>
          <w:ilvl w:val="0"/>
          <w:numId w:val="2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Menor riesgo técnico-operativo.</w:t>
      </w:r>
    </w:p>
    <w:p w14:paraId="59054BD2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valor bajo puede indicar que el cliente aún no domina la dinámica comercial de su sector.</w:t>
      </w:r>
    </w:p>
    <w:p w14:paraId="52C9FA8B" w14:textId="33B46206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IPC16 – Activo t-1 / Activo t (Variación del activo)</w:t>
      </w:r>
    </w:p>
    <w:p w14:paraId="299D9817" w14:textId="77777777" w:rsidR="002019C6" w:rsidRPr="00AB2AC3" w:rsidRDefault="002019C6" w:rsidP="002019C6">
      <w:pPr>
        <w:spacing w:before="100" w:beforeAutospacing="1" w:after="100" w:afterAutospacing="1"/>
        <w:outlineLvl w:val="1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1DE06BEC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Mide el crecimiento o deterioro del patrimonio del cliente en el tiempo.</w:t>
      </w:r>
    </w:p>
    <w:p w14:paraId="4598EDBD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ratio menor a 1 indica:</w:t>
      </w:r>
    </w:p>
    <w:p w14:paraId="16E53D8F" w14:textId="77777777" w:rsidR="002019C6" w:rsidRPr="00AB2AC3" w:rsidRDefault="002019C6" w:rsidP="002019C6">
      <w:pPr>
        <w:numPr>
          <w:ilvl w:val="0"/>
          <w:numId w:val="2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Disminución patrimonial.</w:t>
      </w:r>
    </w:p>
    <w:p w14:paraId="73775EE1" w14:textId="77777777" w:rsidR="002019C6" w:rsidRPr="00AB2AC3" w:rsidRDefault="002019C6" w:rsidP="002019C6">
      <w:pPr>
        <w:numPr>
          <w:ilvl w:val="0"/>
          <w:numId w:val="2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Menor capacidad de absorber shocks.</w:t>
      </w:r>
    </w:p>
    <w:p w14:paraId="457FC5F7" w14:textId="77777777" w:rsidR="002019C6" w:rsidRPr="00AB2AC3" w:rsidRDefault="002019C6" w:rsidP="002019C6">
      <w:pPr>
        <w:numPr>
          <w:ilvl w:val="0"/>
          <w:numId w:val="2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de iliquidez futura.</w:t>
      </w:r>
    </w:p>
    <w:p w14:paraId="51DA61AE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Este indicador está asociado a:</w:t>
      </w:r>
    </w:p>
    <w:p w14:paraId="41E23EF5" w14:textId="77777777" w:rsidR="002019C6" w:rsidRPr="00AB2AC3" w:rsidRDefault="002019C6" w:rsidP="002019C6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operativo (pérdida del negocio).</w:t>
      </w:r>
    </w:p>
    <w:p w14:paraId="1F960251" w14:textId="77777777" w:rsidR="002019C6" w:rsidRPr="00AB2AC3" w:rsidRDefault="002019C6" w:rsidP="002019C6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crediticio (caída de solvencia).</w:t>
      </w:r>
    </w:p>
    <w:p w14:paraId="58E39193" w14:textId="77777777" w:rsidR="002019C6" w:rsidRPr="00AB2AC3" w:rsidRDefault="002019C6" w:rsidP="002019C6">
      <w:pPr>
        <w:numPr>
          <w:ilvl w:val="0"/>
          <w:numId w:val="2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de mercado (variaciones en valor de activos).</w:t>
      </w:r>
    </w:p>
    <w:p w14:paraId="2D549E6D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esencial para evaluar estabilidad económico–productiva del cliente.</w:t>
      </w:r>
    </w:p>
    <w:p w14:paraId="0A46EAEA" w14:textId="77777777" w:rsidR="006729AA" w:rsidRPr="00AB2AC3" w:rsidRDefault="006729AA" w:rsidP="006729AA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IPC17 – Provisión de cartera / Saldo de cartera en mora</w:t>
      </w:r>
    </w:p>
    <w:p w14:paraId="5DAECB94" w14:textId="77777777" w:rsidR="006729AA" w:rsidRPr="00AB2AC3" w:rsidRDefault="006729AA" w:rsidP="006729AA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79728F33" w14:textId="77777777" w:rsidR="00D570D4" w:rsidRDefault="006729AA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mide el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nivel de cobertura del riesgo crediticio materializado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evaluando qué proporción de la cartera en mora se encuentra respaldada por provisiones contables.</w:t>
      </w:r>
    </w:p>
    <w:p w14:paraId="15C4CBED" w14:textId="1AF6644D" w:rsidR="006729AA" w:rsidRPr="00AB2AC3" w:rsidRDefault="006729AA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Permite analizar si la institución ha reconocido adecuadamente el deterioro de su cartera y si cuenta con un colchón suficiente para absorber pérdidas esperadas.</w:t>
      </w:r>
    </w:p>
    <w:p w14:paraId="39D010CD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ratio bajo indica:</w:t>
      </w:r>
    </w:p>
    <w:p w14:paraId="7E2149CF" w14:textId="77777777" w:rsidR="006729AA" w:rsidRPr="00AB2AC3" w:rsidRDefault="006729AA" w:rsidP="006729AA">
      <w:pPr>
        <w:numPr>
          <w:ilvl w:val="0"/>
          <w:numId w:val="3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proofErr w:type="spellStart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Subprovisión</w:t>
      </w:r>
      <w:proofErr w:type="spellEnd"/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frente al riesgo real.</w:t>
      </w:r>
    </w:p>
    <w:p w14:paraId="5E197306" w14:textId="77777777" w:rsidR="006729AA" w:rsidRPr="00AB2AC3" w:rsidRDefault="006729AA" w:rsidP="006729AA">
      <w:pPr>
        <w:numPr>
          <w:ilvl w:val="0"/>
          <w:numId w:val="3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Vulnerabilidad patrimonial de la institución.</w:t>
      </w:r>
    </w:p>
    <w:p w14:paraId="115E8B85" w14:textId="77777777" w:rsidR="006729AA" w:rsidRPr="00AB2AC3" w:rsidRDefault="006729AA" w:rsidP="006729AA">
      <w:pPr>
        <w:numPr>
          <w:ilvl w:val="0"/>
          <w:numId w:val="3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impacto negativo en resultados futuros.</w:t>
      </w:r>
    </w:p>
    <w:p w14:paraId="731B14BA" w14:textId="77777777" w:rsidR="006729AA" w:rsidRPr="00AB2AC3" w:rsidRDefault="006729AA" w:rsidP="006729AA">
      <w:pPr>
        <w:numPr>
          <w:ilvl w:val="0"/>
          <w:numId w:val="32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Riesgo de insuficiencia de capital ante deterioros adicionales.</w:t>
      </w:r>
    </w:p>
    <w:p w14:paraId="70F7123D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ratio adecuado o alto indica:</w:t>
      </w:r>
    </w:p>
    <w:p w14:paraId="518392F0" w14:textId="77777777" w:rsidR="006729AA" w:rsidRPr="00AB2AC3" w:rsidRDefault="006729AA" w:rsidP="006729AA">
      <w:pPr>
        <w:numPr>
          <w:ilvl w:val="0"/>
          <w:numId w:val="3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Reconocimiento oportuno del deterioro crediticio.</w:t>
      </w:r>
    </w:p>
    <w:p w14:paraId="3FA8E6DE" w14:textId="77777777" w:rsidR="006729AA" w:rsidRPr="00AB2AC3" w:rsidRDefault="006729AA" w:rsidP="006729AA">
      <w:pPr>
        <w:numPr>
          <w:ilvl w:val="0"/>
          <w:numId w:val="3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Gestión prudente del riesgo.</w:t>
      </w:r>
    </w:p>
    <w:p w14:paraId="4DAD98C8" w14:textId="77777777" w:rsidR="006729AA" w:rsidRPr="00AB2AC3" w:rsidRDefault="006729AA" w:rsidP="006729AA">
      <w:pPr>
        <w:numPr>
          <w:ilvl w:val="0"/>
          <w:numId w:val="33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Capacidad de absorber pérdidas sin comprometer solvencia.</w:t>
      </w:r>
    </w:p>
    <w:p w14:paraId="17CB0B19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está asociado a:</w:t>
      </w:r>
    </w:p>
    <w:p w14:paraId="63757AC6" w14:textId="77777777" w:rsidR="006729AA" w:rsidRPr="00AB2AC3" w:rsidRDefault="006729AA" w:rsidP="006729AA">
      <w:pPr>
        <w:numPr>
          <w:ilvl w:val="0"/>
          <w:numId w:val="3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crediticio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(insuficiente cobertura de incumplimientos).</w:t>
      </w:r>
    </w:p>
    <w:p w14:paraId="2CF3DCB7" w14:textId="77777777" w:rsidR="006729AA" w:rsidRPr="00AB2AC3" w:rsidRDefault="006729AA" w:rsidP="006729AA">
      <w:pPr>
        <w:numPr>
          <w:ilvl w:val="0"/>
          <w:numId w:val="3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patrimonial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(impacto directo en capital).</w:t>
      </w:r>
    </w:p>
    <w:p w14:paraId="226729B4" w14:textId="77777777" w:rsidR="006729AA" w:rsidRPr="00AB2AC3" w:rsidRDefault="006729AA" w:rsidP="006729AA">
      <w:pPr>
        <w:numPr>
          <w:ilvl w:val="0"/>
          <w:numId w:val="3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regulatorio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(cumplimiento de normas prudenciales).</w:t>
      </w:r>
    </w:p>
    <w:p w14:paraId="6AB7B455" w14:textId="77777777" w:rsidR="006729AA" w:rsidRPr="00AB2AC3" w:rsidRDefault="006729AA" w:rsidP="006729AA">
      <w:pPr>
        <w:numPr>
          <w:ilvl w:val="0"/>
          <w:numId w:val="34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financiero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(volatilidad de resultados).</w:t>
      </w:r>
    </w:p>
    <w:p w14:paraId="248E07D5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esencial para evaluar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solidez financiera de la institución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la calidad de la gestión del riesgo crediticio y la sostenibilidad del portafolio en escenarios adversos.</w:t>
      </w:r>
    </w:p>
    <w:p w14:paraId="64D2A235" w14:textId="2353649A" w:rsidR="006729AA" w:rsidRPr="00AB2AC3" w:rsidRDefault="006729AA" w:rsidP="006729AA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lastRenderedPageBreak/>
        <w:t>IPC18 – Ahorros individuales / Saldo de cartera</w:t>
      </w:r>
    </w:p>
    <w:p w14:paraId="7FA5B4AD" w14:textId="77777777" w:rsidR="006729AA" w:rsidRPr="00AB2AC3" w:rsidRDefault="006729AA" w:rsidP="006729AA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Justificación Técnica</w:t>
      </w:r>
    </w:p>
    <w:p w14:paraId="1311407E" w14:textId="77777777" w:rsidR="006729AA" w:rsidRPr="00AB2AC3" w:rsidRDefault="006729AA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mide el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nivel de respaldo interno del portafolio crediticio mediante los ahorros de los propios clientes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reflejando la capacidad de la institución para mitigar el riesgo crediticio a través de recursos captados de manera estable y recurrente.</w:t>
      </w:r>
    </w:p>
    <w:p w14:paraId="17E3EDFA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mayor nivel de ahorros en relación con la cartera indica:</w:t>
      </w:r>
    </w:p>
    <w:p w14:paraId="1E2D5F3F" w14:textId="77777777" w:rsidR="006729AA" w:rsidRPr="00AB2AC3" w:rsidRDefault="006729AA" w:rsidP="006729AA">
      <w:pPr>
        <w:numPr>
          <w:ilvl w:val="0"/>
          <w:numId w:val="3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base de fondeo propio.</w:t>
      </w:r>
    </w:p>
    <w:p w14:paraId="4DABBC0B" w14:textId="77777777" w:rsidR="006729AA" w:rsidRPr="00AB2AC3" w:rsidRDefault="006729AA" w:rsidP="006729AA">
      <w:pPr>
        <w:numPr>
          <w:ilvl w:val="0"/>
          <w:numId w:val="3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Menor dependencia de fuentes externas.</w:t>
      </w:r>
    </w:p>
    <w:p w14:paraId="5059C8C3" w14:textId="77777777" w:rsidR="006729AA" w:rsidRPr="00AB2AC3" w:rsidRDefault="006729AA" w:rsidP="006729AA">
      <w:pPr>
        <w:numPr>
          <w:ilvl w:val="0"/>
          <w:numId w:val="3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alineación de incentivos entre cliente e institución.</w:t>
      </w:r>
    </w:p>
    <w:p w14:paraId="1F77C7B8" w14:textId="77777777" w:rsidR="006729AA" w:rsidRPr="00AB2AC3" w:rsidRDefault="006729AA" w:rsidP="006729AA">
      <w:pPr>
        <w:numPr>
          <w:ilvl w:val="0"/>
          <w:numId w:val="3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compromiso financiero del cliente (garantía psicológica).</w:t>
      </w:r>
    </w:p>
    <w:p w14:paraId="5135A061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ratio bajo indica:</w:t>
      </w:r>
    </w:p>
    <w:p w14:paraId="11568E78" w14:textId="77777777" w:rsidR="006729AA" w:rsidRPr="00AB2AC3" w:rsidRDefault="006729AA" w:rsidP="006729AA">
      <w:pPr>
        <w:numPr>
          <w:ilvl w:val="0"/>
          <w:numId w:val="3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Menor respaldo del portafolio.</w:t>
      </w:r>
    </w:p>
    <w:p w14:paraId="40A45448" w14:textId="77777777" w:rsidR="006729AA" w:rsidRPr="00AB2AC3" w:rsidRDefault="006729AA" w:rsidP="006729AA">
      <w:pPr>
        <w:numPr>
          <w:ilvl w:val="0"/>
          <w:numId w:val="3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Mayor exposición a shocks de liquidez.</w:t>
      </w:r>
    </w:p>
    <w:p w14:paraId="7B421AF4" w14:textId="77777777" w:rsidR="006729AA" w:rsidRPr="00AB2AC3" w:rsidRDefault="006729AA" w:rsidP="006729AA">
      <w:pPr>
        <w:numPr>
          <w:ilvl w:val="0"/>
          <w:numId w:val="3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Dependencia de fondeo externo.</w:t>
      </w:r>
    </w:p>
    <w:p w14:paraId="321109D0" w14:textId="77777777" w:rsidR="006729AA" w:rsidRPr="00AB2AC3" w:rsidRDefault="006729AA" w:rsidP="006729AA">
      <w:pPr>
        <w:numPr>
          <w:ilvl w:val="0"/>
          <w:numId w:val="3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Menor capacidad de mitigación del riesgo crediticio.</w:t>
      </w:r>
    </w:p>
    <w:p w14:paraId="52B23E1D" w14:textId="77777777" w:rsidR="006729AA" w:rsidRPr="00AB2AC3" w:rsidRDefault="006729AA" w:rsidP="006729AA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indicador está asociado a:</w:t>
      </w:r>
    </w:p>
    <w:p w14:paraId="1B05B84D" w14:textId="77777777" w:rsidR="006729AA" w:rsidRPr="00AB2AC3" w:rsidRDefault="006729AA" w:rsidP="006729AA">
      <w:pPr>
        <w:numPr>
          <w:ilvl w:val="0"/>
          <w:numId w:val="3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de liquidez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(capacidad de fondeo).</w:t>
      </w:r>
    </w:p>
    <w:p w14:paraId="457C2CAD" w14:textId="77777777" w:rsidR="006729AA" w:rsidRPr="00AB2AC3" w:rsidRDefault="006729AA" w:rsidP="006729AA">
      <w:pPr>
        <w:numPr>
          <w:ilvl w:val="0"/>
          <w:numId w:val="3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crediticio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(mitigación de pérdidas).</w:t>
      </w:r>
    </w:p>
    <w:p w14:paraId="47CAC65C" w14:textId="77777777" w:rsidR="006729AA" w:rsidRPr="00AB2AC3" w:rsidRDefault="006729AA" w:rsidP="006729AA">
      <w:pPr>
        <w:numPr>
          <w:ilvl w:val="0"/>
          <w:numId w:val="3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Riesgo operativo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(estabilidad de recursos).</w:t>
      </w:r>
    </w:p>
    <w:p w14:paraId="49288546" w14:textId="77777777" w:rsidR="006729AA" w:rsidRPr="00AB2AC3" w:rsidRDefault="006729AA" w:rsidP="006729AA">
      <w:pPr>
        <w:numPr>
          <w:ilvl w:val="0"/>
          <w:numId w:val="3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Garantía psicológica del cliente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(mayor compromiso cuando el cliente mantiene ahorros).</w:t>
      </w:r>
    </w:p>
    <w:p w14:paraId="328D9DB4" w14:textId="77777777" w:rsidR="006729AA" w:rsidRPr="00AB2AC3" w:rsidRDefault="006729AA" w:rsidP="00D570D4">
      <w:pPr>
        <w:spacing w:before="100" w:beforeAutospacing="1" w:after="100" w:afterAutospacing="1"/>
        <w:jc w:val="both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 esencial para evaluar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estabilidad financiera del modelo institucional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la fortaleza del fondeo interno y la resiliencia del portafolio frente a escenarios de estrés.</w:t>
      </w:r>
    </w:p>
    <w:p w14:paraId="5FB341E2" w14:textId="6B05ADF0" w:rsidR="002019C6" w:rsidRPr="00AB2AC3" w:rsidRDefault="002019C6" w:rsidP="00D570D4">
      <w:pPr>
        <w:pStyle w:val="Prrafodelista"/>
        <w:numPr>
          <w:ilvl w:val="0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LAS 3 DIMENSIONES DE CLASIFICACIÓN</w:t>
      </w:r>
      <w:r w:rsidR="002E05A7"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 xml:space="preserve"> EN IMF</w:t>
      </w:r>
    </w:p>
    <w:p w14:paraId="7AF36379" w14:textId="77777777" w:rsidR="002019C6" w:rsidRPr="00AB2AC3" w:rsidRDefault="002019C6" w:rsidP="002019C6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1. Ingreso del cliente</w:t>
      </w:r>
    </w:p>
    <w:p w14:paraId="663C1A22" w14:textId="6FD243F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Indicadores que evalúan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capacidad económica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flujo de</w:t>
      </w:r>
      <w:r w:rsidR="002E05A7"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caja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solvencia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liquidez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y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estructura</w:t>
      </w:r>
      <w:r w:rsidR="002E05A7"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financiera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del cliente.</w:t>
      </w:r>
    </w:p>
    <w:p w14:paraId="2AC369E3" w14:textId="77777777" w:rsidR="002019C6" w:rsidRPr="00AB2AC3" w:rsidRDefault="002019C6" w:rsidP="002019C6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2. Voluntad de pago del cliente</w:t>
      </w:r>
    </w:p>
    <w:p w14:paraId="25C1F3A5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Indicadores que miden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conducta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disciplina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historial de pago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riesgo moral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y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compromiso de cumplimiento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</w:p>
    <w:p w14:paraId="1CACD40A" w14:textId="77777777" w:rsidR="002019C6" w:rsidRPr="00AB2AC3" w:rsidRDefault="002019C6" w:rsidP="002019C6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3. Garantía psicológica del cliente</w:t>
      </w:r>
    </w:p>
    <w:p w14:paraId="5588C1BF" w14:textId="4C0301D8" w:rsidR="002019C6" w:rsidRPr="00AB2AC3" w:rsidRDefault="002019C6" w:rsidP="002E05A7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Indicadores que observan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estabilidad personal/profesional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 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madurez financiera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continuidad en el tiempo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Y 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consistencia del comportamiento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para inferir confiabilidad no económica.</w:t>
      </w:r>
    </w:p>
    <w:p w14:paraId="7A7D8F41" w14:textId="59500271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 continuación clasifico cada indicador y luego presento</w:t>
      </w:r>
      <w:r w:rsidR="002E05A7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las conclusiones por cada dimensión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</w:p>
    <w:p w14:paraId="5CC8365C" w14:textId="77777777" w:rsidR="00D570D4" w:rsidRDefault="002019C6" w:rsidP="002019C6">
      <w:pPr>
        <w:pStyle w:val="Prrafodelista"/>
        <w:numPr>
          <w:ilvl w:val="0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CLASIFICACIÓN INDICADORES IPC</w:t>
      </w:r>
      <w:r w:rsidR="002E05A7"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1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 xml:space="preserve"> – IPC1</w:t>
      </w:r>
      <w:r w:rsidR="00E56F51"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8</w:t>
      </w:r>
    </w:p>
    <w:p w14:paraId="026576A1" w14:textId="5A251CA1" w:rsidR="002019C6" w:rsidRPr="00D570D4" w:rsidRDefault="002019C6" w:rsidP="00D570D4">
      <w:pPr>
        <w:pStyle w:val="Prrafodelista"/>
        <w:numPr>
          <w:ilvl w:val="1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D570D4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INDICADORES RELACIONADOS AL INGRESO DEL CLIENTE</w:t>
      </w:r>
    </w:p>
    <w:p w14:paraId="0984A29B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Evalúan capacidad económica, liquidez, solvencia, respaldo financiero, ingreso real y estructura patrimonial.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093"/>
        <w:gridCol w:w="4642"/>
      </w:tblGrid>
      <w:tr w:rsidR="004B3AA3" w:rsidRPr="00AB2AC3" w14:paraId="0D7E9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EDCEB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24DEE38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52B89024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MOTIVO</w:t>
            </w:r>
          </w:p>
        </w:tc>
      </w:tr>
      <w:tr w:rsidR="004B3AA3" w:rsidRPr="00AB2AC3" w14:paraId="03E307CC" w14:textId="77777777" w:rsidTr="0004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B2BF" w14:textId="4BF70ABE" w:rsidR="002E05A7" w:rsidRPr="00AB2AC3" w:rsidRDefault="002E05A7" w:rsidP="000425ED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</w:t>
            </w:r>
            <w:r w:rsidR="004B3AA3"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938CF" w14:textId="3AFFEF38" w:rsidR="002E05A7" w:rsidRPr="00AB2AC3" w:rsidRDefault="004B3AA3" w:rsidP="000425ED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</w:t>
            </w:r>
            <w:r w:rsidR="002E05A7"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ora</w:t>
            </w:r>
          </w:p>
        </w:tc>
        <w:tc>
          <w:tcPr>
            <w:tcW w:w="0" w:type="auto"/>
            <w:vAlign w:val="center"/>
            <w:hideMark/>
          </w:tcPr>
          <w:p w14:paraId="7EB51491" w14:textId="2E99846B" w:rsidR="002E05A7" w:rsidRPr="00AB2AC3" w:rsidRDefault="002E05A7" w:rsidP="000425ED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 xml:space="preserve">Relaciona capacidad de pago con </w:t>
            </w:r>
            <w:r w:rsidR="004B3AA3"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Mora</w:t>
            </w: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 xml:space="preserve"> económico perdido.</w:t>
            </w:r>
          </w:p>
        </w:tc>
      </w:tr>
      <w:tr w:rsidR="004B3AA3" w:rsidRPr="00AB2AC3" w14:paraId="1A97084D" w14:textId="77777777" w:rsidTr="000425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E005" w14:textId="5B8B9A5E" w:rsidR="002E05A7" w:rsidRPr="00AB2AC3" w:rsidRDefault="002E05A7" w:rsidP="000425ED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</w:t>
            </w:r>
            <w:r w:rsidR="004B3AA3"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D50186" w14:textId="6AFC8257" w:rsidR="002E05A7" w:rsidRPr="00AB2AC3" w:rsidRDefault="004B3AA3" w:rsidP="000425ED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</w:t>
            </w:r>
            <w:r w:rsidR="002E05A7"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 xml:space="preserve">ora </w:t>
            </w: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 xml:space="preserve">por tramos </w:t>
            </w:r>
          </w:p>
        </w:tc>
        <w:tc>
          <w:tcPr>
            <w:tcW w:w="0" w:type="auto"/>
            <w:vAlign w:val="center"/>
            <w:hideMark/>
          </w:tcPr>
          <w:p w14:paraId="68A8461F" w14:textId="22370C11" w:rsidR="002E05A7" w:rsidRPr="00AB2AC3" w:rsidRDefault="002E05A7" w:rsidP="000425ED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 xml:space="preserve">Relaciona capacidad de pago con </w:t>
            </w:r>
            <w:r w:rsidR="004B3AA3"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el tramos de la mora</w:t>
            </w: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.</w:t>
            </w:r>
          </w:p>
        </w:tc>
      </w:tr>
      <w:tr w:rsidR="004B3AA3" w:rsidRPr="00AB2AC3" w14:paraId="757B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C35E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IPC4</w:t>
            </w:r>
          </w:p>
        </w:tc>
        <w:tc>
          <w:tcPr>
            <w:tcW w:w="0" w:type="auto"/>
            <w:vAlign w:val="center"/>
            <w:hideMark/>
          </w:tcPr>
          <w:p w14:paraId="44E7C6FD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Capital en mora / Tickets</w:t>
            </w:r>
          </w:p>
        </w:tc>
        <w:tc>
          <w:tcPr>
            <w:tcW w:w="0" w:type="auto"/>
            <w:vAlign w:val="center"/>
            <w:hideMark/>
          </w:tcPr>
          <w:p w14:paraId="0AC9A996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Relaciona capacidad de pago con flujo económico perdido.</w:t>
            </w:r>
          </w:p>
        </w:tc>
      </w:tr>
      <w:tr w:rsidR="004B3AA3" w:rsidRPr="00AB2AC3" w14:paraId="35940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C68B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IPC5</w:t>
            </w:r>
          </w:p>
        </w:tc>
        <w:tc>
          <w:tcPr>
            <w:tcW w:w="0" w:type="auto"/>
            <w:vAlign w:val="center"/>
            <w:hideMark/>
          </w:tcPr>
          <w:p w14:paraId="38BD8E40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Total deuda / total garantía</w:t>
            </w:r>
          </w:p>
        </w:tc>
        <w:tc>
          <w:tcPr>
            <w:tcW w:w="0" w:type="auto"/>
            <w:vAlign w:val="center"/>
            <w:hideMark/>
          </w:tcPr>
          <w:p w14:paraId="5B06F93A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Evalúa solvencia y cobertura financiera.</w:t>
            </w:r>
          </w:p>
        </w:tc>
      </w:tr>
      <w:tr w:rsidR="004B3AA3" w:rsidRPr="00AB2AC3" w14:paraId="22CE0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932A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IPC7</w:t>
            </w:r>
          </w:p>
        </w:tc>
        <w:tc>
          <w:tcPr>
            <w:tcW w:w="0" w:type="auto"/>
            <w:vAlign w:val="center"/>
            <w:hideMark/>
          </w:tcPr>
          <w:p w14:paraId="24A9618A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Ingreso primario / Tickets</w:t>
            </w:r>
          </w:p>
        </w:tc>
        <w:tc>
          <w:tcPr>
            <w:tcW w:w="0" w:type="auto"/>
            <w:vAlign w:val="center"/>
            <w:hideMark/>
          </w:tcPr>
          <w:p w14:paraId="110FB637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Mide directamente capacidad de pago.</w:t>
            </w:r>
          </w:p>
        </w:tc>
      </w:tr>
      <w:tr w:rsidR="004B3AA3" w:rsidRPr="00AB2AC3" w14:paraId="2128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8CEB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IPC8</w:t>
            </w:r>
          </w:p>
        </w:tc>
        <w:tc>
          <w:tcPr>
            <w:tcW w:w="0" w:type="auto"/>
            <w:vAlign w:val="center"/>
            <w:hideMark/>
          </w:tcPr>
          <w:p w14:paraId="78DFE484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Jerarquía del origen de pago</w:t>
            </w:r>
          </w:p>
        </w:tc>
        <w:tc>
          <w:tcPr>
            <w:tcW w:w="0" w:type="auto"/>
            <w:vAlign w:val="center"/>
            <w:hideMark/>
          </w:tcPr>
          <w:p w14:paraId="404E914B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Clasifica estabilidad de ingresos.</w:t>
            </w:r>
          </w:p>
        </w:tc>
      </w:tr>
      <w:tr w:rsidR="004B3AA3" w:rsidRPr="00AB2AC3" w14:paraId="6A140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B623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IPC9</w:t>
            </w:r>
          </w:p>
        </w:tc>
        <w:tc>
          <w:tcPr>
            <w:tcW w:w="0" w:type="auto"/>
            <w:vAlign w:val="center"/>
            <w:hideMark/>
          </w:tcPr>
          <w:p w14:paraId="38741AFB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Deuda ADRA / Pasivo total</w:t>
            </w:r>
          </w:p>
        </w:tc>
        <w:tc>
          <w:tcPr>
            <w:tcW w:w="0" w:type="auto"/>
            <w:vAlign w:val="center"/>
            <w:hideMark/>
          </w:tcPr>
          <w:p w14:paraId="593BE6D9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Mide concentración del endeudamiento.</w:t>
            </w:r>
          </w:p>
        </w:tc>
      </w:tr>
      <w:tr w:rsidR="004B3AA3" w:rsidRPr="00AB2AC3" w14:paraId="2D718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F1C2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IPC13</w:t>
            </w:r>
          </w:p>
        </w:tc>
        <w:tc>
          <w:tcPr>
            <w:tcW w:w="0" w:type="auto"/>
            <w:vAlign w:val="center"/>
            <w:hideMark/>
          </w:tcPr>
          <w:p w14:paraId="5AB262D6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Liquidez (efectivo + ahorros / activo total)</w:t>
            </w:r>
          </w:p>
        </w:tc>
        <w:tc>
          <w:tcPr>
            <w:tcW w:w="0" w:type="auto"/>
            <w:vAlign w:val="center"/>
            <w:hideMark/>
          </w:tcPr>
          <w:p w14:paraId="088690E6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Mide colchón financiero.</w:t>
            </w:r>
          </w:p>
        </w:tc>
      </w:tr>
      <w:tr w:rsidR="004B3AA3" w:rsidRPr="00AB2AC3" w14:paraId="60996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E559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IPC16</w:t>
            </w:r>
          </w:p>
        </w:tc>
        <w:tc>
          <w:tcPr>
            <w:tcW w:w="0" w:type="auto"/>
            <w:vAlign w:val="center"/>
            <w:hideMark/>
          </w:tcPr>
          <w:p w14:paraId="20FC8E21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Activo t-1 / Activo t</w:t>
            </w:r>
          </w:p>
        </w:tc>
        <w:tc>
          <w:tcPr>
            <w:tcW w:w="0" w:type="auto"/>
            <w:vAlign w:val="center"/>
            <w:hideMark/>
          </w:tcPr>
          <w:p w14:paraId="13E55923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Evalúa el crecimiento o caída patrimonial.</w:t>
            </w:r>
          </w:p>
        </w:tc>
      </w:tr>
    </w:tbl>
    <w:p w14:paraId="776BE502" w14:textId="75CF4D5C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Razón técnica: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Estos indicadores cuantifican la</w:t>
      </w:r>
      <w:r w:rsidR="009731B4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i/>
          <w:iCs/>
          <w:color w:val="000000"/>
          <w:kern w:val="0"/>
          <w:lang w:eastAsia="es-MX"/>
          <w14:ligatures w14:val="none"/>
        </w:rPr>
        <w:t>capacidad real del cliente</w:t>
      </w:r>
      <w:r w:rsidR="009731B4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para enfrentar sus obligaciones futuras, determinando la</w:t>
      </w:r>
      <w:r w:rsidR="00C00122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probabilidad económica de cumplimiento (solvencia)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</w:p>
    <w:p w14:paraId="2C93E1F9" w14:textId="72CB5B41" w:rsidR="002019C6" w:rsidRPr="00AB2AC3" w:rsidRDefault="002019C6" w:rsidP="00D570D4">
      <w:pPr>
        <w:pStyle w:val="Prrafodelista"/>
        <w:numPr>
          <w:ilvl w:val="1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lastRenderedPageBreak/>
        <w:t>INDICADORES DE VOLUNTAD DE PAGO DEL CLIENTE</w:t>
      </w:r>
    </w:p>
    <w:p w14:paraId="4050E520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Evalúan comportamiento, disciplina, recurrencia, compromiso y riesgo moral.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945"/>
        <w:gridCol w:w="4790"/>
      </w:tblGrid>
      <w:tr w:rsidR="002019C6" w:rsidRPr="00AB2AC3" w14:paraId="101D9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2CF88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19080E8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3FADF85B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MOTIVO</w:t>
            </w:r>
          </w:p>
        </w:tc>
      </w:tr>
      <w:tr w:rsidR="002019C6" w:rsidRPr="00AB2AC3" w14:paraId="7E6A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9D51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IPC3</w:t>
            </w:r>
          </w:p>
        </w:tc>
        <w:tc>
          <w:tcPr>
            <w:tcW w:w="0" w:type="auto"/>
            <w:vAlign w:val="center"/>
            <w:hideMark/>
          </w:tcPr>
          <w:p w14:paraId="656B2402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Días en mora / días del crédito</w:t>
            </w:r>
          </w:p>
        </w:tc>
        <w:tc>
          <w:tcPr>
            <w:tcW w:w="0" w:type="auto"/>
            <w:vAlign w:val="center"/>
            <w:hideMark/>
          </w:tcPr>
          <w:p w14:paraId="5A515D08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Mide intensidad del incumplimiento.</w:t>
            </w:r>
          </w:p>
        </w:tc>
      </w:tr>
      <w:tr w:rsidR="002019C6" w:rsidRPr="00AB2AC3" w14:paraId="4726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DB6D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IPC4</w:t>
            </w:r>
          </w:p>
        </w:tc>
        <w:tc>
          <w:tcPr>
            <w:tcW w:w="0" w:type="auto"/>
            <w:vAlign w:val="center"/>
            <w:hideMark/>
          </w:tcPr>
          <w:p w14:paraId="0E27C5C8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Capital en mora / Tickets</w:t>
            </w:r>
          </w:p>
        </w:tc>
        <w:tc>
          <w:tcPr>
            <w:tcW w:w="0" w:type="auto"/>
            <w:vAlign w:val="center"/>
            <w:hideMark/>
          </w:tcPr>
          <w:p w14:paraId="26DB53B0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Mide persistencia del incumplimiento.</w:t>
            </w:r>
          </w:p>
        </w:tc>
      </w:tr>
      <w:tr w:rsidR="002019C6" w:rsidRPr="00AB2AC3" w14:paraId="2691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27A9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IPC6</w:t>
            </w:r>
          </w:p>
        </w:tc>
        <w:tc>
          <w:tcPr>
            <w:tcW w:w="0" w:type="auto"/>
            <w:vAlign w:val="center"/>
            <w:hideMark/>
          </w:tcPr>
          <w:p w14:paraId="3BF84A4C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Recurrencia de mora</w:t>
            </w:r>
          </w:p>
        </w:tc>
        <w:tc>
          <w:tcPr>
            <w:tcW w:w="0" w:type="auto"/>
            <w:vAlign w:val="center"/>
            <w:hideMark/>
          </w:tcPr>
          <w:p w14:paraId="3F471F86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Refleja hábito histórico negativo.</w:t>
            </w:r>
          </w:p>
        </w:tc>
      </w:tr>
      <w:tr w:rsidR="002019C6" w:rsidRPr="00AB2AC3" w14:paraId="08DC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8F0F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IPC10</w:t>
            </w:r>
          </w:p>
        </w:tc>
        <w:tc>
          <w:tcPr>
            <w:tcW w:w="0" w:type="auto"/>
            <w:vAlign w:val="center"/>
            <w:hideMark/>
          </w:tcPr>
          <w:p w14:paraId="7638010C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Créditos sin ADRA / Totales</w:t>
            </w:r>
          </w:p>
        </w:tc>
        <w:tc>
          <w:tcPr>
            <w:tcW w:w="0" w:type="auto"/>
            <w:vAlign w:val="center"/>
            <w:hideMark/>
          </w:tcPr>
          <w:p w14:paraId="5D8D17F4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Mide dependencia de terceros y riesgo moral.</w:t>
            </w:r>
          </w:p>
        </w:tc>
      </w:tr>
      <w:tr w:rsidR="002019C6" w:rsidRPr="00AB2AC3" w14:paraId="7D91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4AA2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IPC12</w:t>
            </w:r>
          </w:p>
        </w:tc>
        <w:tc>
          <w:tcPr>
            <w:tcW w:w="0" w:type="auto"/>
            <w:vAlign w:val="center"/>
            <w:hideMark/>
          </w:tcPr>
          <w:p w14:paraId="6D09EBC3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Rechazos / total de operaciones</w:t>
            </w:r>
          </w:p>
        </w:tc>
        <w:tc>
          <w:tcPr>
            <w:tcW w:w="0" w:type="auto"/>
            <w:vAlign w:val="center"/>
            <w:hideMark/>
          </w:tcPr>
          <w:p w14:paraId="30A6798C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Indica inconsistencias, engaño o debilidad documental.</w:t>
            </w:r>
          </w:p>
        </w:tc>
      </w:tr>
    </w:tbl>
    <w:p w14:paraId="5C24B302" w14:textId="6ACB5775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Razón técnica: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Estos indicadores revelan</w:t>
      </w:r>
      <w:r w:rsidR="009731B4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la conducta del cliente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mostrando si actúa con responsabilidad y si cumple sus compromisos incluso cuando tiene capacidad económica.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→ Relacionado a la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voluntad de pago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más que a la capacidad.</w:t>
      </w:r>
    </w:p>
    <w:p w14:paraId="64AC757F" w14:textId="32BDC9BC" w:rsidR="002019C6" w:rsidRPr="00AB2AC3" w:rsidRDefault="002019C6" w:rsidP="00D570D4">
      <w:pPr>
        <w:pStyle w:val="Prrafodelista"/>
        <w:numPr>
          <w:ilvl w:val="1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INDICADORES DE GARANTÍA PSICOLÓGICA DEL CLIENTE</w:t>
      </w:r>
    </w:p>
    <w:p w14:paraId="47246C44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Se refieren a estabilidad profesional, madurez financiera, continuidad del negocio y comportamiento predecible.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4072"/>
        <w:gridCol w:w="3663"/>
      </w:tblGrid>
      <w:tr w:rsidR="002019C6" w:rsidRPr="00AB2AC3" w14:paraId="5B040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A5274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31A1F9B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0C3B53A1" w14:textId="77777777" w:rsidR="002019C6" w:rsidRPr="00AB2AC3" w:rsidRDefault="002019C6" w:rsidP="002019C6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MOTIVO</w:t>
            </w:r>
          </w:p>
        </w:tc>
      </w:tr>
      <w:tr w:rsidR="002019C6" w:rsidRPr="00AB2AC3" w14:paraId="5B594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96D9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IPC5</w:t>
            </w:r>
          </w:p>
        </w:tc>
        <w:tc>
          <w:tcPr>
            <w:tcW w:w="0" w:type="auto"/>
            <w:vAlign w:val="center"/>
            <w:hideMark/>
          </w:tcPr>
          <w:p w14:paraId="70BAE5CF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Deuda vs garantía</w:t>
            </w:r>
          </w:p>
        </w:tc>
        <w:tc>
          <w:tcPr>
            <w:tcW w:w="0" w:type="auto"/>
            <w:vAlign w:val="center"/>
            <w:hideMark/>
          </w:tcPr>
          <w:p w14:paraId="4D0F3461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Confirma respaldo y compromiso serio.</w:t>
            </w:r>
          </w:p>
        </w:tc>
      </w:tr>
      <w:tr w:rsidR="002019C6" w:rsidRPr="00AB2AC3" w14:paraId="5E9DE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23B3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IPC11</w:t>
            </w:r>
          </w:p>
        </w:tc>
        <w:tc>
          <w:tcPr>
            <w:tcW w:w="0" w:type="auto"/>
            <w:vAlign w:val="center"/>
            <w:hideMark/>
          </w:tcPr>
          <w:p w14:paraId="0BD24E24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Ciclos anteriores / total ciclos</w:t>
            </w:r>
          </w:p>
        </w:tc>
        <w:tc>
          <w:tcPr>
            <w:tcW w:w="0" w:type="auto"/>
            <w:vAlign w:val="center"/>
            <w:hideMark/>
          </w:tcPr>
          <w:p w14:paraId="1E0C72D4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Mide permanencia y relación de largo plazo.</w:t>
            </w:r>
          </w:p>
        </w:tc>
      </w:tr>
      <w:tr w:rsidR="002019C6" w:rsidRPr="00AB2AC3" w14:paraId="215A5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C422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IPC14</w:t>
            </w:r>
          </w:p>
        </w:tc>
        <w:tc>
          <w:tcPr>
            <w:tcW w:w="0" w:type="auto"/>
            <w:vAlign w:val="center"/>
            <w:hideMark/>
          </w:tcPr>
          <w:p w14:paraId="25D22FEF" w14:textId="3DDFCAE4" w:rsidR="002019C6" w:rsidRPr="00AB2AC3" w:rsidRDefault="00E56F51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Ingreso t-1 / Ingreso t</w:t>
            </w:r>
          </w:p>
        </w:tc>
        <w:tc>
          <w:tcPr>
            <w:tcW w:w="0" w:type="auto"/>
            <w:vAlign w:val="center"/>
            <w:hideMark/>
          </w:tcPr>
          <w:p w14:paraId="0B85A6BD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Mide madurez financiera.</w:t>
            </w:r>
          </w:p>
        </w:tc>
      </w:tr>
      <w:tr w:rsidR="002019C6" w:rsidRPr="00AB2AC3" w14:paraId="48C56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66CF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IPC15</w:t>
            </w:r>
          </w:p>
        </w:tc>
        <w:tc>
          <w:tcPr>
            <w:tcW w:w="0" w:type="auto"/>
            <w:vAlign w:val="center"/>
            <w:hideMark/>
          </w:tcPr>
          <w:p w14:paraId="65DCE1DF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Años desde primer crédito / experiencia en actividad</w:t>
            </w:r>
          </w:p>
        </w:tc>
        <w:tc>
          <w:tcPr>
            <w:tcW w:w="0" w:type="auto"/>
            <w:vAlign w:val="center"/>
            <w:hideMark/>
          </w:tcPr>
          <w:p w14:paraId="65D21D92" w14:textId="77777777" w:rsidR="002019C6" w:rsidRPr="00AB2AC3" w:rsidRDefault="002019C6" w:rsidP="002019C6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Indica solidez personal y compromiso.</w:t>
            </w:r>
          </w:p>
        </w:tc>
      </w:tr>
      <w:tr w:rsidR="00E56F51" w:rsidRPr="00AB2AC3" w14:paraId="426A29A1" w14:textId="77777777" w:rsidTr="00E27795">
        <w:trPr>
          <w:tblCellSpacing w:w="15" w:type="dxa"/>
        </w:trPr>
        <w:tc>
          <w:tcPr>
            <w:tcW w:w="0" w:type="auto"/>
            <w:vAlign w:val="center"/>
          </w:tcPr>
          <w:p w14:paraId="2672C033" w14:textId="08AB7366" w:rsidR="00E56F51" w:rsidRPr="00AB2AC3" w:rsidRDefault="00E56F51" w:rsidP="00E56F51">
            <w:pPr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IPC17</w:t>
            </w:r>
          </w:p>
        </w:tc>
        <w:tc>
          <w:tcPr>
            <w:tcW w:w="0" w:type="auto"/>
          </w:tcPr>
          <w:p w14:paraId="1B441B74" w14:textId="0632928E" w:rsidR="00E56F51" w:rsidRPr="00AB2AC3" w:rsidRDefault="00E56F51" w:rsidP="00E56F51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Provisión de cartera / Saldo de cartera en mora</w:t>
            </w:r>
          </w:p>
        </w:tc>
        <w:tc>
          <w:tcPr>
            <w:tcW w:w="0" w:type="auto"/>
            <w:vAlign w:val="center"/>
          </w:tcPr>
          <w:p w14:paraId="1EDDEA17" w14:textId="26A1BBBB" w:rsidR="00E56F51" w:rsidRPr="00AB2AC3" w:rsidRDefault="00E56F51" w:rsidP="00E56F51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Análisis de la solvencia</w:t>
            </w:r>
          </w:p>
        </w:tc>
      </w:tr>
      <w:tr w:rsidR="00E56F51" w:rsidRPr="00AB2AC3" w14:paraId="092EE771" w14:textId="77777777" w:rsidTr="00E27795">
        <w:trPr>
          <w:tblCellSpacing w:w="15" w:type="dxa"/>
        </w:trPr>
        <w:tc>
          <w:tcPr>
            <w:tcW w:w="0" w:type="auto"/>
            <w:vAlign w:val="center"/>
          </w:tcPr>
          <w:p w14:paraId="04146A65" w14:textId="4CFB55C6" w:rsidR="00E56F51" w:rsidRPr="00AB2AC3" w:rsidRDefault="00E56F51" w:rsidP="00E56F51">
            <w:pPr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IPC18</w:t>
            </w:r>
          </w:p>
        </w:tc>
        <w:tc>
          <w:tcPr>
            <w:tcW w:w="0" w:type="auto"/>
          </w:tcPr>
          <w:p w14:paraId="1E42467D" w14:textId="238CA3F6" w:rsidR="00E56F51" w:rsidRPr="00AB2AC3" w:rsidRDefault="00E56F51" w:rsidP="00E56F51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Ahorros individuales / saldo de cartera</w:t>
            </w:r>
          </w:p>
        </w:tc>
        <w:tc>
          <w:tcPr>
            <w:tcW w:w="0" w:type="auto"/>
            <w:vAlign w:val="center"/>
          </w:tcPr>
          <w:p w14:paraId="6F96D9D0" w14:textId="5A23C1DD" w:rsidR="00E56F51" w:rsidRPr="00AB2AC3" w:rsidRDefault="00E56F51" w:rsidP="00E56F51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Análisis de la solvencia en base a su ahorro</w:t>
            </w:r>
          </w:p>
        </w:tc>
      </w:tr>
      <w:tr w:rsidR="00E56F51" w:rsidRPr="00AB2AC3" w14:paraId="1A1C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FE95" w14:textId="77777777" w:rsidR="00E56F51" w:rsidRPr="00AB2AC3" w:rsidRDefault="00E56F51" w:rsidP="00E56F51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IPC16</w:t>
            </w:r>
          </w:p>
        </w:tc>
        <w:tc>
          <w:tcPr>
            <w:tcW w:w="0" w:type="auto"/>
            <w:vAlign w:val="center"/>
            <w:hideMark/>
          </w:tcPr>
          <w:p w14:paraId="67B37FE1" w14:textId="77777777" w:rsidR="00E56F51" w:rsidRPr="00AB2AC3" w:rsidRDefault="00E56F51" w:rsidP="00E56F51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Estabilidad del activo</w:t>
            </w:r>
          </w:p>
        </w:tc>
        <w:tc>
          <w:tcPr>
            <w:tcW w:w="0" w:type="auto"/>
            <w:vAlign w:val="center"/>
            <w:hideMark/>
          </w:tcPr>
          <w:p w14:paraId="6C3DCE33" w14:textId="77777777" w:rsidR="00E56F51" w:rsidRPr="00AB2AC3" w:rsidRDefault="00E56F51" w:rsidP="00E56F51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AB2AC3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Refleja estabilidad patrimonial psicológica.</w:t>
            </w:r>
          </w:p>
        </w:tc>
      </w:tr>
    </w:tbl>
    <w:p w14:paraId="566487D6" w14:textId="77C9F77A" w:rsidR="002019C6" w:rsidRPr="00D570D4" w:rsidRDefault="002019C6" w:rsidP="00D570D4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lastRenderedPageBreak/>
        <w:t>Razón técnica: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Estos indicadores no solo miden dinero, sino</w:t>
      </w:r>
      <w:r w:rsidR="009731B4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estabilidad, constancia y madurez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que se traducen en confiabilidad emocional y psicológica: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</w:r>
      <w:r w:rsidRPr="00AB2AC3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👉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si el cliente cuida su negocio, cuida su relación con la institución.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</w:r>
      <w:r w:rsidRPr="00AB2AC3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👉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si crece patrimonialmente, demuestra responsabilidad.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</w:r>
      <w:r w:rsidRPr="00AB2AC3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👉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si permanece varios ciclos, está comprometido.</w:t>
      </w:r>
    </w:p>
    <w:p w14:paraId="6C4E3405" w14:textId="70B6D634" w:rsidR="002019C6" w:rsidRPr="00AB2AC3" w:rsidRDefault="002019C6" w:rsidP="00D71E2D">
      <w:pPr>
        <w:pStyle w:val="Prrafodelista"/>
        <w:numPr>
          <w:ilvl w:val="0"/>
          <w:numId w:val="46"/>
        </w:num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 xml:space="preserve">CONCLUSIÓN </w:t>
      </w:r>
      <w:r w:rsidR="009731B4"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 xml:space="preserve">DE LA ESTRUCTURA DE LOS INDICADORES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POR ÁREA</w:t>
      </w:r>
    </w:p>
    <w:p w14:paraId="0F2E9F87" w14:textId="3144832D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I. CONCLUSIÓN – ÁREA: INGRESO DEL CLIENTE (Capacidad de pago)</w:t>
      </w:r>
    </w:p>
    <w:p w14:paraId="0AAAAD54" w14:textId="3C4E4A55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Los indicadores clasificados en esta área permiten determinar</w:t>
      </w:r>
      <w:r w:rsidR="00E87AB0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si el cliente tiene los recursos financieros suficientes y sostenibles para cumplir sus obligaciones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.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A través de medidas como:</w:t>
      </w:r>
    </w:p>
    <w:p w14:paraId="50C8143B" w14:textId="77777777" w:rsidR="002019C6" w:rsidRPr="00AB2AC3" w:rsidRDefault="002019C6" w:rsidP="002019C6">
      <w:pPr>
        <w:numPr>
          <w:ilvl w:val="0"/>
          <w:numId w:val="2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capacidad de cubrir el ticket,</w:t>
      </w:r>
    </w:p>
    <w:p w14:paraId="26BCF56D" w14:textId="77777777" w:rsidR="002019C6" w:rsidRPr="00AB2AC3" w:rsidRDefault="002019C6" w:rsidP="002019C6">
      <w:pPr>
        <w:numPr>
          <w:ilvl w:val="0"/>
          <w:numId w:val="2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disponibilidad de liquidez,</w:t>
      </w:r>
    </w:p>
    <w:p w14:paraId="3A200FD8" w14:textId="77777777" w:rsidR="002019C6" w:rsidRPr="00AB2AC3" w:rsidRDefault="002019C6" w:rsidP="002019C6">
      <w:pPr>
        <w:numPr>
          <w:ilvl w:val="0"/>
          <w:numId w:val="2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relación entre deuda y garantía,</w:t>
      </w:r>
    </w:p>
    <w:p w14:paraId="7B0CA29D" w14:textId="77777777" w:rsidR="002019C6" w:rsidRPr="00AB2AC3" w:rsidRDefault="002019C6" w:rsidP="002019C6">
      <w:pPr>
        <w:numPr>
          <w:ilvl w:val="0"/>
          <w:numId w:val="2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evolución de su activo,</w:t>
      </w:r>
    </w:p>
    <w:p w14:paraId="2EC75660" w14:textId="77777777" w:rsidR="002019C6" w:rsidRPr="00AB2AC3" w:rsidRDefault="002019C6" w:rsidP="002019C6">
      <w:pPr>
        <w:numPr>
          <w:ilvl w:val="0"/>
          <w:numId w:val="25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estructura de ingresos,</w:t>
      </w:r>
    </w:p>
    <w:p w14:paraId="30496596" w14:textId="416E20DF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se obtiene una visión clara de la</w:t>
      </w:r>
      <w:r w:rsidR="00E87AB0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solvencia real</w:t>
      </w:r>
      <w:r w:rsidR="00E87AB0"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del cliente.</w:t>
      </w:r>
    </w:p>
    <w:p w14:paraId="0C4841FA" w14:textId="77777777" w:rsidR="00D71E2D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Conclusión técnica: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El análisis conjunto indica que la capacidad económica del cliente es un factor determinante para la probabilidad de incumplimiento (PD).</w:t>
      </w:r>
    </w:p>
    <w:p w14:paraId="4A6FB3DB" w14:textId="77777777" w:rsidR="00D71E2D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cliente sin ingresos suficientes, sin liquidez y con estructura de deuda inestable presenta alto riesgo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independientemente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 de su buena conducta pasada.</w:t>
      </w:r>
    </w:p>
    <w:p w14:paraId="0ACAF4A0" w14:textId="696B0A1C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Por ello, estos indicadores permiten proyectar si el cliente podrá sostener el crédito en el futuro.</w:t>
      </w:r>
    </w:p>
    <w:p w14:paraId="46403FFF" w14:textId="38EFE441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II. CONCLUSIÓN – ÁREA: VOLUNTAD DE PAGO DEL CLIENTE (Conducta financiera)</w:t>
      </w:r>
    </w:p>
    <w:p w14:paraId="29E3E10C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Los indicadores clasificados en esta área detectan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cómo se comporta el cliente frente a sus obligaciones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más allá de su capacidad económica.</w:t>
      </w:r>
    </w:p>
    <w:p w14:paraId="263D40CF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Incluyen:</w:t>
      </w:r>
    </w:p>
    <w:p w14:paraId="16EC0890" w14:textId="77777777" w:rsidR="002019C6" w:rsidRPr="00AB2AC3" w:rsidRDefault="002019C6" w:rsidP="002019C6">
      <w:pPr>
        <w:numPr>
          <w:ilvl w:val="0"/>
          <w:numId w:val="2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su historial de morosidad proporcional,</w:t>
      </w:r>
    </w:p>
    <w:p w14:paraId="78113B19" w14:textId="77777777" w:rsidR="002019C6" w:rsidRPr="00AB2AC3" w:rsidRDefault="002019C6" w:rsidP="002019C6">
      <w:pPr>
        <w:numPr>
          <w:ilvl w:val="0"/>
          <w:numId w:val="2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lastRenderedPageBreak/>
        <w:t>el número de tickets impagos,</w:t>
      </w:r>
    </w:p>
    <w:p w14:paraId="48153687" w14:textId="77777777" w:rsidR="002019C6" w:rsidRPr="00AB2AC3" w:rsidRDefault="002019C6" w:rsidP="002019C6">
      <w:pPr>
        <w:numPr>
          <w:ilvl w:val="0"/>
          <w:numId w:val="2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su recurrencia de atrasos,</w:t>
      </w:r>
    </w:p>
    <w:p w14:paraId="70D9AA0A" w14:textId="77777777" w:rsidR="002019C6" w:rsidRPr="00AB2AC3" w:rsidRDefault="002019C6" w:rsidP="002019C6">
      <w:pPr>
        <w:numPr>
          <w:ilvl w:val="0"/>
          <w:numId w:val="2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el patrón de búsqueda de crédito externo,</w:t>
      </w:r>
    </w:p>
    <w:p w14:paraId="695D2908" w14:textId="77777777" w:rsidR="002019C6" w:rsidRPr="00AB2AC3" w:rsidRDefault="002019C6" w:rsidP="002019C6">
      <w:pPr>
        <w:numPr>
          <w:ilvl w:val="0"/>
          <w:numId w:val="26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y la cantidad de solicitudes rechazadas.</w:t>
      </w:r>
    </w:p>
    <w:p w14:paraId="35FC0B39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Conclusión técnica: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El cliente puede tener ingresos suficientes, pero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si su conducta es inestable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su riesgo de incumplimiento sigue siendo alto.</w:t>
      </w:r>
    </w:p>
    <w:p w14:paraId="21475217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La voluntad de pago se relaciona con:</w:t>
      </w:r>
    </w:p>
    <w:p w14:paraId="482501AA" w14:textId="77777777" w:rsidR="002019C6" w:rsidRPr="00AB2AC3" w:rsidRDefault="002019C6" w:rsidP="002019C6">
      <w:pPr>
        <w:numPr>
          <w:ilvl w:val="0"/>
          <w:numId w:val="2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disciplina financiera,</w:t>
      </w:r>
    </w:p>
    <w:p w14:paraId="4EBDB145" w14:textId="77777777" w:rsidR="002019C6" w:rsidRPr="00AB2AC3" w:rsidRDefault="002019C6" w:rsidP="002019C6">
      <w:pPr>
        <w:numPr>
          <w:ilvl w:val="0"/>
          <w:numId w:val="2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nivel de responsabilidad,</w:t>
      </w:r>
    </w:p>
    <w:p w14:paraId="5E468E17" w14:textId="77777777" w:rsidR="002019C6" w:rsidRPr="00AB2AC3" w:rsidRDefault="002019C6" w:rsidP="002019C6">
      <w:pPr>
        <w:numPr>
          <w:ilvl w:val="0"/>
          <w:numId w:val="2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organización personal,</w:t>
      </w:r>
    </w:p>
    <w:p w14:paraId="53C5E305" w14:textId="77777777" w:rsidR="002019C6" w:rsidRPr="00AB2AC3" w:rsidRDefault="002019C6" w:rsidP="002019C6">
      <w:pPr>
        <w:numPr>
          <w:ilvl w:val="0"/>
          <w:numId w:val="27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compromiso con la institución.</w:t>
      </w:r>
    </w:p>
    <w:p w14:paraId="69A30869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mal comportamiento financiero compromete seriamente la sostenibilidad del crédito, incluso en clientes aparentemente solventes.</w:t>
      </w:r>
    </w:p>
    <w:p w14:paraId="7D3F28CE" w14:textId="661451E6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t>III. CONCLUSIÓN – ÁREA: GARANTÍA PSICOLÓGICA DEL CLIENTE (Estabilidad y confianza)</w:t>
      </w:r>
    </w:p>
    <w:p w14:paraId="7B0D5893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Estos indicadores revelan aspectos profundos del cliente:</w:t>
      </w:r>
    </w:p>
    <w:p w14:paraId="4A0BF544" w14:textId="77777777" w:rsidR="002019C6" w:rsidRPr="00AB2AC3" w:rsidRDefault="002019C6" w:rsidP="002019C6">
      <w:pPr>
        <w:numPr>
          <w:ilvl w:val="0"/>
          <w:numId w:val="2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estabilidad emocional y profesional,</w:t>
      </w:r>
    </w:p>
    <w:p w14:paraId="47CD00E7" w14:textId="77777777" w:rsidR="002019C6" w:rsidRPr="00AB2AC3" w:rsidRDefault="002019C6" w:rsidP="002019C6">
      <w:pPr>
        <w:numPr>
          <w:ilvl w:val="0"/>
          <w:numId w:val="2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madurez empresarial,</w:t>
      </w:r>
    </w:p>
    <w:p w14:paraId="1EA87789" w14:textId="77777777" w:rsidR="002019C6" w:rsidRPr="00AB2AC3" w:rsidRDefault="002019C6" w:rsidP="002019C6">
      <w:pPr>
        <w:numPr>
          <w:ilvl w:val="0"/>
          <w:numId w:val="2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permanencia en la institución,</w:t>
      </w:r>
    </w:p>
    <w:p w14:paraId="3FFE7F89" w14:textId="77777777" w:rsidR="002019C6" w:rsidRPr="00AB2AC3" w:rsidRDefault="002019C6" w:rsidP="002019C6">
      <w:pPr>
        <w:numPr>
          <w:ilvl w:val="0"/>
          <w:numId w:val="2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compromiso histórico,</w:t>
      </w:r>
    </w:p>
    <w:p w14:paraId="216F9086" w14:textId="77777777" w:rsidR="002019C6" w:rsidRPr="00AB2AC3" w:rsidRDefault="002019C6" w:rsidP="002019C6">
      <w:pPr>
        <w:numPr>
          <w:ilvl w:val="0"/>
          <w:numId w:val="2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evolución patrimonial,</w:t>
      </w:r>
    </w:p>
    <w:p w14:paraId="500831C8" w14:textId="77777777" w:rsidR="002019C6" w:rsidRPr="00AB2AC3" w:rsidRDefault="002019C6" w:rsidP="002019C6">
      <w:pPr>
        <w:numPr>
          <w:ilvl w:val="0"/>
          <w:numId w:val="28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trayectoria en la actividad económica.</w:t>
      </w:r>
    </w:p>
    <w:p w14:paraId="656A9BF9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Conclusión técnica: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br/>
        <w:t>La garantía psicológica permite evaluar 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la probabilidad de que el cliente mantenga su compromiso a lo largo del tiempo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, incluso frente a dificultades económicas.</w:t>
      </w:r>
    </w:p>
    <w:p w14:paraId="45EE82E3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Un cliente con:</w:t>
      </w:r>
    </w:p>
    <w:p w14:paraId="6A2019BA" w14:textId="77777777" w:rsidR="002019C6" w:rsidRPr="00AB2AC3" w:rsidRDefault="002019C6" w:rsidP="002019C6">
      <w:pPr>
        <w:numPr>
          <w:ilvl w:val="0"/>
          <w:numId w:val="2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experiencia sólida,</w:t>
      </w:r>
    </w:p>
    <w:p w14:paraId="6C87D78C" w14:textId="77777777" w:rsidR="002019C6" w:rsidRPr="00AB2AC3" w:rsidRDefault="002019C6" w:rsidP="002019C6">
      <w:pPr>
        <w:numPr>
          <w:ilvl w:val="0"/>
          <w:numId w:val="2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incrementos patrimoniales,</w:t>
      </w:r>
    </w:p>
    <w:p w14:paraId="3265140A" w14:textId="77777777" w:rsidR="002019C6" w:rsidRPr="00AB2AC3" w:rsidRDefault="002019C6" w:rsidP="002019C6">
      <w:pPr>
        <w:numPr>
          <w:ilvl w:val="0"/>
          <w:numId w:val="2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baja rotación de actividad,</w:t>
      </w:r>
    </w:p>
    <w:p w14:paraId="6ABE98F9" w14:textId="77777777" w:rsidR="002019C6" w:rsidRPr="00AB2AC3" w:rsidRDefault="002019C6" w:rsidP="002019C6">
      <w:pPr>
        <w:numPr>
          <w:ilvl w:val="0"/>
          <w:numId w:val="29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múltiples ciclos con la institución,</w:t>
      </w:r>
    </w:p>
    <w:p w14:paraId="2CFF8464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tiende a ser más confiable y estable, incluso si sus ingresos fluctúan.</w:t>
      </w:r>
    </w:p>
    <w:p w14:paraId="07C50ACD" w14:textId="3496DEEA" w:rsidR="002019C6" w:rsidRPr="00AB2AC3" w:rsidRDefault="002019C6" w:rsidP="002019C6">
      <w:pPr>
        <w:spacing w:before="100" w:beforeAutospacing="1" w:after="100" w:afterAutospacing="1"/>
        <w:outlineLvl w:val="0"/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b/>
          <w:bCs/>
          <w:color w:val="000000"/>
          <w:kern w:val="36"/>
          <w:lang w:eastAsia="es-MX"/>
          <w14:ligatures w14:val="none"/>
        </w:rPr>
        <w:lastRenderedPageBreak/>
        <w:t>CONCLUSIÓN GLOBAL</w:t>
      </w:r>
    </w:p>
    <w:p w14:paraId="2D3C1358" w14:textId="37ADA7B4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Los 1</w:t>
      </w:r>
      <w:r w:rsidR="00D71E2D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8</w:t>
      </w: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 xml:space="preserve"> indicadores, al clasificarse en estas tres áreas, ofrecen una visión integral del riesgo del cliente:</w:t>
      </w:r>
    </w:p>
    <w:p w14:paraId="74BEEBA3" w14:textId="77777777" w:rsidR="002019C6" w:rsidRPr="00AB2AC3" w:rsidRDefault="002019C6" w:rsidP="002019C6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✔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 El área de INGRESO mide lo que el cliente </w:t>
      </w:r>
      <w:r w:rsidRPr="00AB2AC3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:lang w:eastAsia="es-MX"/>
          <w14:ligatures w14:val="none"/>
        </w:rPr>
        <w:t>puede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 pagar.</w:t>
      </w:r>
    </w:p>
    <w:p w14:paraId="5B62AFCB" w14:textId="77777777" w:rsidR="002019C6" w:rsidRPr="00AB2AC3" w:rsidRDefault="002019C6" w:rsidP="002019C6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✔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 El área de VOLUNTAD mide lo que el cliente </w:t>
      </w:r>
      <w:r w:rsidRPr="00AB2AC3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:lang w:eastAsia="es-MX"/>
          <w14:ligatures w14:val="none"/>
        </w:rPr>
        <w:t>quiere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 pagar.</w:t>
      </w:r>
    </w:p>
    <w:p w14:paraId="73FEE804" w14:textId="58E47324" w:rsidR="002019C6" w:rsidRPr="00AB2AC3" w:rsidRDefault="002019C6" w:rsidP="002019C6">
      <w:pPr>
        <w:spacing w:before="100" w:beforeAutospacing="1" w:after="100" w:afterAutospacing="1"/>
        <w:outlineLvl w:val="2"/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</w:pPr>
      <w:r w:rsidRPr="00AB2AC3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✔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 El área de GARANTÍA PSICOLÓGICA mide si el cliente</w:t>
      </w:r>
      <w:r w:rsidR="00E87AB0"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:lang w:eastAsia="es-MX"/>
          <w14:ligatures w14:val="none"/>
        </w:rPr>
        <w:t>sabe cómo</w:t>
      </w:r>
      <w:r w:rsidR="00E87AB0"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y</w:t>
      </w:r>
      <w:r w:rsidR="00E87AB0"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 xml:space="preserve"> </w:t>
      </w:r>
      <w:r w:rsidRPr="00AB2AC3">
        <w:rPr>
          <w:rFonts w:ascii="Century Gothic" w:eastAsia="Times New Roman" w:hAnsi="Century Gothic" w:cs="Times New Roman"/>
          <w:b/>
          <w:bCs/>
          <w:i/>
          <w:iCs/>
          <w:color w:val="000000"/>
          <w:kern w:val="0"/>
          <w:lang w:eastAsia="es-MX"/>
          <w14:ligatures w14:val="none"/>
        </w:rPr>
        <w:t>está comprometido</w:t>
      </w:r>
      <w:r w:rsidRPr="00AB2AC3">
        <w:rPr>
          <w:rFonts w:ascii="Century Gothic" w:eastAsia="Times New Roman" w:hAnsi="Century Gothic" w:cs="Times New Roman"/>
          <w:b/>
          <w:bCs/>
          <w:color w:val="000000"/>
          <w:kern w:val="0"/>
          <w:lang w:eastAsia="es-MX"/>
          <w14:ligatures w14:val="none"/>
        </w:rPr>
        <w:t> a pagar.</w:t>
      </w:r>
    </w:p>
    <w:p w14:paraId="1517E987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Cuando las tres dimensiones son analizadas en conjunto, permiten a la institución:</w:t>
      </w:r>
    </w:p>
    <w:p w14:paraId="51668E20" w14:textId="77777777" w:rsidR="002019C6" w:rsidRPr="00AB2AC3" w:rsidRDefault="002019C6" w:rsidP="002019C6">
      <w:pPr>
        <w:numPr>
          <w:ilvl w:val="0"/>
          <w:numId w:val="3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Evaluar riesgo financiero y comportamiento humano.</w:t>
      </w:r>
    </w:p>
    <w:p w14:paraId="6667304C" w14:textId="77777777" w:rsidR="002019C6" w:rsidRPr="00AB2AC3" w:rsidRDefault="002019C6" w:rsidP="002019C6">
      <w:pPr>
        <w:numPr>
          <w:ilvl w:val="0"/>
          <w:numId w:val="3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Determinar sostenibilidad económica y emocional.</w:t>
      </w:r>
    </w:p>
    <w:p w14:paraId="1FB4C92D" w14:textId="77777777" w:rsidR="002019C6" w:rsidRPr="00AB2AC3" w:rsidRDefault="002019C6" w:rsidP="002019C6">
      <w:pPr>
        <w:numPr>
          <w:ilvl w:val="0"/>
          <w:numId w:val="3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Anticipar deterioros futuros.</w:t>
      </w:r>
    </w:p>
    <w:p w14:paraId="75967698" w14:textId="77777777" w:rsidR="002019C6" w:rsidRPr="00AB2AC3" w:rsidRDefault="002019C6" w:rsidP="002019C6">
      <w:pPr>
        <w:numPr>
          <w:ilvl w:val="0"/>
          <w:numId w:val="3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Segmentar portafolio de forma estratégica.</w:t>
      </w:r>
    </w:p>
    <w:p w14:paraId="2850AEB7" w14:textId="77777777" w:rsidR="002019C6" w:rsidRPr="00AB2AC3" w:rsidRDefault="002019C6" w:rsidP="002019C6">
      <w:pPr>
        <w:numPr>
          <w:ilvl w:val="0"/>
          <w:numId w:val="30"/>
        </w:num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Prevenir sobreendeudamiento y pérdida.</w:t>
      </w:r>
    </w:p>
    <w:p w14:paraId="3A4B61F2" w14:textId="77777777" w:rsidR="002019C6" w:rsidRPr="00AB2AC3" w:rsidRDefault="002019C6" w:rsidP="002019C6">
      <w:pPr>
        <w:spacing w:before="100" w:beforeAutospacing="1" w:after="100" w:afterAutospacing="1"/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</w:pPr>
      <w:r w:rsidRPr="00AB2AC3">
        <w:rPr>
          <w:rFonts w:ascii="Century Gothic" w:eastAsia="Times New Roman" w:hAnsi="Century Gothic" w:cs="Times New Roman"/>
          <w:color w:val="000000"/>
          <w:kern w:val="0"/>
          <w:lang w:eastAsia="es-MX"/>
          <w14:ligatures w14:val="none"/>
        </w:rPr>
        <w:t>Este enfoque tridimensional fortalece la gestión integral del riesgo y mejora la calidad de la cartera.</w:t>
      </w:r>
    </w:p>
    <w:p w14:paraId="238BEEE1" w14:textId="77777777" w:rsidR="002019C6" w:rsidRPr="00AB2AC3" w:rsidRDefault="002019C6" w:rsidP="00F36F79">
      <w:pPr>
        <w:spacing w:line="480" w:lineRule="auto"/>
        <w:rPr>
          <w:rFonts w:ascii="Century Gothic" w:hAnsi="Century Gothic"/>
          <w:lang w:val="es-ES_tradnl"/>
        </w:rPr>
      </w:pPr>
    </w:p>
    <w:sectPr w:rsidR="002019C6" w:rsidRPr="00AB2A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6ACA0" w14:textId="77777777" w:rsidR="003A4C3D" w:rsidRDefault="003A4C3D" w:rsidP="007F1661">
      <w:r>
        <w:separator/>
      </w:r>
    </w:p>
  </w:endnote>
  <w:endnote w:type="continuationSeparator" w:id="0">
    <w:p w14:paraId="1E49694F" w14:textId="77777777" w:rsidR="003A4C3D" w:rsidRDefault="003A4C3D" w:rsidP="007F1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D1E98" w14:textId="77777777" w:rsidR="003A4C3D" w:rsidRDefault="003A4C3D" w:rsidP="007F1661">
      <w:r>
        <w:separator/>
      </w:r>
    </w:p>
  </w:footnote>
  <w:footnote w:type="continuationSeparator" w:id="0">
    <w:p w14:paraId="1F43CA1B" w14:textId="77777777" w:rsidR="003A4C3D" w:rsidRDefault="003A4C3D" w:rsidP="007F16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6E7"/>
    <w:multiLevelType w:val="multilevel"/>
    <w:tmpl w:val="AF86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3687"/>
    <w:multiLevelType w:val="multilevel"/>
    <w:tmpl w:val="3F3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12553"/>
    <w:multiLevelType w:val="multilevel"/>
    <w:tmpl w:val="31F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B5C"/>
    <w:multiLevelType w:val="multilevel"/>
    <w:tmpl w:val="44E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F6C7A"/>
    <w:multiLevelType w:val="multilevel"/>
    <w:tmpl w:val="978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6B27"/>
    <w:multiLevelType w:val="multilevel"/>
    <w:tmpl w:val="0BA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D4A23"/>
    <w:multiLevelType w:val="multilevel"/>
    <w:tmpl w:val="C86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E486E"/>
    <w:multiLevelType w:val="multilevel"/>
    <w:tmpl w:val="ABD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426B4"/>
    <w:multiLevelType w:val="multilevel"/>
    <w:tmpl w:val="013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61E97"/>
    <w:multiLevelType w:val="multilevel"/>
    <w:tmpl w:val="823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F5FB9"/>
    <w:multiLevelType w:val="multilevel"/>
    <w:tmpl w:val="F95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84BC9"/>
    <w:multiLevelType w:val="multilevel"/>
    <w:tmpl w:val="4DF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334D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1059E0"/>
    <w:multiLevelType w:val="multilevel"/>
    <w:tmpl w:val="4EC4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91718"/>
    <w:multiLevelType w:val="multilevel"/>
    <w:tmpl w:val="2CA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37D64"/>
    <w:multiLevelType w:val="multilevel"/>
    <w:tmpl w:val="7D6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1277E"/>
    <w:multiLevelType w:val="multilevel"/>
    <w:tmpl w:val="A94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F7095"/>
    <w:multiLevelType w:val="multilevel"/>
    <w:tmpl w:val="9968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5040A"/>
    <w:multiLevelType w:val="multilevel"/>
    <w:tmpl w:val="5616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F077D"/>
    <w:multiLevelType w:val="multilevel"/>
    <w:tmpl w:val="EC1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C0F84"/>
    <w:multiLevelType w:val="multilevel"/>
    <w:tmpl w:val="CD9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63942"/>
    <w:multiLevelType w:val="multilevel"/>
    <w:tmpl w:val="B76C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5338C"/>
    <w:multiLevelType w:val="multilevel"/>
    <w:tmpl w:val="5FE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26301"/>
    <w:multiLevelType w:val="multilevel"/>
    <w:tmpl w:val="F21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21D12"/>
    <w:multiLevelType w:val="multilevel"/>
    <w:tmpl w:val="C54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C01DB"/>
    <w:multiLevelType w:val="multilevel"/>
    <w:tmpl w:val="2FE4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F39F0"/>
    <w:multiLevelType w:val="multilevel"/>
    <w:tmpl w:val="C42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722940"/>
    <w:multiLevelType w:val="multilevel"/>
    <w:tmpl w:val="6508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040D6"/>
    <w:multiLevelType w:val="multilevel"/>
    <w:tmpl w:val="0CA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47543"/>
    <w:multiLevelType w:val="multilevel"/>
    <w:tmpl w:val="9B7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55DF3"/>
    <w:multiLevelType w:val="multilevel"/>
    <w:tmpl w:val="DA96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C2727"/>
    <w:multiLevelType w:val="multilevel"/>
    <w:tmpl w:val="715A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BD7377"/>
    <w:multiLevelType w:val="multilevel"/>
    <w:tmpl w:val="E68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95CD2"/>
    <w:multiLevelType w:val="multilevel"/>
    <w:tmpl w:val="759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21698"/>
    <w:multiLevelType w:val="multilevel"/>
    <w:tmpl w:val="0686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118A1"/>
    <w:multiLevelType w:val="multilevel"/>
    <w:tmpl w:val="129E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D4645"/>
    <w:multiLevelType w:val="multilevel"/>
    <w:tmpl w:val="F11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014FA"/>
    <w:multiLevelType w:val="multilevel"/>
    <w:tmpl w:val="F09E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6088D"/>
    <w:multiLevelType w:val="multilevel"/>
    <w:tmpl w:val="7DA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2533E"/>
    <w:multiLevelType w:val="multilevel"/>
    <w:tmpl w:val="869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B4F71"/>
    <w:multiLevelType w:val="multilevel"/>
    <w:tmpl w:val="B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87718"/>
    <w:multiLevelType w:val="multilevel"/>
    <w:tmpl w:val="3FE0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A5623"/>
    <w:multiLevelType w:val="multilevel"/>
    <w:tmpl w:val="79C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7717F"/>
    <w:multiLevelType w:val="multilevel"/>
    <w:tmpl w:val="AB7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EF51A9"/>
    <w:multiLevelType w:val="multilevel"/>
    <w:tmpl w:val="0DB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D6FED"/>
    <w:multiLevelType w:val="multilevel"/>
    <w:tmpl w:val="5E9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3828">
    <w:abstractNumId w:val="25"/>
  </w:num>
  <w:num w:numId="2" w16cid:durableId="1134448216">
    <w:abstractNumId w:val="43"/>
  </w:num>
  <w:num w:numId="3" w16cid:durableId="1477796976">
    <w:abstractNumId w:val="20"/>
  </w:num>
  <w:num w:numId="4" w16cid:durableId="1915505768">
    <w:abstractNumId w:val="39"/>
  </w:num>
  <w:num w:numId="5" w16cid:durableId="2057101">
    <w:abstractNumId w:val="40"/>
  </w:num>
  <w:num w:numId="6" w16cid:durableId="770861205">
    <w:abstractNumId w:val="41"/>
  </w:num>
  <w:num w:numId="7" w16cid:durableId="567770837">
    <w:abstractNumId w:val="30"/>
  </w:num>
  <w:num w:numId="8" w16cid:durableId="210074686">
    <w:abstractNumId w:val="2"/>
  </w:num>
  <w:num w:numId="9" w16cid:durableId="1207522046">
    <w:abstractNumId w:val="4"/>
  </w:num>
  <w:num w:numId="10" w16cid:durableId="1993439821">
    <w:abstractNumId w:val="11"/>
  </w:num>
  <w:num w:numId="11" w16cid:durableId="1921406106">
    <w:abstractNumId w:val="18"/>
  </w:num>
  <w:num w:numId="12" w16cid:durableId="1749813465">
    <w:abstractNumId w:val="38"/>
  </w:num>
  <w:num w:numId="13" w16cid:durableId="268657955">
    <w:abstractNumId w:val="8"/>
  </w:num>
  <w:num w:numId="14" w16cid:durableId="388236732">
    <w:abstractNumId w:val="21"/>
  </w:num>
  <w:num w:numId="15" w16cid:durableId="1715961396">
    <w:abstractNumId w:val="14"/>
  </w:num>
  <w:num w:numId="16" w16cid:durableId="2147353993">
    <w:abstractNumId w:val="36"/>
  </w:num>
  <w:num w:numId="17" w16cid:durableId="1263026540">
    <w:abstractNumId w:val="6"/>
  </w:num>
  <w:num w:numId="18" w16cid:durableId="1153791605">
    <w:abstractNumId w:val="7"/>
  </w:num>
  <w:num w:numId="19" w16cid:durableId="1178228122">
    <w:abstractNumId w:val="10"/>
  </w:num>
  <w:num w:numId="20" w16cid:durableId="378747315">
    <w:abstractNumId w:val="19"/>
  </w:num>
  <w:num w:numId="21" w16cid:durableId="1631938385">
    <w:abstractNumId w:val="22"/>
  </w:num>
  <w:num w:numId="22" w16cid:durableId="1057513426">
    <w:abstractNumId w:val="24"/>
  </w:num>
  <w:num w:numId="23" w16cid:durableId="269360445">
    <w:abstractNumId w:val="17"/>
  </w:num>
  <w:num w:numId="24" w16cid:durableId="1999654848">
    <w:abstractNumId w:val="33"/>
  </w:num>
  <w:num w:numId="25" w16cid:durableId="1978953761">
    <w:abstractNumId w:val="9"/>
  </w:num>
  <w:num w:numId="26" w16cid:durableId="77748907">
    <w:abstractNumId w:val="35"/>
  </w:num>
  <w:num w:numId="27" w16cid:durableId="1012877196">
    <w:abstractNumId w:val="1"/>
  </w:num>
  <w:num w:numId="28" w16cid:durableId="83113165">
    <w:abstractNumId w:val="0"/>
  </w:num>
  <w:num w:numId="29" w16cid:durableId="291251756">
    <w:abstractNumId w:val="27"/>
  </w:num>
  <w:num w:numId="30" w16cid:durableId="1001086521">
    <w:abstractNumId w:val="13"/>
  </w:num>
  <w:num w:numId="31" w16cid:durableId="370109063">
    <w:abstractNumId w:val="26"/>
  </w:num>
  <w:num w:numId="32" w16cid:durableId="1064333158">
    <w:abstractNumId w:val="44"/>
  </w:num>
  <w:num w:numId="33" w16cid:durableId="289015976">
    <w:abstractNumId w:val="37"/>
  </w:num>
  <w:num w:numId="34" w16cid:durableId="646932309">
    <w:abstractNumId w:val="23"/>
  </w:num>
  <w:num w:numId="35" w16cid:durableId="1566991912">
    <w:abstractNumId w:val="42"/>
  </w:num>
  <w:num w:numId="36" w16cid:durableId="68775153">
    <w:abstractNumId w:val="28"/>
  </w:num>
  <w:num w:numId="37" w16cid:durableId="2057271460">
    <w:abstractNumId w:val="5"/>
  </w:num>
  <w:num w:numId="38" w16cid:durableId="427623857">
    <w:abstractNumId w:val="16"/>
  </w:num>
  <w:num w:numId="39" w16cid:durableId="747271122">
    <w:abstractNumId w:val="45"/>
  </w:num>
  <w:num w:numId="40" w16cid:durableId="715735313">
    <w:abstractNumId w:val="3"/>
  </w:num>
  <w:num w:numId="41" w16cid:durableId="1310594938">
    <w:abstractNumId w:val="34"/>
  </w:num>
  <w:num w:numId="42" w16cid:durableId="581378170">
    <w:abstractNumId w:val="32"/>
  </w:num>
  <w:num w:numId="43" w16cid:durableId="10768450">
    <w:abstractNumId w:val="29"/>
  </w:num>
  <w:num w:numId="44" w16cid:durableId="890313114">
    <w:abstractNumId w:val="15"/>
  </w:num>
  <w:num w:numId="45" w16cid:durableId="1796295473">
    <w:abstractNumId w:val="31"/>
  </w:num>
  <w:num w:numId="46" w16cid:durableId="18699511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F6"/>
    <w:rsid w:val="000A72B3"/>
    <w:rsid w:val="000E1303"/>
    <w:rsid w:val="001250AF"/>
    <w:rsid w:val="002019C6"/>
    <w:rsid w:val="00271C65"/>
    <w:rsid w:val="00296BC7"/>
    <w:rsid w:val="002E05A7"/>
    <w:rsid w:val="002E20F9"/>
    <w:rsid w:val="003A4C3D"/>
    <w:rsid w:val="003A5699"/>
    <w:rsid w:val="00404524"/>
    <w:rsid w:val="00431403"/>
    <w:rsid w:val="004668A4"/>
    <w:rsid w:val="004902E8"/>
    <w:rsid w:val="004B3AA3"/>
    <w:rsid w:val="005E546E"/>
    <w:rsid w:val="006415B2"/>
    <w:rsid w:val="00662113"/>
    <w:rsid w:val="006729AA"/>
    <w:rsid w:val="00763937"/>
    <w:rsid w:val="007D3192"/>
    <w:rsid w:val="007F1661"/>
    <w:rsid w:val="00827726"/>
    <w:rsid w:val="008361A6"/>
    <w:rsid w:val="00836EDD"/>
    <w:rsid w:val="008955DC"/>
    <w:rsid w:val="00972B93"/>
    <w:rsid w:val="009731B4"/>
    <w:rsid w:val="009F4FC5"/>
    <w:rsid w:val="00AA1893"/>
    <w:rsid w:val="00AB2AC3"/>
    <w:rsid w:val="00B455A7"/>
    <w:rsid w:val="00BD68F6"/>
    <w:rsid w:val="00C00122"/>
    <w:rsid w:val="00C16A73"/>
    <w:rsid w:val="00C331DD"/>
    <w:rsid w:val="00C465D0"/>
    <w:rsid w:val="00D570D4"/>
    <w:rsid w:val="00D71E2D"/>
    <w:rsid w:val="00DC51D7"/>
    <w:rsid w:val="00E56F51"/>
    <w:rsid w:val="00E8154E"/>
    <w:rsid w:val="00E87AB0"/>
    <w:rsid w:val="00E97FD2"/>
    <w:rsid w:val="00F00BA6"/>
    <w:rsid w:val="00F36F79"/>
    <w:rsid w:val="00F4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6409F4"/>
  <w15:chartTrackingRefBased/>
  <w15:docId w15:val="{6D378CB3-4225-F344-A2F9-FD1AD1D6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D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D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D68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8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8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8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D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D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D6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BD6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8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8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8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8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8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D68F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D6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D68F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D68F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BD68F6"/>
  </w:style>
  <w:style w:type="character" w:customStyle="1" w:styleId="language-bash">
    <w:name w:val="language-bash"/>
    <w:basedOn w:val="Fuentedeprrafopredeter"/>
    <w:rsid w:val="00BD68F6"/>
  </w:style>
  <w:style w:type="character" w:customStyle="1" w:styleId="hljs-attr">
    <w:name w:val="hljs-attr"/>
    <w:basedOn w:val="Fuentedeprrafopredeter"/>
    <w:rsid w:val="00BD68F6"/>
  </w:style>
  <w:style w:type="character" w:customStyle="1" w:styleId="hljs-number">
    <w:name w:val="hljs-number"/>
    <w:basedOn w:val="Fuentedeprrafopredeter"/>
    <w:rsid w:val="00BD68F6"/>
  </w:style>
  <w:style w:type="character" w:customStyle="1" w:styleId="apple-converted-space">
    <w:name w:val="apple-converted-space"/>
    <w:basedOn w:val="Fuentedeprrafopredeter"/>
    <w:rsid w:val="00BD68F6"/>
  </w:style>
  <w:style w:type="character" w:styleId="nfasis">
    <w:name w:val="Emphasis"/>
    <w:basedOn w:val="Fuentedeprrafopredeter"/>
    <w:uiPriority w:val="20"/>
    <w:qFormat/>
    <w:rsid w:val="00BD68F6"/>
    <w:rPr>
      <w:i/>
      <w:iCs/>
    </w:rPr>
  </w:style>
  <w:style w:type="character" w:customStyle="1" w:styleId="hljs-builtin">
    <w:name w:val="hljs-built_in"/>
    <w:basedOn w:val="Fuentedeprrafopredeter"/>
    <w:rsid w:val="00BD68F6"/>
  </w:style>
  <w:style w:type="character" w:customStyle="1" w:styleId="hljs-operator">
    <w:name w:val="hljs-operator"/>
    <w:basedOn w:val="Fuentedeprrafopredeter"/>
    <w:rsid w:val="00BD68F6"/>
  </w:style>
  <w:style w:type="character" w:customStyle="1" w:styleId="hljs-keyword">
    <w:name w:val="hljs-keyword"/>
    <w:basedOn w:val="Fuentedeprrafopredeter"/>
    <w:rsid w:val="00BD68F6"/>
  </w:style>
  <w:style w:type="character" w:customStyle="1" w:styleId="hljs-selector-tag">
    <w:name w:val="hljs-selector-tag"/>
    <w:basedOn w:val="Fuentedeprrafopredeter"/>
    <w:rsid w:val="00BD68F6"/>
  </w:style>
  <w:style w:type="character" w:customStyle="1" w:styleId="hljs-attribute">
    <w:name w:val="hljs-attribute"/>
    <w:basedOn w:val="Fuentedeprrafopredeter"/>
    <w:rsid w:val="00BD68F6"/>
  </w:style>
  <w:style w:type="character" w:customStyle="1" w:styleId="hljs-type">
    <w:name w:val="hljs-type"/>
    <w:basedOn w:val="Fuentedeprrafopredeter"/>
    <w:rsid w:val="00BD68F6"/>
  </w:style>
  <w:style w:type="character" w:customStyle="1" w:styleId="hljs-variable">
    <w:name w:val="hljs-variable"/>
    <w:basedOn w:val="Fuentedeprrafopredeter"/>
    <w:rsid w:val="00BD68F6"/>
  </w:style>
  <w:style w:type="paragraph" w:styleId="Encabezado">
    <w:name w:val="header"/>
    <w:basedOn w:val="Normal"/>
    <w:link w:val="EncabezadoCar"/>
    <w:uiPriority w:val="99"/>
    <w:unhideWhenUsed/>
    <w:rsid w:val="007F166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1661"/>
  </w:style>
  <w:style w:type="paragraph" w:styleId="Piedepgina">
    <w:name w:val="footer"/>
    <w:basedOn w:val="Normal"/>
    <w:link w:val="PiedepginaCar"/>
    <w:uiPriority w:val="99"/>
    <w:unhideWhenUsed/>
    <w:rsid w:val="007F166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D25AC1-C1FA-ED42-B5EF-2ABC15D8F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18</Pages>
  <Words>3586</Words>
  <Characters>19724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 Mendieta</dc:creator>
  <cp:keywords/>
  <dc:description/>
  <cp:lastModifiedBy>Gero Mendieta</cp:lastModifiedBy>
  <cp:revision>22</cp:revision>
  <cp:lastPrinted>2025-12-11T14:05:00Z</cp:lastPrinted>
  <dcterms:created xsi:type="dcterms:W3CDTF">2025-12-10T16:52:00Z</dcterms:created>
  <dcterms:modified xsi:type="dcterms:W3CDTF">2025-12-17T16:42:00Z</dcterms:modified>
</cp:coreProperties>
</file>