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13E5" w14:textId="76A64195" w:rsidR="00323C43" w:rsidRPr="000271A7" w:rsidRDefault="00374A7C" w:rsidP="000271A7">
      <w:pPr>
        <w:jc w:val="center"/>
        <w:rPr>
          <w:rFonts w:ascii="Arial" w:hAnsi="Arial" w:cs="Arial"/>
          <w:b/>
          <w:bCs/>
          <w:sz w:val="28"/>
          <w:szCs w:val="28"/>
        </w:rPr>
      </w:pPr>
      <w:r>
        <w:rPr>
          <w:rFonts w:ascii="Arial" w:hAnsi="Arial" w:cs="Arial"/>
          <w:b/>
          <w:bCs/>
          <w:sz w:val="28"/>
          <w:szCs w:val="28"/>
        </w:rPr>
        <w:t>TD</w:t>
      </w:r>
      <w:r w:rsidR="00B1452B" w:rsidRPr="000271A7">
        <w:rPr>
          <w:rFonts w:ascii="Arial" w:hAnsi="Arial" w:cs="Arial"/>
          <w:b/>
          <w:bCs/>
          <w:sz w:val="28"/>
          <w:szCs w:val="28"/>
        </w:rPr>
        <w:t xml:space="preserve"> 1 </w:t>
      </w:r>
      <w:r>
        <w:rPr>
          <w:rFonts w:ascii="Arial" w:hAnsi="Arial" w:cs="Arial"/>
          <w:b/>
          <w:bCs/>
          <w:sz w:val="28"/>
          <w:szCs w:val="28"/>
        </w:rPr>
        <w:t>L’éducation nationale un service non marchand ?</w:t>
      </w:r>
    </w:p>
    <w:p w14:paraId="0B7B8E1A" w14:textId="77777777" w:rsidR="00A073CB" w:rsidRDefault="00A073CB">
      <w:pPr>
        <w:rPr>
          <w:rFonts w:ascii="Arial" w:hAnsi="Arial" w:cs="Arial"/>
          <w:b/>
          <w:bCs/>
        </w:rPr>
      </w:pPr>
    </w:p>
    <w:p w14:paraId="79B2CB10" w14:textId="1A24E928" w:rsidR="00374A7C" w:rsidRDefault="00374A7C" w:rsidP="00C47BF1">
      <w:pPr>
        <w:pBdr>
          <w:top w:val="single" w:sz="4" w:space="1" w:color="auto"/>
          <w:left w:val="single" w:sz="4" w:space="4" w:color="auto"/>
          <w:bottom w:val="single" w:sz="4" w:space="1" w:color="auto"/>
          <w:right w:val="single" w:sz="4" w:space="4" w:color="auto"/>
        </w:pBdr>
        <w:jc w:val="both"/>
        <w:rPr>
          <w:rFonts w:ascii="Arial" w:hAnsi="Arial" w:cs="Arial"/>
          <w:sz w:val="24"/>
          <w:szCs w:val="24"/>
        </w:rPr>
      </w:pPr>
      <w:r w:rsidRPr="00374A7C">
        <w:rPr>
          <w:rFonts w:ascii="Arial" w:hAnsi="Arial" w:cs="Arial"/>
          <w:b/>
          <w:bCs/>
          <w:sz w:val="24"/>
          <w:szCs w:val="24"/>
          <w:u w:val="single"/>
        </w:rPr>
        <w:t>Analyser une consigne</w:t>
      </w:r>
      <w:r w:rsidRPr="00374A7C">
        <w:rPr>
          <w:rFonts w:ascii="Arial" w:hAnsi="Arial" w:cs="Arial"/>
          <w:sz w:val="24"/>
          <w:szCs w:val="24"/>
        </w:rPr>
        <w:t> : A l’examen, les questions de chacune des missions sont énoncées sous la forme d’un verbe directeur (caractériser, interpréter, analyser, expliquer, déterminer…) il s’agit de bien les analyser pour comprendre le type de travail à effectuer et de réponse attendue.</w:t>
      </w:r>
    </w:p>
    <w:p w14:paraId="0B663D9D" w14:textId="1893D082" w:rsidR="00374A7C" w:rsidRDefault="00374A7C" w:rsidP="00747535">
      <w:pPr>
        <w:jc w:val="both"/>
        <w:rPr>
          <w:rFonts w:ascii="Arial" w:hAnsi="Arial" w:cs="Arial"/>
          <w:sz w:val="24"/>
          <w:szCs w:val="24"/>
        </w:rPr>
      </w:pPr>
      <w:r>
        <w:rPr>
          <w:rFonts w:ascii="Arial" w:hAnsi="Arial" w:cs="Arial"/>
          <w:sz w:val="24"/>
          <w:szCs w:val="24"/>
        </w:rPr>
        <w:t xml:space="preserve">Question 1 : </w:t>
      </w:r>
      <w:r w:rsidRPr="00357235">
        <w:rPr>
          <w:rFonts w:ascii="Arial" w:hAnsi="Arial" w:cs="Arial"/>
          <w:b/>
          <w:bCs/>
          <w:sz w:val="24"/>
          <w:szCs w:val="24"/>
        </w:rPr>
        <w:t>DISTINGUER</w:t>
      </w:r>
      <w:r>
        <w:rPr>
          <w:rFonts w:ascii="Arial" w:hAnsi="Arial" w:cs="Arial"/>
          <w:sz w:val="24"/>
          <w:szCs w:val="24"/>
        </w:rPr>
        <w:t xml:space="preserve"> les productions marchandes et non marchandes</w:t>
      </w:r>
    </w:p>
    <w:p w14:paraId="0B79BFE9" w14:textId="3AFA6101" w:rsidR="00374A7C" w:rsidRDefault="00374A7C" w:rsidP="00747535">
      <w:pPr>
        <w:jc w:val="both"/>
        <w:rPr>
          <w:rFonts w:ascii="Arial" w:hAnsi="Arial" w:cs="Arial"/>
          <w:sz w:val="24"/>
          <w:szCs w:val="24"/>
        </w:rPr>
      </w:pPr>
      <w:r>
        <w:rPr>
          <w:rFonts w:ascii="Arial" w:hAnsi="Arial" w:cs="Arial"/>
          <w:sz w:val="24"/>
          <w:szCs w:val="24"/>
        </w:rPr>
        <w:t xml:space="preserve">Question 2 : </w:t>
      </w:r>
      <w:r w:rsidRPr="00357235">
        <w:rPr>
          <w:rFonts w:ascii="Arial" w:hAnsi="Arial" w:cs="Arial"/>
          <w:b/>
          <w:bCs/>
          <w:sz w:val="24"/>
          <w:szCs w:val="24"/>
        </w:rPr>
        <w:t>CARACTERISER</w:t>
      </w:r>
      <w:r>
        <w:rPr>
          <w:rFonts w:ascii="Arial" w:hAnsi="Arial" w:cs="Arial"/>
          <w:sz w:val="24"/>
          <w:szCs w:val="24"/>
        </w:rPr>
        <w:t xml:space="preserve"> la catégorie d’agents à laquelle appartient un lycée public et le nature de sa production</w:t>
      </w:r>
    </w:p>
    <w:p w14:paraId="642BE39F" w14:textId="3168B27A" w:rsidR="00374A7C" w:rsidRDefault="00374A7C" w:rsidP="00747535">
      <w:pPr>
        <w:jc w:val="both"/>
        <w:rPr>
          <w:rFonts w:ascii="Arial" w:hAnsi="Arial" w:cs="Arial"/>
          <w:sz w:val="24"/>
          <w:szCs w:val="24"/>
        </w:rPr>
      </w:pPr>
      <w:r>
        <w:rPr>
          <w:rFonts w:ascii="Arial" w:hAnsi="Arial" w:cs="Arial"/>
          <w:sz w:val="24"/>
          <w:szCs w:val="24"/>
        </w:rPr>
        <w:t xml:space="preserve">Question 3 : </w:t>
      </w:r>
      <w:r w:rsidRPr="00357235">
        <w:rPr>
          <w:rFonts w:ascii="Arial" w:hAnsi="Arial" w:cs="Arial"/>
          <w:b/>
          <w:bCs/>
          <w:sz w:val="24"/>
          <w:szCs w:val="24"/>
        </w:rPr>
        <w:t>ANALYSER</w:t>
      </w:r>
      <w:r>
        <w:rPr>
          <w:rFonts w:ascii="Arial" w:hAnsi="Arial" w:cs="Arial"/>
          <w:sz w:val="24"/>
          <w:szCs w:val="24"/>
        </w:rPr>
        <w:t xml:space="preserve"> la répartition du financement de l’Education</w:t>
      </w:r>
    </w:p>
    <w:p w14:paraId="2E28712A" w14:textId="77777777" w:rsidR="00374A7C" w:rsidRDefault="00374A7C" w:rsidP="00747535">
      <w:pPr>
        <w:jc w:val="both"/>
        <w:rPr>
          <w:rFonts w:ascii="Arial" w:hAnsi="Arial" w:cs="Arial"/>
          <w:sz w:val="24"/>
          <w:szCs w:val="24"/>
        </w:rPr>
      </w:pPr>
    </w:p>
    <w:p w14:paraId="39A56C3D" w14:textId="3B8D283C" w:rsidR="00374A7C" w:rsidRDefault="00374A7C" w:rsidP="00747535">
      <w:pPr>
        <w:jc w:val="both"/>
        <w:rPr>
          <w:rFonts w:ascii="Arial" w:hAnsi="Arial" w:cs="Arial"/>
          <w:sz w:val="24"/>
          <w:szCs w:val="24"/>
        </w:rPr>
      </w:pPr>
      <w:r>
        <w:rPr>
          <w:rFonts w:ascii="Arial" w:hAnsi="Arial" w:cs="Arial"/>
          <w:sz w:val="24"/>
          <w:szCs w:val="24"/>
        </w:rPr>
        <w:t xml:space="preserve">1 </w:t>
      </w:r>
      <w:r w:rsidRPr="00357235">
        <w:rPr>
          <w:rFonts w:ascii="Arial" w:hAnsi="Arial" w:cs="Arial"/>
          <w:b/>
          <w:bCs/>
          <w:sz w:val="24"/>
          <w:szCs w:val="24"/>
        </w:rPr>
        <w:t>Distinguer</w:t>
      </w:r>
      <w:r>
        <w:rPr>
          <w:rFonts w:ascii="Arial" w:hAnsi="Arial" w:cs="Arial"/>
          <w:sz w:val="24"/>
          <w:szCs w:val="24"/>
        </w:rPr>
        <w:t xml:space="preserve"> </w:t>
      </w:r>
      <w:r w:rsidR="00357235">
        <w:rPr>
          <w:rFonts w:ascii="Arial" w:hAnsi="Arial" w:cs="Arial"/>
          <w:sz w:val="24"/>
          <w:szCs w:val="24"/>
        </w:rPr>
        <w:t>consiste</w:t>
      </w:r>
      <w:r>
        <w:rPr>
          <w:rFonts w:ascii="Arial" w:hAnsi="Arial" w:cs="Arial"/>
          <w:sz w:val="24"/>
          <w:szCs w:val="24"/>
        </w:rPr>
        <w:t xml:space="preserve"> à indiquer les différences entre les deux notions ou concept. Il est recommandé d’illustrer par des exemples.</w:t>
      </w:r>
    </w:p>
    <w:p w14:paraId="657BC805" w14:textId="4F39E7DD" w:rsidR="00374A7C" w:rsidRDefault="00374A7C" w:rsidP="00747535">
      <w:pPr>
        <w:jc w:val="both"/>
        <w:rPr>
          <w:rFonts w:ascii="Arial" w:hAnsi="Arial" w:cs="Arial"/>
          <w:sz w:val="24"/>
          <w:szCs w:val="24"/>
        </w:rPr>
      </w:pPr>
      <w:r>
        <w:rPr>
          <w:rFonts w:ascii="Arial" w:hAnsi="Arial" w:cs="Arial"/>
          <w:sz w:val="24"/>
          <w:szCs w:val="24"/>
        </w:rPr>
        <w:t xml:space="preserve">2 </w:t>
      </w:r>
      <w:r w:rsidRPr="00357235">
        <w:rPr>
          <w:rFonts w:ascii="Arial" w:hAnsi="Arial" w:cs="Arial"/>
          <w:b/>
          <w:bCs/>
          <w:sz w:val="24"/>
          <w:szCs w:val="24"/>
        </w:rPr>
        <w:t>Caractériser</w:t>
      </w:r>
      <w:r>
        <w:rPr>
          <w:rFonts w:ascii="Arial" w:hAnsi="Arial" w:cs="Arial"/>
          <w:sz w:val="24"/>
          <w:szCs w:val="24"/>
        </w:rPr>
        <w:t xml:space="preserve"> demande de préciser les traits essentiels d’une notion ou d’un phénomène économique. Ici il faut repérer la catégorie d’agents économiques à laquelle appartient le lycée puis la définir. Ensuite, à partir de la production, il faut identifier celle réalisée par un lycée (la définir et l’illustrer par un exemple)</w:t>
      </w:r>
    </w:p>
    <w:p w14:paraId="7350B618" w14:textId="2072EFFF" w:rsidR="00374A7C" w:rsidRPr="00374A7C" w:rsidRDefault="00357235" w:rsidP="00747535">
      <w:pPr>
        <w:jc w:val="both"/>
        <w:rPr>
          <w:rFonts w:ascii="Arial" w:hAnsi="Arial" w:cs="Arial"/>
          <w:sz w:val="24"/>
          <w:szCs w:val="24"/>
        </w:rPr>
      </w:pPr>
      <w:r>
        <w:rPr>
          <w:rFonts w:ascii="Arial" w:hAnsi="Arial" w:cs="Arial"/>
          <w:sz w:val="24"/>
          <w:szCs w:val="24"/>
        </w:rPr>
        <w:t xml:space="preserve">3 </w:t>
      </w:r>
      <w:r w:rsidRPr="00796E9E">
        <w:rPr>
          <w:rFonts w:ascii="Arial" w:hAnsi="Arial" w:cs="Arial"/>
          <w:b/>
          <w:bCs/>
          <w:sz w:val="24"/>
          <w:szCs w:val="24"/>
        </w:rPr>
        <w:t>Analyser</w:t>
      </w:r>
      <w:r>
        <w:rPr>
          <w:rFonts w:ascii="Arial" w:hAnsi="Arial" w:cs="Arial"/>
          <w:sz w:val="24"/>
          <w:szCs w:val="24"/>
        </w:rPr>
        <w:t xml:space="preserve"> nécessite de rendre compte d’un phénomène ou d’un fait économique</w:t>
      </w:r>
      <w:r w:rsidR="00796E9E">
        <w:rPr>
          <w:rFonts w:ascii="Arial" w:hAnsi="Arial" w:cs="Arial"/>
          <w:sz w:val="24"/>
          <w:szCs w:val="24"/>
        </w:rPr>
        <w:t xml:space="preserve">, parfois de la décomposer (ici le financement est </w:t>
      </w:r>
      <w:r w:rsidR="00C47BF1">
        <w:rPr>
          <w:rFonts w:ascii="Arial" w:hAnsi="Arial" w:cs="Arial"/>
          <w:sz w:val="24"/>
          <w:szCs w:val="24"/>
        </w:rPr>
        <w:t>réalisé</w:t>
      </w:r>
      <w:r w:rsidR="00796E9E">
        <w:rPr>
          <w:rFonts w:ascii="Arial" w:hAnsi="Arial" w:cs="Arial"/>
          <w:sz w:val="24"/>
          <w:szCs w:val="24"/>
        </w:rPr>
        <w:t xml:space="preserve"> par plusieurs acteurs) et d’en déterminer la cause.</w:t>
      </w:r>
    </w:p>
    <w:p w14:paraId="4C4DC691" w14:textId="77777777" w:rsidR="00374A7C" w:rsidRDefault="00374A7C" w:rsidP="00747535">
      <w:pPr>
        <w:jc w:val="both"/>
        <w:rPr>
          <w:rFonts w:ascii="Arial" w:hAnsi="Arial" w:cs="Arial"/>
        </w:rPr>
      </w:pPr>
    </w:p>
    <w:p w14:paraId="35EABA6F" w14:textId="235B558C" w:rsidR="00C47BF1" w:rsidRPr="00C47BF1" w:rsidRDefault="00C47BF1" w:rsidP="00747535">
      <w:pPr>
        <w:jc w:val="both"/>
        <w:rPr>
          <w:rFonts w:ascii="Arial" w:hAnsi="Arial" w:cs="Arial"/>
          <w:b/>
          <w:bCs/>
          <w:sz w:val="28"/>
          <w:szCs w:val="28"/>
        </w:rPr>
      </w:pPr>
      <w:r w:rsidRPr="00C47BF1">
        <w:rPr>
          <w:rFonts w:ascii="Arial" w:hAnsi="Arial" w:cs="Arial"/>
          <w:b/>
          <w:bCs/>
          <w:sz w:val="28"/>
          <w:szCs w:val="28"/>
        </w:rPr>
        <w:t>Doc </w:t>
      </w:r>
      <w:r>
        <w:rPr>
          <w:rFonts w:ascii="Arial" w:hAnsi="Arial" w:cs="Arial"/>
          <w:b/>
          <w:bCs/>
          <w:sz w:val="28"/>
          <w:szCs w:val="28"/>
        </w:rPr>
        <w:t xml:space="preserve">1 </w:t>
      </w:r>
      <w:r w:rsidRPr="00C47BF1">
        <w:rPr>
          <w:rFonts w:ascii="Arial" w:hAnsi="Arial" w:cs="Arial"/>
          <w:b/>
          <w:bCs/>
          <w:sz w:val="28"/>
          <w:szCs w:val="28"/>
        </w:rPr>
        <w:t>: l’Education nationale, un service non marchand</w:t>
      </w:r>
    </w:p>
    <w:p w14:paraId="2F10FF23" w14:textId="77777777" w:rsidR="00C47BF1" w:rsidRDefault="00C47BF1" w:rsidP="00747535">
      <w:pPr>
        <w:jc w:val="both"/>
        <w:rPr>
          <w:rFonts w:ascii="Arial" w:hAnsi="Arial" w:cs="Arial"/>
        </w:rPr>
      </w:pPr>
    </w:p>
    <w:p w14:paraId="03E1A4CA" w14:textId="16186988" w:rsidR="00C47BF1" w:rsidRDefault="00C47BF1" w:rsidP="00747535">
      <w:pPr>
        <w:jc w:val="both"/>
        <w:rPr>
          <w:rFonts w:ascii="Arial" w:hAnsi="Arial" w:cs="Arial"/>
        </w:rPr>
      </w:pPr>
      <w:r>
        <w:rPr>
          <w:rFonts w:ascii="Arial" w:hAnsi="Arial" w:cs="Arial"/>
        </w:rPr>
        <w:t>En 2022, la dépense intérieure d’éducation qui mesure l’effort consenti par la Nation pour le fonctionnement et le développement du système éducatif, est estimé à 180.1 milliards d’€.</w:t>
      </w:r>
    </w:p>
    <w:p w14:paraId="143F2BC3" w14:textId="079F2A86" w:rsidR="00C47BF1" w:rsidRDefault="00C47BF1" w:rsidP="00747535">
      <w:pPr>
        <w:jc w:val="both"/>
        <w:rPr>
          <w:rFonts w:ascii="Arial" w:hAnsi="Arial" w:cs="Arial"/>
        </w:rPr>
      </w:pPr>
      <w:r>
        <w:rPr>
          <w:rFonts w:ascii="Arial" w:hAnsi="Arial" w:cs="Arial"/>
        </w:rPr>
        <w:t>Elle s’accroit de 4.9 %. Le poids des dépenses d’éducation dans le PIB atteint 6.8 % en 2022.</w:t>
      </w:r>
    </w:p>
    <w:tbl>
      <w:tblPr>
        <w:tblStyle w:val="Grilledutableau"/>
        <w:tblW w:w="0" w:type="auto"/>
        <w:tblLook w:val="04A0" w:firstRow="1" w:lastRow="0" w:firstColumn="1" w:lastColumn="0" w:noHBand="0" w:noVBand="1"/>
      </w:tblPr>
      <w:tblGrid>
        <w:gridCol w:w="4531"/>
        <w:gridCol w:w="4531"/>
      </w:tblGrid>
      <w:tr w:rsidR="00C47BF1" w14:paraId="0ACD7F91" w14:textId="77777777" w:rsidTr="003167FD">
        <w:tc>
          <w:tcPr>
            <w:tcW w:w="9062" w:type="dxa"/>
            <w:gridSpan w:val="2"/>
          </w:tcPr>
          <w:p w14:paraId="16350355" w14:textId="075E0349" w:rsidR="00C47BF1" w:rsidRPr="00C47BF1" w:rsidRDefault="00C47BF1" w:rsidP="00747535">
            <w:pPr>
              <w:jc w:val="both"/>
              <w:rPr>
                <w:rFonts w:ascii="Arial" w:hAnsi="Arial" w:cs="Arial"/>
                <w:b/>
                <w:bCs/>
                <w:sz w:val="24"/>
                <w:szCs w:val="24"/>
              </w:rPr>
            </w:pPr>
            <w:r w:rsidRPr="00C47BF1">
              <w:rPr>
                <w:rFonts w:ascii="Arial" w:hAnsi="Arial" w:cs="Arial"/>
                <w:b/>
                <w:bCs/>
                <w:sz w:val="24"/>
                <w:szCs w:val="24"/>
              </w:rPr>
              <w:t>Structure du financement initial de la dépense intérieure d’éducation en 2022</w:t>
            </w:r>
          </w:p>
        </w:tc>
      </w:tr>
      <w:tr w:rsidR="00C47BF1" w14:paraId="1AF0634B" w14:textId="77777777" w:rsidTr="00C47BF1">
        <w:tc>
          <w:tcPr>
            <w:tcW w:w="4531" w:type="dxa"/>
          </w:tcPr>
          <w:p w14:paraId="08A38D2F" w14:textId="58A5D4F0" w:rsidR="00C47BF1" w:rsidRDefault="00C47BF1" w:rsidP="00747535">
            <w:pPr>
              <w:jc w:val="both"/>
              <w:rPr>
                <w:rFonts w:ascii="Arial" w:hAnsi="Arial" w:cs="Arial"/>
              </w:rPr>
            </w:pPr>
            <w:r>
              <w:rPr>
                <w:rFonts w:ascii="Arial" w:hAnsi="Arial" w:cs="Arial"/>
              </w:rPr>
              <w:t>Etat</w:t>
            </w:r>
          </w:p>
        </w:tc>
        <w:tc>
          <w:tcPr>
            <w:tcW w:w="4531" w:type="dxa"/>
          </w:tcPr>
          <w:p w14:paraId="056BFDB3" w14:textId="09EF711B" w:rsidR="00C47BF1" w:rsidRPr="00C47BF1" w:rsidRDefault="00C47BF1" w:rsidP="00C47BF1">
            <w:pPr>
              <w:jc w:val="center"/>
              <w:rPr>
                <w:rFonts w:ascii="Arial" w:hAnsi="Arial" w:cs="Arial"/>
                <w:b/>
                <w:bCs/>
              </w:rPr>
            </w:pPr>
            <w:r w:rsidRPr="00C47BF1">
              <w:rPr>
                <w:rFonts w:ascii="Arial" w:hAnsi="Arial" w:cs="Arial"/>
                <w:b/>
                <w:bCs/>
              </w:rPr>
              <w:t>55.7 %</w:t>
            </w:r>
          </w:p>
        </w:tc>
      </w:tr>
      <w:tr w:rsidR="00C47BF1" w14:paraId="0DB82012" w14:textId="77777777" w:rsidTr="00C47BF1">
        <w:tc>
          <w:tcPr>
            <w:tcW w:w="4531" w:type="dxa"/>
          </w:tcPr>
          <w:p w14:paraId="131DEE9E" w14:textId="5AB5E919" w:rsidR="00C47BF1" w:rsidRDefault="00C47BF1" w:rsidP="00747535">
            <w:pPr>
              <w:jc w:val="both"/>
              <w:rPr>
                <w:rFonts w:ascii="Arial" w:hAnsi="Arial" w:cs="Arial"/>
              </w:rPr>
            </w:pPr>
            <w:r>
              <w:rPr>
                <w:rFonts w:ascii="Arial" w:hAnsi="Arial" w:cs="Arial"/>
              </w:rPr>
              <w:t>Collectivité territoriales</w:t>
            </w:r>
          </w:p>
        </w:tc>
        <w:tc>
          <w:tcPr>
            <w:tcW w:w="4531" w:type="dxa"/>
          </w:tcPr>
          <w:p w14:paraId="7E57E9FA" w14:textId="352E8951" w:rsidR="00C47BF1" w:rsidRPr="00C47BF1" w:rsidRDefault="00C47BF1" w:rsidP="00C47BF1">
            <w:pPr>
              <w:jc w:val="center"/>
              <w:rPr>
                <w:rFonts w:ascii="Arial" w:hAnsi="Arial" w:cs="Arial"/>
                <w:b/>
                <w:bCs/>
              </w:rPr>
            </w:pPr>
            <w:r w:rsidRPr="00C47BF1">
              <w:rPr>
                <w:rFonts w:ascii="Arial" w:hAnsi="Arial" w:cs="Arial"/>
                <w:b/>
                <w:bCs/>
              </w:rPr>
              <w:t>22.7 %</w:t>
            </w:r>
          </w:p>
        </w:tc>
      </w:tr>
      <w:tr w:rsidR="00C47BF1" w14:paraId="71FBCC8E" w14:textId="77777777" w:rsidTr="00C47BF1">
        <w:tc>
          <w:tcPr>
            <w:tcW w:w="4531" w:type="dxa"/>
          </w:tcPr>
          <w:p w14:paraId="6BB31CF1" w14:textId="0E05E593" w:rsidR="00C47BF1" w:rsidRDefault="00C47BF1" w:rsidP="00747535">
            <w:pPr>
              <w:jc w:val="both"/>
              <w:rPr>
                <w:rFonts w:ascii="Arial" w:hAnsi="Arial" w:cs="Arial"/>
              </w:rPr>
            </w:pPr>
            <w:r>
              <w:rPr>
                <w:rFonts w:ascii="Arial" w:hAnsi="Arial" w:cs="Arial"/>
              </w:rPr>
              <w:t>Autres administrations publiques</w:t>
            </w:r>
          </w:p>
        </w:tc>
        <w:tc>
          <w:tcPr>
            <w:tcW w:w="4531" w:type="dxa"/>
          </w:tcPr>
          <w:p w14:paraId="516A318D" w14:textId="3D1DD63A" w:rsidR="00C47BF1" w:rsidRPr="00C47BF1" w:rsidRDefault="00C47BF1" w:rsidP="00C47BF1">
            <w:pPr>
              <w:jc w:val="center"/>
              <w:rPr>
                <w:rFonts w:ascii="Arial" w:hAnsi="Arial" w:cs="Arial"/>
                <w:b/>
                <w:bCs/>
              </w:rPr>
            </w:pPr>
            <w:r w:rsidRPr="00C47BF1">
              <w:rPr>
                <w:rFonts w:ascii="Arial" w:hAnsi="Arial" w:cs="Arial"/>
                <w:b/>
                <w:bCs/>
              </w:rPr>
              <w:t>3.8 %</w:t>
            </w:r>
          </w:p>
        </w:tc>
      </w:tr>
      <w:tr w:rsidR="00C47BF1" w14:paraId="2F7D2FD2" w14:textId="77777777" w:rsidTr="00C47BF1">
        <w:tc>
          <w:tcPr>
            <w:tcW w:w="4531" w:type="dxa"/>
          </w:tcPr>
          <w:p w14:paraId="63E357B9" w14:textId="163CFA6F" w:rsidR="00C47BF1" w:rsidRDefault="00C47BF1" w:rsidP="00747535">
            <w:pPr>
              <w:jc w:val="both"/>
              <w:rPr>
                <w:rFonts w:ascii="Arial" w:hAnsi="Arial" w:cs="Arial"/>
              </w:rPr>
            </w:pPr>
            <w:r>
              <w:rPr>
                <w:rFonts w:ascii="Arial" w:hAnsi="Arial" w:cs="Arial"/>
              </w:rPr>
              <w:t>Ménages</w:t>
            </w:r>
          </w:p>
        </w:tc>
        <w:tc>
          <w:tcPr>
            <w:tcW w:w="4531" w:type="dxa"/>
          </w:tcPr>
          <w:p w14:paraId="23A94307" w14:textId="1536796A" w:rsidR="00C47BF1" w:rsidRPr="00C47BF1" w:rsidRDefault="00C47BF1" w:rsidP="00C47BF1">
            <w:pPr>
              <w:jc w:val="center"/>
              <w:rPr>
                <w:rFonts w:ascii="Arial" w:hAnsi="Arial" w:cs="Arial"/>
                <w:b/>
                <w:bCs/>
              </w:rPr>
            </w:pPr>
            <w:r w:rsidRPr="00C47BF1">
              <w:rPr>
                <w:rFonts w:ascii="Arial" w:hAnsi="Arial" w:cs="Arial"/>
                <w:b/>
                <w:bCs/>
              </w:rPr>
              <w:t>7.8 %</w:t>
            </w:r>
          </w:p>
        </w:tc>
      </w:tr>
      <w:tr w:rsidR="00C47BF1" w14:paraId="766549CF" w14:textId="77777777" w:rsidTr="00C47BF1">
        <w:tc>
          <w:tcPr>
            <w:tcW w:w="4531" w:type="dxa"/>
          </w:tcPr>
          <w:p w14:paraId="70A061AE" w14:textId="464BD0DB" w:rsidR="00C47BF1" w:rsidRDefault="00C47BF1" w:rsidP="00747535">
            <w:pPr>
              <w:jc w:val="both"/>
              <w:rPr>
                <w:rFonts w:ascii="Arial" w:hAnsi="Arial" w:cs="Arial"/>
              </w:rPr>
            </w:pPr>
            <w:r>
              <w:rPr>
                <w:rFonts w:ascii="Arial" w:hAnsi="Arial" w:cs="Arial"/>
              </w:rPr>
              <w:t>Entreprises</w:t>
            </w:r>
          </w:p>
        </w:tc>
        <w:tc>
          <w:tcPr>
            <w:tcW w:w="4531" w:type="dxa"/>
          </w:tcPr>
          <w:p w14:paraId="53D03A9C" w14:textId="79C068CC" w:rsidR="00C47BF1" w:rsidRPr="00C47BF1" w:rsidRDefault="00C47BF1" w:rsidP="00C47BF1">
            <w:pPr>
              <w:jc w:val="center"/>
              <w:rPr>
                <w:rFonts w:ascii="Arial" w:hAnsi="Arial" w:cs="Arial"/>
                <w:b/>
                <w:bCs/>
              </w:rPr>
            </w:pPr>
            <w:r w:rsidRPr="00C47BF1">
              <w:rPr>
                <w:rFonts w:ascii="Arial" w:hAnsi="Arial" w:cs="Arial"/>
                <w:b/>
                <w:bCs/>
              </w:rPr>
              <w:t>9.9 %</w:t>
            </w:r>
          </w:p>
        </w:tc>
      </w:tr>
    </w:tbl>
    <w:p w14:paraId="29771D41" w14:textId="77777777" w:rsidR="00C47BF1" w:rsidRDefault="00C47BF1" w:rsidP="00747535">
      <w:pPr>
        <w:jc w:val="both"/>
        <w:rPr>
          <w:rFonts w:ascii="Arial" w:hAnsi="Arial" w:cs="Arial"/>
        </w:rPr>
      </w:pPr>
    </w:p>
    <w:p w14:paraId="6C4A7D9D" w14:textId="23E50724" w:rsidR="00C47BF1" w:rsidRDefault="00C47BF1" w:rsidP="00747535">
      <w:pPr>
        <w:jc w:val="both"/>
        <w:rPr>
          <w:rFonts w:ascii="Arial" w:hAnsi="Arial" w:cs="Arial"/>
        </w:rPr>
      </w:pPr>
      <w:r>
        <w:rPr>
          <w:rFonts w:ascii="Arial" w:hAnsi="Arial" w:cs="Arial"/>
        </w:rPr>
        <w:t>En 2022, l’Etat finance les rémunérations des personnels (enseignants, personnel de direction et administratifs) ainsi que le versement des bourses d’études.</w:t>
      </w:r>
    </w:p>
    <w:p w14:paraId="417A8D7D" w14:textId="3A3E0BFA" w:rsidR="00C47BF1" w:rsidRDefault="00C47BF1" w:rsidP="00747535">
      <w:pPr>
        <w:jc w:val="both"/>
        <w:rPr>
          <w:rFonts w:ascii="Arial" w:hAnsi="Arial" w:cs="Arial"/>
        </w:rPr>
      </w:pPr>
      <w:r>
        <w:rPr>
          <w:rFonts w:ascii="Arial" w:hAnsi="Arial" w:cs="Arial"/>
        </w:rPr>
        <w:t>La dépense par élève ou étudiant s’élève à 9860 € en 2022.</w:t>
      </w:r>
    </w:p>
    <w:p w14:paraId="29137DF7" w14:textId="151165FF" w:rsidR="00C47BF1" w:rsidRPr="00323C43" w:rsidRDefault="00C47BF1" w:rsidP="00747535">
      <w:pPr>
        <w:jc w:val="both"/>
        <w:rPr>
          <w:rFonts w:ascii="Arial" w:hAnsi="Arial" w:cs="Arial"/>
        </w:rPr>
      </w:pPr>
      <w:r>
        <w:rPr>
          <w:rFonts w:ascii="Arial" w:hAnsi="Arial" w:cs="Arial"/>
        </w:rPr>
        <w:t xml:space="preserve">Source : </w:t>
      </w:r>
      <w:hyperlink r:id="rId8" w:history="1">
        <w:r w:rsidRPr="00217AC1">
          <w:rPr>
            <w:rStyle w:val="Lienhypertexte"/>
            <w:rFonts w:ascii="Arial" w:hAnsi="Arial" w:cs="Arial"/>
          </w:rPr>
          <w:t>www.education.gouv.fr</w:t>
        </w:r>
      </w:hyperlink>
      <w:r>
        <w:rPr>
          <w:rFonts w:ascii="Arial" w:hAnsi="Arial" w:cs="Arial"/>
        </w:rPr>
        <w:t>, octobre 2023</w:t>
      </w:r>
    </w:p>
    <w:sectPr w:rsidR="00C47BF1" w:rsidRPr="00323C43">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55B37" w14:textId="77777777" w:rsidR="008C2DA4" w:rsidRDefault="008C2DA4" w:rsidP="00747535">
      <w:pPr>
        <w:spacing w:after="0" w:line="240" w:lineRule="auto"/>
      </w:pPr>
      <w:r>
        <w:separator/>
      </w:r>
    </w:p>
  </w:endnote>
  <w:endnote w:type="continuationSeparator" w:id="0">
    <w:p w14:paraId="7693FBE9" w14:textId="77777777" w:rsidR="008C2DA4" w:rsidRDefault="008C2DA4" w:rsidP="00747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E9478" w14:textId="77777777" w:rsidR="00747535" w:rsidRDefault="00747535">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55DAF68A" w14:textId="77777777" w:rsidR="00747535" w:rsidRDefault="007475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EF419" w14:textId="77777777" w:rsidR="008C2DA4" w:rsidRDefault="008C2DA4" w:rsidP="00747535">
      <w:pPr>
        <w:spacing w:after="0" w:line="240" w:lineRule="auto"/>
      </w:pPr>
      <w:r>
        <w:separator/>
      </w:r>
    </w:p>
  </w:footnote>
  <w:footnote w:type="continuationSeparator" w:id="0">
    <w:p w14:paraId="195AC350" w14:textId="77777777" w:rsidR="008C2DA4" w:rsidRDefault="008C2DA4" w:rsidP="00747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156A3"/>
    <w:multiLevelType w:val="hybridMultilevel"/>
    <w:tmpl w:val="103299C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1250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43"/>
    <w:rsid w:val="000271A7"/>
    <w:rsid w:val="00323C43"/>
    <w:rsid w:val="003555B2"/>
    <w:rsid w:val="00357235"/>
    <w:rsid w:val="00374A7C"/>
    <w:rsid w:val="003A619B"/>
    <w:rsid w:val="003B10CC"/>
    <w:rsid w:val="003C1327"/>
    <w:rsid w:val="004A09B7"/>
    <w:rsid w:val="005F4E76"/>
    <w:rsid w:val="00747535"/>
    <w:rsid w:val="00796E9E"/>
    <w:rsid w:val="007A52F9"/>
    <w:rsid w:val="007E288D"/>
    <w:rsid w:val="008C2DA4"/>
    <w:rsid w:val="00926A77"/>
    <w:rsid w:val="009671AB"/>
    <w:rsid w:val="009703D5"/>
    <w:rsid w:val="009858CC"/>
    <w:rsid w:val="009B7C63"/>
    <w:rsid w:val="009C5FC2"/>
    <w:rsid w:val="00A073CB"/>
    <w:rsid w:val="00A50CDE"/>
    <w:rsid w:val="00B1452B"/>
    <w:rsid w:val="00BC0786"/>
    <w:rsid w:val="00BE2C3E"/>
    <w:rsid w:val="00C314A0"/>
    <w:rsid w:val="00C47BF1"/>
    <w:rsid w:val="00C64A0B"/>
    <w:rsid w:val="00DB29BB"/>
    <w:rsid w:val="00E36F0D"/>
    <w:rsid w:val="00F45A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3656"/>
  <w15:chartTrackingRefBased/>
  <w15:docId w15:val="{469784F4-DF09-4CC1-AAC8-851B0B53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3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23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23C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3C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3C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3C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3C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3C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3C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C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23C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23C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23C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3C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3C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3C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3C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3C43"/>
    <w:rPr>
      <w:rFonts w:eastAsiaTheme="majorEastAsia" w:cstheme="majorBidi"/>
      <w:color w:val="272727" w:themeColor="text1" w:themeTint="D8"/>
    </w:rPr>
  </w:style>
  <w:style w:type="paragraph" w:styleId="Titre">
    <w:name w:val="Title"/>
    <w:basedOn w:val="Normal"/>
    <w:next w:val="Normal"/>
    <w:link w:val="TitreCar"/>
    <w:uiPriority w:val="10"/>
    <w:qFormat/>
    <w:rsid w:val="0032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3C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3C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3C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3C43"/>
    <w:pPr>
      <w:spacing w:before="160"/>
      <w:jc w:val="center"/>
    </w:pPr>
    <w:rPr>
      <w:i/>
      <w:iCs/>
      <w:color w:val="404040" w:themeColor="text1" w:themeTint="BF"/>
    </w:rPr>
  </w:style>
  <w:style w:type="character" w:customStyle="1" w:styleId="CitationCar">
    <w:name w:val="Citation Car"/>
    <w:basedOn w:val="Policepardfaut"/>
    <w:link w:val="Citation"/>
    <w:uiPriority w:val="29"/>
    <w:rsid w:val="00323C43"/>
    <w:rPr>
      <w:i/>
      <w:iCs/>
      <w:color w:val="404040" w:themeColor="text1" w:themeTint="BF"/>
    </w:rPr>
  </w:style>
  <w:style w:type="paragraph" w:styleId="Paragraphedeliste">
    <w:name w:val="List Paragraph"/>
    <w:basedOn w:val="Normal"/>
    <w:uiPriority w:val="34"/>
    <w:qFormat/>
    <w:rsid w:val="00323C43"/>
    <w:pPr>
      <w:ind w:left="720"/>
      <w:contextualSpacing/>
    </w:pPr>
  </w:style>
  <w:style w:type="character" w:styleId="Accentuationintense">
    <w:name w:val="Intense Emphasis"/>
    <w:basedOn w:val="Policepardfaut"/>
    <w:uiPriority w:val="21"/>
    <w:qFormat/>
    <w:rsid w:val="00323C43"/>
    <w:rPr>
      <w:i/>
      <w:iCs/>
      <w:color w:val="0F4761" w:themeColor="accent1" w:themeShade="BF"/>
    </w:rPr>
  </w:style>
  <w:style w:type="paragraph" w:styleId="Citationintense">
    <w:name w:val="Intense Quote"/>
    <w:basedOn w:val="Normal"/>
    <w:next w:val="Normal"/>
    <w:link w:val="CitationintenseCar"/>
    <w:uiPriority w:val="30"/>
    <w:qFormat/>
    <w:rsid w:val="00323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3C43"/>
    <w:rPr>
      <w:i/>
      <w:iCs/>
      <w:color w:val="0F4761" w:themeColor="accent1" w:themeShade="BF"/>
    </w:rPr>
  </w:style>
  <w:style w:type="character" w:styleId="Rfrenceintense">
    <w:name w:val="Intense Reference"/>
    <w:basedOn w:val="Policepardfaut"/>
    <w:uiPriority w:val="32"/>
    <w:qFormat/>
    <w:rsid w:val="00323C43"/>
    <w:rPr>
      <w:b/>
      <w:bCs/>
      <w:smallCaps/>
      <w:color w:val="0F4761" w:themeColor="accent1" w:themeShade="BF"/>
      <w:spacing w:val="5"/>
    </w:rPr>
  </w:style>
  <w:style w:type="table" w:styleId="Grilledutableau">
    <w:name w:val="Table Grid"/>
    <w:basedOn w:val="TableauNormal"/>
    <w:uiPriority w:val="39"/>
    <w:rsid w:val="00323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271A7"/>
    <w:rPr>
      <w:color w:val="467886" w:themeColor="hyperlink"/>
      <w:u w:val="single"/>
    </w:rPr>
  </w:style>
  <w:style w:type="character" w:styleId="Mentionnonrsolue">
    <w:name w:val="Unresolved Mention"/>
    <w:basedOn w:val="Policepardfaut"/>
    <w:uiPriority w:val="99"/>
    <w:semiHidden/>
    <w:unhideWhenUsed/>
    <w:rsid w:val="000271A7"/>
    <w:rPr>
      <w:color w:val="605E5C"/>
      <w:shd w:val="clear" w:color="auto" w:fill="E1DFDD"/>
    </w:rPr>
  </w:style>
  <w:style w:type="paragraph" w:styleId="En-tte">
    <w:name w:val="header"/>
    <w:basedOn w:val="Normal"/>
    <w:link w:val="En-tteCar"/>
    <w:uiPriority w:val="99"/>
    <w:unhideWhenUsed/>
    <w:rsid w:val="00747535"/>
    <w:pPr>
      <w:tabs>
        <w:tab w:val="center" w:pos="4536"/>
        <w:tab w:val="right" w:pos="9072"/>
      </w:tabs>
      <w:spacing w:after="0" w:line="240" w:lineRule="auto"/>
    </w:pPr>
  </w:style>
  <w:style w:type="character" w:customStyle="1" w:styleId="En-tteCar">
    <w:name w:val="En-tête Car"/>
    <w:basedOn w:val="Policepardfaut"/>
    <w:link w:val="En-tte"/>
    <w:uiPriority w:val="99"/>
    <w:rsid w:val="00747535"/>
  </w:style>
  <w:style w:type="paragraph" w:styleId="Pieddepage">
    <w:name w:val="footer"/>
    <w:basedOn w:val="Normal"/>
    <w:link w:val="PieddepageCar"/>
    <w:uiPriority w:val="99"/>
    <w:unhideWhenUsed/>
    <w:rsid w:val="007475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47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ducation.gouv.fr"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5cdfa86e3f8061da4690f8597d78df69">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c5039b776aa367229fc86e92abf504ec"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Props1.xml><?xml version="1.0" encoding="utf-8"?>
<ds:datastoreItem xmlns:ds="http://schemas.openxmlformats.org/officeDocument/2006/customXml" ds:itemID="{545557A9-4C42-406A-9574-371D74ABEB4A}">
  <ds:schemaRefs>
    <ds:schemaRef ds:uri="http://schemas.openxmlformats.org/officeDocument/2006/bibliography"/>
  </ds:schemaRefs>
</ds:datastoreItem>
</file>

<file path=customXml/itemProps2.xml><?xml version="1.0" encoding="utf-8"?>
<ds:datastoreItem xmlns:ds="http://schemas.openxmlformats.org/officeDocument/2006/customXml" ds:itemID="{D40BF36F-6A61-4E26-B38E-82E494C46528}"/>
</file>

<file path=customXml/itemProps3.xml><?xml version="1.0" encoding="utf-8"?>
<ds:datastoreItem xmlns:ds="http://schemas.openxmlformats.org/officeDocument/2006/customXml" ds:itemID="{70A0B29F-A781-48F1-805E-F46B9329A261}"/>
</file>

<file path=customXml/itemProps4.xml><?xml version="1.0" encoding="utf-8"?>
<ds:datastoreItem xmlns:ds="http://schemas.openxmlformats.org/officeDocument/2006/customXml" ds:itemID="{8315E18A-4793-4748-AF97-284F05D5D0AF}"/>
</file>

<file path=docProps/app.xml><?xml version="1.0" encoding="utf-8"?>
<Properties xmlns="http://schemas.openxmlformats.org/officeDocument/2006/extended-properties" xmlns:vt="http://schemas.openxmlformats.org/officeDocument/2006/docPropsVTypes">
  <Template>Normal</Template>
  <TotalTime>20</TotalTime>
  <Pages>1</Pages>
  <Words>320</Words>
  <Characters>1763</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2025-08-19T15:44:00Z</dcterms:created>
  <dcterms:modified xsi:type="dcterms:W3CDTF">2025-08-19T15:55:00Z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ies>
</file>