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50ac5b6e3dee914e7e9846b791e81a41088ff41"/>
    <w:p>
      <w:pPr>
        <w:pStyle w:val="Heading1"/>
      </w:pPr>
      <w:r>
        <w:t xml:space="preserve">SoFi Technologies Investment Research Report</w:t>
      </w:r>
    </w:p>
    <w:bookmarkStart w:id="20" w:name="X76db90aaa15e4a2485726d0b76b3a84e8f08212"/>
    <w:p>
      <w:pPr>
        <w:pStyle w:val="Heading2"/>
      </w:pPr>
      <w:r>
        <w:t xml:space="preserve">Business Process, Historical Diagnostics, Moat Attack, Forecasting and Valuation</w:t>
      </w:r>
    </w:p>
    <w:p>
      <w:pPr>
        <w:pStyle w:val="FirstParagraph"/>
      </w:pPr>
      <w:r>
        <w:rPr>
          <w:b/>
          <w:bCs/>
        </w:rPr>
        <w:t xml:space="preserve">Research date:</w:t>
      </w:r>
      <w:r>
        <w:t xml:space="preserve"> </w:t>
      </w:r>
      <w:r>
        <w:t xml:space="preserve">July 17, 2026</w:t>
      </w:r>
      <w:r>
        <w:br/>
      </w:r>
      <w:r>
        <w:rPr>
          <w:b/>
          <w:bCs/>
        </w:rPr>
        <w:t xml:space="preserve">Reference price:</w:t>
      </w:r>
      <w:r>
        <w:t xml:space="preserve"> </w:t>
      </w:r>
      <w:r>
        <w:t xml:space="preserve">$17.32 per share</w:t>
      </w:r>
      <w:r>
        <w:br/>
      </w:r>
      <w:r>
        <w:rPr>
          <w:b/>
          <w:bCs/>
        </w:rPr>
        <w:t xml:space="preserve">Approximate market capitalization:</w:t>
      </w:r>
      <w:r>
        <w:t xml:space="preserve"> </w:t>
      </w:r>
      <w:r>
        <w:t xml:space="preserve">$23.9 billion</w:t>
      </w:r>
      <w:r>
        <w:br/>
      </w:r>
      <w:r>
        <w:rPr>
          <w:b/>
          <w:bCs/>
        </w:rPr>
        <w:t xml:space="preserve">Primary investment horizon:</w:t>
      </w:r>
      <w:r>
        <w:t xml:space="preserve"> </w:t>
      </w:r>
      <w:r>
        <w:t xml:space="preserve">Through fiscal 2028</w:t>
      </w:r>
    </w:p>
    <w:p>
      <w:pPr>
        <w:pStyle w:val="BodyText"/>
      </w:pPr>
      <w:r>
        <w:t xml:space="preserve">This report applies the Asset Research Agent Framework, including its requirements for business-process analysis, twenty-quarter historical diagnosis, moat attack, driver-based forecasting, reverse valuation and scenario separation.</w:t>
      </w:r>
    </w:p>
    <w:p>
      <w:r>
        <w:pict>
          <v:rect style="width:0;height:1.5pt" o:hralign="center" o:hrstd="t" o:hr="t"/>
        </w:pict>
      </w:r>
    </w:p>
    <w:bookmarkEnd w:id="20"/>
    <w:bookmarkEnd w:id="21"/>
    <w:bookmarkStart w:id="23" w:name="executive-conclusion"/>
    <w:p>
      <w:pPr>
        <w:pStyle w:val="Heading1"/>
      </w:pPr>
      <w:r>
        <w:t xml:space="preserve">Executive conclusion</w:t>
      </w:r>
    </w:p>
    <w:bookmarkStart w:id="22" w:name="X2c5c935adc3a0f328387d69ae208238394d5633"/>
    <w:p>
      <w:pPr>
        <w:pStyle w:val="Heading2"/>
      </w:pPr>
      <w:r>
        <w:t xml:space="preserve">Decision: Attractive, with moderate confidence</w:t>
      </w:r>
    </w:p>
    <w:p>
      <w:pPr>
        <w:pStyle w:val="FirstParagraph"/>
      </w:pPr>
      <w:r>
        <w:t xml:space="preserve">At $17.32, SoFi trades at approximately:</w:t>
      </w:r>
    </w:p>
    <w:p>
      <w:pPr>
        <w:pStyle w:val="Compact"/>
        <w:numPr>
          <w:ilvl w:val="0"/>
          <w:numId w:val="1001"/>
        </w:numPr>
      </w:pPr>
      <w:r>
        <w:rPr>
          <w:b/>
          <w:bCs/>
        </w:rPr>
        <w:t xml:space="preserve">2.40× tangible book value</w:t>
      </w:r>
    </w:p>
    <w:p>
      <w:pPr>
        <w:pStyle w:val="Compact"/>
        <w:numPr>
          <w:ilvl w:val="0"/>
          <w:numId w:val="1001"/>
        </w:numPr>
      </w:pPr>
      <w:r>
        <w:rPr>
          <w:b/>
          <w:bCs/>
        </w:rPr>
        <w:t xml:space="preserve">2.05× stated book value</w:t>
      </w:r>
    </w:p>
    <w:p>
      <w:pPr>
        <w:pStyle w:val="Compact"/>
        <w:numPr>
          <w:ilvl w:val="0"/>
          <w:numId w:val="1001"/>
        </w:numPr>
      </w:pPr>
      <w:r>
        <w:rPr>
          <w:b/>
          <w:bCs/>
        </w:rPr>
        <w:t xml:space="preserve">28.9× management’s 2026 adjusted EPS guidance</w:t>
      </w:r>
    </w:p>
    <w:p>
      <w:pPr>
        <w:pStyle w:val="Compact"/>
        <w:numPr>
          <w:ilvl w:val="0"/>
          <w:numId w:val="1001"/>
        </w:numPr>
      </w:pPr>
      <w:r>
        <w:t xml:space="preserve">Approximately</w:t>
      </w:r>
      <w:r>
        <w:t xml:space="preserve"> </w:t>
      </w:r>
      <w:r>
        <w:rPr>
          <w:b/>
          <w:bCs/>
        </w:rPr>
        <w:t xml:space="preserve">12.5× the revised 2028 base-case adjusted EPS</w:t>
      </w:r>
    </w:p>
    <w:p>
      <w:pPr>
        <w:pStyle w:val="FirstParagraph"/>
      </w:pPr>
      <w:r>
        <w:t xml:space="preserve">The current valuation is not conventionally cheap relative to SoFi’s present earnings or tangible equity. It becomes attractive if SoFi continues converting revenue growth into earnings at incremental margins resembling those already being reported.</w:t>
      </w:r>
    </w:p>
    <w:p>
      <w:pPr>
        <w:pStyle w:val="BodyText"/>
      </w:pPr>
      <w:r>
        <w:t xml:space="preserve">The revised 2028 assumptions are: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Scenario</w:t>
            </w:r>
          </w:p>
        </w:tc>
        <w:tc>
          <w:tcPr/>
          <w:p>
            <w:pPr>
              <w:pStyle w:val="Compact"/>
              <w:jc w:val="right"/>
            </w:pPr>
            <w:r>
              <w:t xml:space="preserve">Revenue</w:t>
            </w:r>
          </w:p>
        </w:tc>
        <w:tc>
          <w:tcPr/>
          <w:p>
            <w:pPr>
              <w:pStyle w:val="Compact"/>
              <w:jc w:val="right"/>
            </w:pPr>
            <w:r>
              <w:t xml:space="preserve">Adjusted net margin</w:t>
            </w:r>
          </w:p>
        </w:tc>
        <w:tc>
          <w:tcPr/>
          <w:p>
            <w:pPr>
              <w:pStyle w:val="Compact"/>
              <w:jc w:val="right"/>
            </w:pPr>
            <w:r>
              <w:t xml:space="preserve">Adjusted EPS</w:t>
            </w:r>
          </w:p>
        </w:tc>
      </w:tr>
      <w:tr>
        <w:tc>
          <w:tcPr/>
          <w:p>
            <w:pPr>
              <w:pStyle w:val="Compact"/>
            </w:pPr>
            <w:r>
              <w:t xml:space="preserve">Bear</w:t>
            </w:r>
          </w:p>
        </w:tc>
        <w:tc>
          <w:tcPr/>
          <w:p>
            <w:pPr>
              <w:pStyle w:val="Compact"/>
              <w:jc w:val="right"/>
            </w:pPr>
            <w:r>
              <w:t xml:space="preserve">$6.0B</w:t>
            </w:r>
          </w:p>
        </w:tc>
        <w:tc>
          <w:tcPr/>
          <w:p>
            <w:pPr>
              <w:pStyle w:val="Compact"/>
              <w:jc w:val="right"/>
            </w:pPr>
            <w:r>
              <w:rPr>
                <w:b/>
                <w:bCs/>
              </w:rPr>
              <w:t xml:space="preserve">18%</w:t>
            </w:r>
          </w:p>
        </w:tc>
        <w:tc>
          <w:tcPr/>
          <w:p>
            <w:pPr>
              <w:pStyle w:val="Compact"/>
              <w:jc w:val="right"/>
            </w:pPr>
            <w:r>
              <w:rPr>
                <w:b/>
                <w:bCs/>
              </w:rPr>
              <w:t xml:space="preserve">$0.78</w:t>
            </w:r>
          </w:p>
        </w:tc>
      </w:tr>
      <w:tr>
        <w:tc>
          <w:tcPr/>
          <w:p>
            <w:pPr>
              <w:pStyle w:val="Compact"/>
            </w:pPr>
            <w:r>
              <w:t xml:space="preserve">Base</w:t>
            </w:r>
          </w:p>
        </w:tc>
        <w:tc>
          <w:tcPr/>
          <w:p>
            <w:pPr>
              <w:pStyle w:val="Compact"/>
              <w:jc w:val="right"/>
            </w:pPr>
            <w:r>
              <w:t xml:space="preserve">$7.9B</w:t>
            </w:r>
          </w:p>
        </w:tc>
        <w:tc>
          <w:tcPr/>
          <w:p>
            <w:pPr>
              <w:pStyle w:val="Compact"/>
              <w:jc w:val="right"/>
            </w:pPr>
            <w:r>
              <w:rPr>
                <w:b/>
                <w:bCs/>
              </w:rPr>
              <w:t xml:space="preserve">25%</w:t>
            </w:r>
          </w:p>
        </w:tc>
        <w:tc>
          <w:tcPr/>
          <w:p>
            <w:pPr>
              <w:pStyle w:val="Compact"/>
              <w:jc w:val="right"/>
            </w:pPr>
            <w:r>
              <w:rPr>
                <w:b/>
                <w:bCs/>
              </w:rPr>
              <w:t xml:space="preserve">$1.38</w:t>
            </w:r>
          </w:p>
        </w:tc>
      </w:tr>
      <w:tr>
        <w:tc>
          <w:tcPr/>
          <w:p>
            <w:pPr>
              <w:pStyle w:val="Compact"/>
            </w:pPr>
            <w:r>
              <w:t xml:space="preserve">Bull</w:t>
            </w:r>
          </w:p>
        </w:tc>
        <w:tc>
          <w:tcPr/>
          <w:p>
            <w:pPr>
              <w:pStyle w:val="Compact"/>
              <w:jc w:val="right"/>
            </w:pPr>
            <w:r>
              <w:t xml:space="preserve">$9.0B</w:t>
            </w:r>
          </w:p>
        </w:tc>
        <w:tc>
          <w:tcPr/>
          <w:p>
            <w:pPr>
              <w:pStyle w:val="Compact"/>
              <w:jc w:val="right"/>
            </w:pPr>
            <w:r>
              <w:rPr>
                <w:b/>
                <w:bCs/>
              </w:rPr>
              <w:t xml:space="preserve">30%</w:t>
            </w:r>
          </w:p>
        </w:tc>
        <w:tc>
          <w:tcPr/>
          <w:p>
            <w:pPr>
              <w:pStyle w:val="Compact"/>
              <w:jc w:val="right"/>
            </w:pPr>
            <w:r>
              <w:rPr>
                <w:b/>
                <w:bCs/>
              </w:rPr>
              <w:t xml:space="preserve">$1.89</w:t>
            </w:r>
          </w:p>
        </w:tc>
      </w:tr>
    </w:tbl>
    <w:p>
      <w:pPr>
        <w:pStyle w:val="BodyText"/>
      </w:pPr>
      <w:r>
        <w:t xml:space="preserve">At a 21× exit multiple, these produce values of approximately:</w:t>
      </w:r>
    </w:p>
    <w:p>
      <w:pPr>
        <w:pStyle w:val="Compact"/>
        <w:numPr>
          <w:ilvl w:val="0"/>
          <w:numId w:val="1002"/>
        </w:numPr>
      </w:pPr>
      <w:r>
        <w:t xml:space="preserve">Bear:</w:t>
      </w:r>
      <w:r>
        <w:t xml:space="preserve"> </w:t>
      </w:r>
      <w:r>
        <w:rPr>
          <w:b/>
          <w:bCs/>
        </w:rPr>
        <w:t xml:space="preserve">$16.43</w:t>
      </w:r>
    </w:p>
    <w:p>
      <w:pPr>
        <w:pStyle w:val="Compact"/>
        <w:numPr>
          <w:ilvl w:val="0"/>
          <w:numId w:val="1002"/>
        </w:numPr>
      </w:pPr>
      <w:r>
        <w:t xml:space="preserve">Base:</w:t>
      </w:r>
      <w:r>
        <w:t xml:space="preserve"> </w:t>
      </w:r>
      <w:r>
        <w:rPr>
          <w:b/>
          <w:bCs/>
        </w:rPr>
        <w:t xml:space="preserve">$29.00</w:t>
      </w:r>
    </w:p>
    <w:p>
      <w:pPr>
        <w:pStyle w:val="Compact"/>
        <w:numPr>
          <w:ilvl w:val="0"/>
          <w:numId w:val="1002"/>
        </w:numPr>
      </w:pPr>
      <w:r>
        <w:t xml:space="preserve">Bull:</w:t>
      </w:r>
      <w:r>
        <w:t xml:space="preserve"> </w:t>
      </w:r>
      <w:r>
        <w:rPr>
          <w:b/>
          <w:bCs/>
        </w:rPr>
        <w:t xml:space="preserve">$39.65</w:t>
      </w:r>
    </w:p>
    <w:p>
      <w:pPr>
        <w:pStyle w:val="FirstParagraph"/>
      </w:pPr>
      <w:r>
        <w:t xml:space="preserve">The probability-weighted 2028 value is approximately</w:t>
      </w:r>
      <w:r>
        <w:t xml:space="preserve"> </w:t>
      </w:r>
      <w:r>
        <w:rPr>
          <w:b/>
          <w:bCs/>
        </w:rPr>
        <w:t xml:space="preserve">$28.18</w:t>
      </w:r>
      <w:r>
        <w:t xml:space="preserve">, implying an annualized return of approximately</w:t>
      </w:r>
      <w:r>
        <w:t xml:space="preserve"> </w:t>
      </w:r>
      <w:r>
        <w:rPr>
          <w:b/>
          <w:bCs/>
        </w:rPr>
        <w:t xml:space="preserve">21.9%</w:t>
      </w:r>
      <w:r>
        <w:t xml:space="preserve"> </w:t>
      </w:r>
      <w:r>
        <w:t xml:space="preserve">from the current price.</w:t>
      </w:r>
    </w:p>
    <w:p>
      <w:pPr>
        <w:pStyle w:val="BodyText"/>
      </w:pPr>
      <w:r>
        <w:t xml:space="preserve">The revised base margin is above management’s explicit medium-term guidance. It assumes that SoFi’s current guidance materially understates the operating leverage possible from:</w:t>
      </w:r>
    </w:p>
    <w:p>
      <w:pPr>
        <w:pStyle w:val="Compact"/>
        <w:numPr>
          <w:ilvl w:val="0"/>
          <w:numId w:val="1003"/>
        </w:numPr>
      </w:pPr>
      <w:r>
        <w:t xml:space="preserve">Financial Services scale.</w:t>
      </w:r>
    </w:p>
    <w:p>
      <w:pPr>
        <w:pStyle w:val="Compact"/>
        <w:numPr>
          <w:ilvl w:val="0"/>
          <w:numId w:val="1003"/>
        </w:numPr>
      </w:pPr>
      <w:r>
        <w:t xml:space="preserve">Capital-light Loan Platform Business growth.</w:t>
      </w:r>
    </w:p>
    <w:p>
      <w:pPr>
        <w:pStyle w:val="Compact"/>
        <w:numPr>
          <w:ilvl w:val="0"/>
          <w:numId w:val="1003"/>
        </w:numPr>
      </w:pPr>
      <w:r>
        <w:t xml:space="preserve">Deposit-funded lending economics.</w:t>
      </w:r>
    </w:p>
    <w:p>
      <w:pPr>
        <w:pStyle w:val="Compact"/>
        <w:numPr>
          <w:ilvl w:val="0"/>
          <w:numId w:val="1003"/>
        </w:numPr>
      </w:pPr>
      <w:r>
        <w:t xml:space="preserve">Lower expense ratios as revenue expands.</w:t>
      </w:r>
    </w:p>
    <w:p>
      <w:pPr>
        <w:pStyle w:val="Compact"/>
        <w:numPr>
          <w:ilvl w:val="0"/>
          <w:numId w:val="1003"/>
        </w:numPr>
      </w:pPr>
      <w:r>
        <w:t xml:space="preserve">A recovery in Technology Solutions.</w:t>
      </w:r>
    </w:p>
    <w:p>
      <w:pPr>
        <w:pStyle w:val="Compact"/>
        <w:numPr>
          <w:ilvl w:val="0"/>
          <w:numId w:val="1003"/>
        </w:numPr>
      </w:pPr>
      <w:r>
        <w:t xml:space="preserve">Stock compensation and amortization declining as percentages of revenue.</w:t>
      </w:r>
    </w:p>
    <w:p>
      <w:pPr>
        <w:pStyle w:val="FirstParagraph"/>
      </w:pPr>
      <w:r>
        <w:t xml:space="preserve">The investment remains exposed to substantial downside if credit deteriorates, institutional loan demand weakens, dilution continues or Technology Solutions fails to recover.</w:t>
      </w:r>
    </w:p>
    <w:p>
      <w:pPr>
        <w:pStyle w:val="BodyText"/>
      </w:pPr>
      <w:r>
        <w:t xml:space="preserve">SoFi should therefore be classified as:</w:t>
      </w:r>
    </w:p>
    <w:p>
      <w:pPr>
        <w:pStyle w:val="BlockText"/>
      </w:pPr>
      <w:r>
        <w:rPr>
          <w:b/>
          <w:bCs/>
        </w:rPr>
        <w:t xml:space="preserve">An attractive but execution-sensitive compounder, rather than a low-risk value investment.</w:t>
      </w:r>
    </w:p>
    <w:p>
      <w:r>
        <w:pict>
          <v:rect style="width:0;height:1.5pt" o:hralign="center" o:hrstd="t" o:hr="t"/>
        </w:pict>
      </w:r>
    </w:p>
    <w:bookmarkEnd w:id="22"/>
    <w:bookmarkEnd w:id="23"/>
    <w:bookmarkStart w:id="24" w:name="asset-definition"/>
    <w:p>
      <w:pPr>
        <w:pStyle w:val="Heading1"/>
      </w:pPr>
      <w:r>
        <w:t xml:space="preserve">1. Asset definition</w:t>
      </w:r>
    </w:p>
    <w:p>
      <w:pPr>
        <w:pStyle w:val="FirstParagraph"/>
      </w:pPr>
      <w:r>
        <w:t xml:space="preserve">A SoFi shareholder owns a residual equity claim on five interconnected economic engines.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Economic engine</w:t>
            </w:r>
          </w:p>
        </w:tc>
        <w:tc>
          <w:tcPr/>
          <w:p>
            <w:pPr>
              <w:pStyle w:val="Compact"/>
            </w:pPr>
            <w:r>
              <w:t xml:space="preserve">Economic source of value</w:t>
            </w:r>
          </w:p>
        </w:tc>
      </w:tr>
      <w:tr>
        <w:tc>
          <w:tcPr/>
          <w:p>
            <w:pPr>
              <w:pStyle w:val="Compact"/>
            </w:pPr>
            <w:r>
              <w:t xml:space="preserve">Consumer banking</w:t>
            </w:r>
          </w:p>
        </w:tc>
        <w:tc>
          <w:tcPr/>
          <w:p>
            <w:pPr>
              <w:pStyle w:val="Compact"/>
            </w:pPr>
            <w:r>
              <w:t xml:space="preserve">Net interest income generated from loans funded primarily through deposits</w:t>
            </w:r>
          </w:p>
        </w:tc>
      </w:tr>
      <w:tr>
        <w:tc>
          <w:tcPr/>
          <w:p>
            <w:pPr>
              <w:pStyle w:val="Compact"/>
            </w:pPr>
            <w:r>
              <w:t xml:space="preserve">Financial Services</w:t>
            </w:r>
          </w:p>
        </w:tc>
        <w:tc>
          <w:tcPr/>
          <w:p>
            <w:pPr>
              <w:pStyle w:val="Compact"/>
            </w:pPr>
            <w:r>
              <w:t xml:space="preserve">Interchange, brokerage, subscription, referral, deposit and transaction income</w:t>
            </w:r>
          </w:p>
        </w:tc>
      </w:tr>
      <w:tr>
        <w:tc>
          <w:tcPr/>
          <w:p>
            <w:pPr>
              <w:pStyle w:val="Compact"/>
            </w:pPr>
            <w:r>
              <w:t xml:space="preserve">Loan Platform Business</w:t>
            </w:r>
          </w:p>
        </w:tc>
        <w:tc>
          <w:tcPr/>
          <w:p>
            <w:pPr>
              <w:pStyle w:val="Compact"/>
            </w:pPr>
            <w:r>
              <w:t xml:space="preserve">Origination, placement, referral and servicing fees on partner-funded loans</w:t>
            </w:r>
          </w:p>
        </w:tc>
      </w:tr>
      <w:tr>
        <w:tc>
          <w:tcPr/>
          <w:p>
            <w:pPr>
              <w:pStyle w:val="Compact"/>
            </w:pPr>
            <w:r>
              <w:t xml:space="preserve">Technology Solutions</w:t>
            </w:r>
          </w:p>
        </w:tc>
        <w:tc>
          <w:tcPr/>
          <w:p>
            <w:pPr>
              <w:pStyle w:val="Compact"/>
            </w:pPr>
            <w:r>
              <w:t xml:space="preserve">Processing, ledger, payment, fraud and core-banking infrastructure</w:t>
            </w:r>
          </w:p>
        </w:tc>
      </w:tr>
      <w:tr>
        <w:tc>
          <w:tcPr/>
          <w:p>
            <w:pPr>
              <w:pStyle w:val="Compact"/>
            </w:pPr>
            <w:r>
              <w:t xml:space="preserve">Emerging infrastructure</w:t>
            </w:r>
          </w:p>
        </w:tc>
        <w:tc>
          <w:tcPr/>
          <w:p>
            <w:pPr>
              <w:pStyle w:val="Compact"/>
            </w:pPr>
            <w:r>
              <w:t xml:space="preserve">Business banking, stablecoin, digital-asset settlement and enterprise deposits</w:t>
            </w:r>
          </w:p>
        </w:tc>
      </w:tr>
    </w:tbl>
    <w:p>
      <w:pPr>
        <w:pStyle w:val="BodyText"/>
      </w:pPr>
      <w:r>
        <w:t xml:space="preserve">SoFi is neither simply a digital bank nor simply a fintech software company.</w:t>
      </w:r>
    </w:p>
    <w:p>
      <w:pPr>
        <w:pStyle w:val="BodyText"/>
      </w:pPr>
      <w:r>
        <w:t xml:space="preserve">Its operating system can be represented as:</w:t>
      </w:r>
    </w:p>
    <w:p>
      <w:pPr>
        <w:pStyle w:val="SourceCode"/>
      </w:pPr>
      <w:r>
        <w:rPr>
          <w:rStyle w:val="VerbatimChar"/>
        </w:rPr>
        <w:t xml:space="preserve">Consumer acquisition</w:t>
      </w:r>
      <w:r>
        <w:br/>
      </w:r>
      <w:r>
        <w:rPr>
          <w:rStyle w:val="VerbatimChar"/>
        </w:rPr>
        <w:t xml:space="preserve">→ financial product adoption</w:t>
      </w:r>
      <w:r>
        <w:br/>
      </w:r>
      <w:r>
        <w:rPr>
          <w:rStyle w:val="VerbatimChar"/>
        </w:rPr>
        <w:t xml:space="preserve">→ deposits and engagement</w:t>
      </w:r>
      <w:r>
        <w:br/>
      </w:r>
      <w:r>
        <w:rPr>
          <w:rStyle w:val="VerbatimChar"/>
        </w:rPr>
        <w:t xml:space="preserve">→ lending and fee monetization</w:t>
      </w:r>
      <w:r>
        <w:br/>
      </w:r>
      <w:r>
        <w:rPr>
          <w:rStyle w:val="VerbatimChar"/>
        </w:rPr>
        <w:t xml:space="preserve">→ cross-buy and retention</w:t>
      </w:r>
      <w:r>
        <w:br/>
      </w:r>
      <w:r>
        <w:rPr>
          <w:rStyle w:val="VerbatimChar"/>
        </w:rPr>
        <w:t xml:space="preserve">→ institutional loan distribution</w:t>
      </w:r>
      <w:r>
        <w:br/>
      </w:r>
      <w:r>
        <w:rPr>
          <w:rStyle w:val="VerbatimChar"/>
        </w:rPr>
        <w:t xml:space="preserve">→ enterprise infrastructure services</w:t>
      </w:r>
      <w:r>
        <w:br/>
      </w:r>
      <w:r>
        <w:rPr>
          <w:rStyle w:val="VerbatimChar"/>
        </w:rPr>
        <w:t xml:space="preserve">→ earnings and tangible-equity growth</w:t>
      </w:r>
    </w:p>
    <w:p>
      <w:pPr>
        <w:pStyle w:val="FirstParagraph"/>
      </w:pPr>
      <w:r>
        <w:t xml:space="preserve">The investor’s return depends on SoFi increasing earnings and tangible book value</w:t>
      </w:r>
      <w:r>
        <w:t xml:space="preserve"> </w:t>
      </w:r>
      <w:r>
        <w:rPr>
          <w:b/>
          <w:bCs/>
        </w:rPr>
        <w:t xml:space="preserve">per diluted share</w:t>
      </w:r>
      <w:r>
        <w:t xml:space="preserve">, not merely growing members, loans or total revenue.</w:t>
      </w:r>
    </w:p>
    <w:p>
      <w:r>
        <w:pict>
          <v:rect style="width:0;height:1.5pt" o:hralign="center" o:hrstd="t" o:hr="t"/>
        </w:pict>
      </w:r>
    </w:p>
    <w:bookmarkEnd w:id="24"/>
    <w:bookmarkStart w:id="25" w:name="evidence-map"/>
    <w:p>
      <w:pPr>
        <w:pStyle w:val="Heading1"/>
      </w:pPr>
      <w:r>
        <w:t xml:space="preserve">2. Evidence map</w:t>
      </w:r>
    </w:p>
    <w:p>
      <w:pPr>
        <w:pStyle w:val="FirstParagraph"/>
      </w:pPr>
      <w:r>
        <w:t xml:space="preserve">The principal evidence base consists of:</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Evidence</w:t>
            </w:r>
          </w:p>
        </w:tc>
        <w:tc>
          <w:tcPr/>
          <w:p>
            <w:pPr>
              <w:pStyle w:val="Compact"/>
            </w:pPr>
            <w:r>
              <w:t xml:space="preserve">Use</w:t>
            </w:r>
          </w:p>
        </w:tc>
      </w:tr>
      <w:tr>
        <w:tc>
          <w:tcPr/>
          <w:p>
            <w:pPr>
              <w:pStyle w:val="Compact"/>
            </w:pPr>
            <w:r>
              <w:t xml:space="preserve">Quarterly and annual SEC filings</w:t>
            </w:r>
          </w:p>
        </w:tc>
        <w:tc>
          <w:tcPr/>
          <w:p>
            <w:pPr>
              <w:pStyle w:val="Compact"/>
            </w:pPr>
            <w:r>
              <w:t xml:space="preserve">Financial statements, share counts, balance sheet and credit disclosures</w:t>
            </w:r>
          </w:p>
        </w:tc>
      </w:tr>
      <w:tr>
        <w:tc>
          <w:tcPr/>
          <w:p>
            <w:pPr>
              <w:pStyle w:val="Compact"/>
            </w:pPr>
            <w:r>
              <w:t xml:space="preserve">SoFi quarterly earnings releases</w:t>
            </w:r>
          </w:p>
        </w:tc>
        <w:tc>
          <w:tcPr/>
          <w:p>
            <w:pPr>
              <w:pStyle w:val="Compact"/>
            </w:pPr>
            <w:r>
              <w:t xml:space="preserve">Segment revenue, contribution profit, members, products and guidance</w:t>
            </w:r>
          </w:p>
        </w:tc>
      </w:tr>
      <w:tr>
        <w:tc>
          <w:tcPr/>
          <w:p>
            <w:pPr>
              <w:pStyle w:val="Compact"/>
            </w:pPr>
            <w:r>
              <w:t xml:space="preserve">Regulatory-capital disclosures</w:t>
            </w:r>
          </w:p>
        </w:tc>
        <w:tc>
          <w:tcPr/>
          <w:p>
            <w:pPr>
              <w:pStyle w:val="Compact"/>
            </w:pPr>
            <w:r>
              <w:t xml:space="preserve">CET1, Tier 1 leverage and total capital</w:t>
            </w:r>
          </w:p>
        </w:tc>
      </w:tr>
      <w:tr>
        <w:tc>
          <w:tcPr/>
          <w:p>
            <w:pPr>
              <w:pStyle w:val="Compact"/>
            </w:pPr>
            <w:r>
              <w:t xml:space="preserve">Proxy statements</w:t>
            </w:r>
          </w:p>
        </w:tc>
        <w:tc>
          <w:tcPr/>
          <w:p>
            <w:pPr>
              <w:pStyle w:val="Compact"/>
            </w:pPr>
            <w:r>
              <w:t xml:space="preserve">Management ownership, compensation and incentives</w:t>
            </w:r>
          </w:p>
        </w:tc>
      </w:tr>
      <w:tr>
        <w:tc>
          <w:tcPr/>
          <w:p>
            <w:pPr>
              <w:pStyle w:val="Compact"/>
            </w:pPr>
            <w:r>
              <w:t xml:space="preserve">Product and launch announcements</w:t>
            </w:r>
          </w:p>
        </w:tc>
        <w:tc>
          <w:tcPr/>
          <w:p>
            <w:pPr>
              <w:pStyle w:val="Compact"/>
            </w:pPr>
            <w:r>
              <w:t xml:space="preserve">Business banking, SoFiUSD and new product infrastructure</w:t>
            </w:r>
          </w:p>
        </w:tc>
      </w:tr>
      <w:tr>
        <w:tc>
          <w:tcPr/>
          <w:p>
            <w:pPr>
              <w:pStyle w:val="Compact"/>
            </w:pPr>
            <w:r>
              <w:t xml:space="preserve">Derived calculations</w:t>
            </w:r>
          </w:p>
        </w:tc>
        <w:tc>
          <w:tcPr/>
          <w:p>
            <w:pPr>
              <w:pStyle w:val="Compact"/>
            </w:pPr>
            <w:r>
              <w:t xml:space="preserve">Margins, efficiency, returns and valuation scenarios</w:t>
            </w:r>
          </w:p>
        </w:tc>
      </w:tr>
      <w:tr>
        <w:tc>
          <w:tcPr/>
          <w:p>
            <w:pPr>
              <w:pStyle w:val="Compact"/>
            </w:pPr>
            <w:r>
              <w:t xml:space="preserve">Analyst assumptions</w:t>
            </w:r>
          </w:p>
        </w:tc>
        <w:tc>
          <w:tcPr/>
          <w:p>
            <w:pPr>
              <w:pStyle w:val="Compact"/>
            </w:pPr>
            <w:r>
              <w:t xml:space="preserve">2028 revenue, margins, multiples and probabilities</w:t>
            </w:r>
          </w:p>
        </w:tc>
      </w:tr>
    </w:tbl>
    <w:p>
      <w:pPr>
        <w:pStyle w:val="BodyText"/>
      </w:pPr>
      <w:r>
        <w:t xml:space="preserve">Reported and adjusted measures are not interchangeable.</w:t>
      </w:r>
    </w:p>
    <w:p>
      <w:pPr>
        <w:pStyle w:val="BodyText"/>
      </w:pPr>
      <w:r>
        <w:t xml:space="preserve">Adjusted net income excludes specified non-recurring items, and adjusted EPS also modifies the treatment of convertible-note dilution where capped calls are expected to offset that dilution. SoFi defines adjusted net income margin as adjusted net income divided by adjusted net revenue.</w:t>
      </w:r>
    </w:p>
    <w:p>
      <w:r>
        <w:pict>
          <v:rect style="width:0;height:1.5pt" o:hralign="center" o:hrstd="t" o:hr="t"/>
        </w:pict>
      </w:r>
    </w:p>
    <w:bookmarkEnd w:id="25"/>
    <w:bookmarkStart w:id="27" w:name="twenty-quarter-historical-record"/>
    <w:p>
      <w:pPr>
        <w:pStyle w:val="Heading1"/>
      </w:pPr>
      <w:r>
        <w:t xml:space="preserve">3. Twenty-quarter historical record</w:t>
      </w:r>
    </w:p>
    <w:bookmarkStart w:id="26" w:name="operating-history"/>
    <w:p>
      <w:pPr>
        <w:pStyle w:val="Heading2"/>
      </w:pPr>
      <w:r>
        <w:t xml:space="preserve">3.1 Operating history</w:t>
      </w:r>
    </w:p>
    <w:p>
      <w:pPr>
        <w:pStyle w:val="FirstParagraph"/>
      </w:pPr>
      <w:r>
        <w:t xml:space="preserve">The table covers Q2 2021 through Q1 2026.</w:t>
      </w:r>
    </w:p>
    <w:p>
      <w:pPr>
        <w:pStyle w:val="BodyText"/>
      </w:pPr>
      <w:r>
        <w:t xml:space="preserve">Figures are reconstructed from SoFi’s quarterly earnings disclosures. Segment contribution margins and adjusted EBITDA margins use company-reported adjusted measures where available. Exceptional items, accounting changes and segment presentation changes reduce perfect comparability.</w:t>
      </w:r>
    </w:p>
    <w:tbl>
      <w:tblPr>
        <w:tblStyle w:val="Table"/>
        <w:tblW w:type="pct" w:w="5000"/>
        <w:tblLayout w:type="fixed"/>
        <w:tblLook w:firstRow="1" w:lastRow="0" w:firstColumn="0" w:lastColumn="0" w:noHBand="0" w:noVBand="0" w:val="0020"/>
      </w:tblPr>
      <w:tblGrid>
        <w:gridCol w:w="678"/>
        <w:gridCol w:w="905"/>
        <w:gridCol w:w="905"/>
        <w:gridCol w:w="905"/>
        <w:gridCol w:w="905"/>
        <w:gridCol w:w="905"/>
        <w:gridCol w:w="905"/>
        <w:gridCol w:w="905"/>
        <w:gridCol w:w="905"/>
      </w:tblGrid>
      <w:tr>
        <w:trPr>
          <w:tblHeader w:val="on"/>
        </w:trPr>
        <w:tc>
          <w:tcPr/>
          <w:p>
            <w:pPr>
              <w:pStyle w:val="Compact"/>
            </w:pPr>
            <w:r>
              <w:t xml:space="preserve">Quarter</w:t>
            </w:r>
          </w:p>
        </w:tc>
        <w:tc>
          <w:tcPr/>
          <w:p>
            <w:pPr>
              <w:pStyle w:val="Compact"/>
              <w:jc w:val="right"/>
            </w:pPr>
            <w:r>
              <w:t xml:space="preserve">Members, m</w:t>
            </w:r>
          </w:p>
        </w:tc>
        <w:tc>
          <w:tcPr/>
          <w:p>
            <w:pPr>
              <w:pStyle w:val="Compact"/>
              <w:jc w:val="right"/>
            </w:pPr>
            <w:r>
              <w:t xml:space="preserve">Products per member</w:t>
            </w:r>
          </w:p>
        </w:tc>
        <w:tc>
          <w:tcPr/>
          <w:p>
            <w:pPr>
              <w:pStyle w:val="Compact"/>
              <w:jc w:val="right"/>
            </w:pPr>
            <w:r>
              <w:t xml:space="preserve">Net revenue, $m</w:t>
            </w:r>
          </w:p>
        </w:tc>
        <w:tc>
          <w:tcPr/>
          <w:p>
            <w:pPr>
              <w:pStyle w:val="Compact"/>
              <w:jc w:val="right"/>
            </w:pPr>
            <w:r>
              <w:t xml:space="preserve">Adjusted EBITDA margin</w:t>
            </w:r>
          </w:p>
        </w:tc>
        <w:tc>
          <w:tcPr/>
          <w:p>
            <w:pPr>
              <w:pStyle w:val="Compact"/>
              <w:jc w:val="right"/>
            </w:pPr>
            <w:r>
              <w:t xml:space="preserve">GAAP net margin</w:t>
            </w:r>
          </w:p>
        </w:tc>
        <w:tc>
          <w:tcPr/>
          <w:p>
            <w:pPr>
              <w:pStyle w:val="Compact"/>
              <w:jc w:val="right"/>
            </w:pPr>
            <w:r>
              <w:t xml:space="preserve">Lending contribution margin</w:t>
            </w:r>
          </w:p>
        </w:tc>
        <w:tc>
          <w:tcPr/>
          <w:p>
            <w:pPr>
              <w:pStyle w:val="Compact"/>
              <w:jc w:val="right"/>
            </w:pPr>
            <w:r>
              <w:t xml:space="preserve">Financial Services margin</w:t>
            </w:r>
          </w:p>
        </w:tc>
        <w:tc>
          <w:tcPr/>
          <w:p>
            <w:pPr>
              <w:pStyle w:val="Compact"/>
              <w:jc w:val="right"/>
            </w:pPr>
            <w:r>
              <w:t xml:space="preserve">Technology margin</w:t>
            </w:r>
          </w:p>
        </w:tc>
      </w:tr>
      <w:tr>
        <w:tc>
          <w:tcPr/>
          <w:p>
            <w:pPr>
              <w:pStyle w:val="Compact"/>
            </w:pPr>
            <w:r>
              <w:t xml:space="preserve">Q2 2021</w:t>
            </w:r>
          </w:p>
        </w:tc>
        <w:tc>
          <w:tcPr/>
          <w:p>
            <w:pPr>
              <w:pStyle w:val="Compact"/>
              <w:jc w:val="right"/>
            </w:pPr>
            <w:r>
              <w:t xml:space="preserve">2.56</w:t>
            </w:r>
          </w:p>
        </w:tc>
        <w:tc>
          <w:tcPr/>
          <w:p>
            <w:pPr>
              <w:pStyle w:val="Compact"/>
              <w:jc w:val="right"/>
            </w:pPr>
            <w:r>
              <w:t xml:space="preserve">1.43</w:t>
            </w:r>
          </w:p>
        </w:tc>
        <w:tc>
          <w:tcPr/>
          <w:p>
            <w:pPr>
              <w:pStyle w:val="Compact"/>
              <w:jc w:val="right"/>
            </w:pPr>
            <w:r>
              <w:t xml:space="preserve">231</w:t>
            </w:r>
          </w:p>
        </w:tc>
        <w:tc>
          <w:tcPr/>
          <w:p>
            <w:pPr>
              <w:pStyle w:val="Compact"/>
              <w:jc w:val="right"/>
            </w:pPr>
            <w:r>
              <w:t xml:space="preserve">4.7%</w:t>
            </w:r>
          </w:p>
        </w:tc>
        <w:tc>
          <w:tcPr/>
          <w:p>
            <w:pPr>
              <w:pStyle w:val="Compact"/>
              <w:jc w:val="right"/>
            </w:pPr>
            <w:r>
              <w:t xml:space="preserve">-71.5%</w:t>
            </w:r>
          </w:p>
        </w:tc>
        <w:tc>
          <w:tcPr/>
          <w:p>
            <w:pPr>
              <w:pStyle w:val="Compact"/>
              <w:jc w:val="right"/>
            </w:pPr>
            <w:r>
              <w:t xml:space="preserve">51.8%</w:t>
            </w:r>
          </w:p>
        </w:tc>
        <w:tc>
          <w:tcPr/>
          <w:p>
            <w:pPr>
              <w:pStyle w:val="Compact"/>
              <w:jc w:val="right"/>
            </w:pPr>
            <w:r>
              <w:t xml:space="preserve">-145.2%</w:t>
            </w:r>
          </w:p>
        </w:tc>
        <w:tc>
          <w:tcPr/>
          <w:p>
            <w:pPr>
              <w:pStyle w:val="Compact"/>
              <w:jc w:val="right"/>
            </w:pPr>
            <w:r>
              <w:t xml:space="preserve">28.7%</w:t>
            </w:r>
          </w:p>
        </w:tc>
      </w:tr>
      <w:tr>
        <w:tc>
          <w:tcPr/>
          <w:p>
            <w:pPr>
              <w:pStyle w:val="Compact"/>
            </w:pPr>
            <w:r>
              <w:t xml:space="preserve">Q3 2021</w:t>
            </w:r>
          </w:p>
        </w:tc>
        <w:tc>
          <w:tcPr/>
          <w:p>
            <w:pPr>
              <w:pStyle w:val="Compact"/>
              <w:jc w:val="right"/>
            </w:pPr>
            <w:r>
              <w:t xml:space="preserve">2.94</w:t>
            </w:r>
          </w:p>
        </w:tc>
        <w:tc>
          <w:tcPr/>
          <w:p>
            <w:pPr>
              <w:pStyle w:val="Compact"/>
              <w:jc w:val="right"/>
            </w:pPr>
            <w:r>
              <w:t xml:space="preserve">1.45</w:t>
            </w:r>
          </w:p>
        </w:tc>
        <w:tc>
          <w:tcPr/>
          <w:p>
            <w:pPr>
              <w:pStyle w:val="Compact"/>
              <w:jc w:val="right"/>
            </w:pPr>
            <w:r>
              <w:t xml:space="preserve">272</w:t>
            </w:r>
          </w:p>
        </w:tc>
        <w:tc>
          <w:tcPr/>
          <w:p>
            <w:pPr>
              <w:pStyle w:val="Compact"/>
              <w:jc w:val="right"/>
            </w:pPr>
            <w:r>
              <w:t xml:space="preserve">3.7%</w:t>
            </w:r>
          </w:p>
        </w:tc>
        <w:tc>
          <w:tcPr/>
          <w:p>
            <w:pPr>
              <w:pStyle w:val="Compact"/>
              <w:jc w:val="right"/>
            </w:pPr>
            <w:r>
              <w:t xml:space="preserve">-11.0%</w:t>
            </w:r>
          </w:p>
        </w:tc>
        <w:tc>
          <w:tcPr/>
          <w:p>
            <w:pPr>
              <w:pStyle w:val="Compact"/>
              <w:jc w:val="right"/>
            </w:pPr>
            <w:r>
              <w:t xml:space="preserve">54.6%</w:t>
            </w:r>
          </w:p>
        </w:tc>
        <w:tc>
          <w:tcPr/>
          <w:p>
            <w:pPr>
              <w:pStyle w:val="Compact"/>
              <w:jc w:val="right"/>
            </w:pPr>
            <w:r>
              <w:t xml:space="preserve">-312.7%</w:t>
            </w:r>
          </w:p>
        </w:tc>
        <w:tc>
          <w:tcPr/>
          <w:p>
            <w:pPr>
              <w:pStyle w:val="Compact"/>
              <w:jc w:val="right"/>
            </w:pPr>
            <w:r>
              <w:t xml:space="preserve">31.3%</w:t>
            </w:r>
          </w:p>
        </w:tc>
      </w:tr>
      <w:tr>
        <w:tc>
          <w:tcPr/>
          <w:p>
            <w:pPr>
              <w:pStyle w:val="Compact"/>
            </w:pPr>
            <w:r>
              <w:t xml:space="preserve">Q4 2021</w:t>
            </w:r>
          </w:p>
        </w:tc>
        <w:tc>
          <w:tcPr/>
          <w:p>
            <w:pPr>
              <w:pStyle w:val="Compact"/>
              <w:jc w:val="right"/>
            </w:pPr>
            <w:r>
              <w:t xml:space="preserve">3.46</w:t>
            </w:r>
          </w:p>
        </w:tc>
        <w:tc>
          <w:tcPr/>
          <w:p>
            <w:pPr>
              <w:pStyle w:val="Compact"/>
              <w:jc w:val="right"/>
            </w:pPr>
            <w:r>
              <w:t xml:space="preserve">1.50</w:t>
            </w:r>
          </w:p>
        </w:tc>
        <w:tc>
          <w:tcPr/>
          <w:p>
            <w:pPr>
              <w:pStyle w:val="Compact"/>
              <w:jc w:val="right"/>
            </w:pPr>
            <w:r>
              <w:t xml:space="preserve">286</w:t>
            </w:r>
          </w:p>
        </w:tc>
        <w:tc>
          <w:tcPr/>
          <w:p>
            <w:pPr>
              <w:pStyle w:val="Compact"/>
              <w:jc w:val="right"/>
            </w:pPr>
            <w:r>
              <w:t xml:space="preserve">1.6%</w:t>
            </w:r>
          </w:p>
        </w:tc>
        <w:tc>
          <w:tcPr/>
          <w:p>
            <w:pPr>
              <w:pStyle w:val="Compact"/>
              <w:jc w:val="right"/>
            </w:pPr>
            <w:r>
              <w:t xml:space="preserve">-38.9%</w:t>
            </w:r>
          </w:p>
        </w:tc>
        <w:tc>
          <w:tcPr/>
          <w:p>
            <w:pPr>
              <w:pStyle w:val="Compact"/>
              <w:jc w:val="right"/>
            </w:pPr>
            <w:r>
              <w:t xml:space="preserve">50.5%</w:t>
            </w:r>
          </w:p>
        </w:tc>
        <w:tc>
          <w:tcPr/>
          <w:p>
            <w:pPr>
              <w:pStyle w:val="Compact"/>
              <w:jc w:val="right"/>
            </w:pPr>
            <w:r>
              <w:t xml:space="preserve">-160.3%</w:t>
            </w:r>
          </w:p>
        </w:tc>
        <w:tc>
          <w:tcPr/>
          <w:p>
            <w:pPr>
              <w:pStyle w:val="Compact"/>
              <w:jc w:val="right"/>
            </w:pPr>
            <w:r>
              <w:t xml:space="preserve">37.5%</w:t>
            </w:r>
          </w:p>
        </w:tc>
      </w:tr>
      <w:tr>
        <w:tc>
          <w:tcPr/>
          <w:p>
            <w:pPr>
              <w:pStyle w:val="Compact"/>
            </w:pPr>
            <w:r>
              <w:t xml:space="preserve">Q1 2022</w:t>
            </w:r>
          </w:p>
        </w:tc>
        <w:tc>
          <w:tcPr/>
          <w:p>
            <w:pPr>
              <w:pStyle w:val="Compact"/>
              <w:jc w:val="right"/>
            </w:pPr>
            <w:r>
              <w:t xml:space="preserve">3.87</w:t>
            </w:r>
          </w:p>
        </w:tc>
        <w:tc>
          <w:tcPr/>
          <w:p>
            <w:pPr>
              <w:pStyle w:val="Compact"/>
              <w:jc w:val="right"/>
            </w:pPr>
            <w:r>
              <w:t xml:space="preserve">1.52</w:t>
            </w:r>
          </w:p>
        </w:tc>
        <w:tc>
          <w:tcPr/>
          <w:p>
            <w:pPr>
              <w:pStyle w:val="Compact"/>
              <w:jc w:val="right"/>
            </w:pPr>
            <w:r>
              <w:t xml:space="preserve">330</w:t>
            </w:r>
          </w:p>
        </w:tc>
        <w:tc>
          <w:tcPr/>
          <w:p>
            <w:pPr>
              <w:pStyle w:val="Compact"/>
              <w:jc w:val="right"/>
            </w:pPr>
            <w:r>
              <w:t xml:space="preserve">2.7%</w:t>
            </w:r>
          </w:p>
        </w:tc>
        <w:tc>
          <w:tcPr/>
          <w:p>
            <w:pPr>
              <w:pStyle w:val="Compact"/>
              <w:jc w:val="right"/>
            </w:pPr>
            <w:r>
              <w:t xml:space="preserve">-33.4%</w:t>
            </w:r>
          </w:p>
        </w:tc>
        <w:tc>
          <w:tcPr/>
          <w:p>
            <w:pPr>
              <w:pStyle w:val="Compact"/>
              <w:jc w:val="right"/>
            </w:pPr>
            <w:r>
              <w:t xml:space="preserve">54.3%</w:t>
            </w:r>
          </w:p>
        </w:tc>
        <w:tc>
          <w:tcPr/>
          <w:p>
            <w:pPr>
              <w:pStyle w:val="Compact"/>
              <w:jc w:val="right"/>
            </w:pPr>
            <w:r>
              <w:t xml:space="preserve">-210.3%</w:t>
            </w:r>
          </w:p>
        </w:tc>
        <w:tc>
          <w:tcPr/>
          <w:p>
            <w:pPr>
              <w:pStyle w:val="Compact"/>
              <w:jc w:val="right"/>
            </w:pPr>
            <w:r>
              <w:t xml:space="preserve">30.0%</w:t>
            </w:r>
          </w:p>
        </w:tc>
      </w:tr>
      <w:tr>
        <w:tc>
          <w:tcPr/>
          <w:p>
            <w:pPr>
              <w:pStyle w:val="Compact"/>
            </w:pPr>
            <w:r>
              <w:t xml:space="preserve">Q2 2022</w:t>
            </w:r>
          </w:p>
        </w:tc>
        <w:tc>
          <w:tcPr/>
          <w:p>
            <w:pPr>
              <w:pStyle w:val="Compact"/>
              <w:jc w:val="right"/>
            </w:pPr>
            <w:r>
              <w:t xml:space="preserve">4.32</w:t>
            </w:r>
          </w:p>
        </w:tc>
        <w:tc>
          <w:tcPr/>
          <w:p>
            <w:pPr>
              <w:pStyle w:val="Compact"/>
              <w:jc w:val="right"/>
            </w:pPr>
            <w:r>
              <w:t xml:space="preserve">1.52</w:t>
            </w:r>
          </w:p>
        </w:tc>
        <w:tc>
          <w:tcPr/>
          <w:p>
            <w:pPr>
              <w:pStyle w:val="Compact"/>
              <w:jc w:val="right"/>
            </w:pPr>
            <w:r>
              <w:t xml:space="preserve">363</w:t>
            </w:r>
          </w:p>
        </w:tc>
        <w:tc>
          <w:tcPr/>
          <w:p>
            <w:pPr>
              <w:pStyle w:val="Compact"/>
              <w:jc w:val="right"/>
            </w:pPr>
            <w:r>
              <w:t xml:space="preserve">5.7%</w:t>
            </w:r>
          </w:p>
        </w:tc>
        <w:tc>
          <w:tcPr/>
          <w:p>
            <w:pPr>
              <w:pStyle w:val="Compact"/>
              <w:jc w:val="right"/>
            </w:pPr>
            <w:r>
              <w:t xml:space="preserve">-26.4%</w:t>
            </w:r>
          </w:p>
        </w:tc>
        <w:tc>
          <w:tcPr/>
          <w:p>
            <w:pPr>
              <w:pStyle w:val="Compact"/>
              <w:jc w:val="right"/>
            </w:pPr>
            <w:r>
              <w:t xml:space="preserve">56.6%</w:t>
            </w:r>
          </w:p>
        </w:tc>
        <w:tc>
          <w:tcPr/>
          <w:p>
            <w:pPr>
              <w:pStyle w:val="Compact"/>
              <w:jc w:val="right"/>
            </w:pPr>
            <w:r>
              <w:t xml:space="preserve">-176.9%</w:t>
            </w:r>
          </w:p>
        </w:tc>
        <w:tc>
          <w:tcPr/>
          <w:p>
            <w:pPr>
              <w:pStyle w:val="Compact"/>
              <w:jc w:val="right"/>
            </w:pPr>
            <w:r>
              <w:t xml:space="preserve">26.0%</w:t>
            </w:r>
          </w:p>
        </w:tc>
      </w:tr>
      <w:tr>
        <w:tc>
          <w:tcPr/>
          <w:p>
            <w:pPr>
              <w:pStyle w:val="Compact"/>
            </w:pPr>
            <w:r>
              <w:t xml:space="preserve">Q3 2022</w:t>
            </w:r>
          </w:p>
        </w:tc>
        <w:tc>
          <w:tcPr/>
          <w:p>
            <w:pPr>
              <w:pStyle w:val="Compact"/>
              <w:jc w:val="right"/>
            </w:pPr>
            <w:r>
              <w:t xml:space="preserve">4.74</w:t>
            </w:r>
          </w:p>
        </w:tc>
        <w:tc>
          <w:tcPr/>
          <w:p>
            <w:pPr>
              <w:pStyle w:val="Compact"/>
              <w:jc w:val="right"/>
            </w:pPr>
            <w:r>
              <w:t xml:space="preserve">1.52</w:t>
            </w:r>
          </w:p>
        </w:tc>
        <w:tc>
          <w:tcPr/>
          <w:p>
            <w:pPr>
              <w:pStyle w:val="Compact"/>
              <w:jc w:val="right"/>
            </w:pPr>
            <w:r>
              <w:t xml:space="preserve">424</w:t>
            </w:r>
          </w:p>
        </w:tc>
        <w:tc>
          <w:tcPr/>
          <w:p>
            <w:pPr>
              <w:pStyle w:val="Compact"/>
              <w:jc w:val="right"/>
            </w:pPr>
            <w:r>
              <w:t xml:space="preserve">10.6%</w:t>
            </w:r>
          </w:p>
        </w:tc>
        <w:tc>
          <w:tcPr/>
          <w:p>
            <w:pPr>
              <w:pStyle w:val="Compact"/>
              <w:jc w:val="right"/>
            </w:pPr>
            <w:r>
              <w:t xml:space="preserve">-17.5%</w:t>
            </w:r>
          </w:p>
        </w:tc>
        <w:tc>
          <w:tcPr/>
          <w:p>
            <w:pPr>
              <w:pStyle w:val="Compact"/>
              <w:jc w:val="right"/>
            </w:pPr>
            <w:r>
              <w:t xml:space="preserve">60.8%</w:t>
            </w:r>
          </w:p>
        </w:tc>
        <w:tc>
          <w:tcPr/>
          <w:p>
            <w:pPr>
              <w:pStyle w:val="Compact"/>
              <w:jc w:val="right"/>
            </w:pPr>
            <w:r>
              <w:t xml:space="preserve">-107.5%</w:t>
            </w:r>
          </w:p>
        </w:tc>
        <w:tc>
          <w:tcPr/>
          <w:p>
            <w:pPr>
              <w:pStyle w:val="Compact"/>
              <w:jc w:val="right"/>
            </w:pPr>
            <w:r>
              <w:t xml:space="preserve">23.0%</w:t>
            </w:r>
          </w:p>
        </w:tc>
      </w:tr>
      <w:tr>
        <w:tc>
          <w:tcPr/>
          <w:p>
            <w:pPr>
              <w:pStyle w:val="Compact"/>
            </w:pPr>
            <w:r>
              <w:t xml:space="preserve">Q4 2022</w:t>
            </w:r>
          </w:p>
        </w:tc>
        <w:tc>
          <w:tcPr/>
          <w:p>
            <w:pPr>
              <w:pStyle w:val="Compact"/>
              <w:jc w:val="right"/>
            </w:pPr>
            <w:r>
              <w:t xml:space="preserve">5.22</w:t>
            </w:r>
          </w:p>
        </w:tc>
        <w:tc>
          <w:tcPr/>
          <w:p>
            <w:pPr>
              <w:pStyle w:val="Compact"/>
              <w:jc w:val="right"/>
            </w:pPr>
            <w:r>
              <w:t xml:space="preserve">1.51</w:t>
            </w:r>
          </w:p>
        </w:tc>
        <w:tc>
          <w:tcPr/>
          <w:p>
            <w:pPr>
              <w:pStyle w:val="Compact"/>
              <w:jc w:val="right"/>
            </w:pPr>
            <w:r>
              <w:t xml:space="preserve">457</w:t>
            </w:r>
          </w:p>
        </w:tc>
        <w:tc>
          <w:tcPr/>
          <w:p>
            <w:pPr>
              <w:pStyle w:val="Compact"/>
              <w:jc w:val="right"/>
            </w:pPr>
            <w:r>
              <w:t xml:space="preserve">15.8%</w:t>
            </w:r>
          </w:p>
        </w:tc>
        <w:tc>
          <w:tcPr/>
          <w:p>
            <w:pPr>
              <w:pStyle w:val="Compact"/>
              <w:jc w:val="right"/>
            </w:pPr>
            <w:r>
              <w:t xml:space="preserve">-8.8%</w:t>
            </w:r>
          </w:p>
        </w:tc>
        <w:tc>
          <w:tcPr/>
          <w:p>
            <w:pPr>
              <w:pStyle w:val="Compact"/>
              <w:jc w:val="right"/>
            </w:pPr>
            <w:r>
              <w:t xml:space="preserve">66.3%</w:t>
            </w:r>
          </w:p>
        </w:tc>
        <w:tc>
          <w:tcPr/>
          <w:p>
            <w:pPr>
              <w:pStyle w:val="Compact"/>
              <w:jc w:val="right"/>
            </w:pPr>
            <w:r>
              <w:t xml:space="preserve">-67.2%</w:t>
            </w:r>
          </w:p>
        </w:tc>
        <w:tc>
          <w:tcPr/>
          <w:p>
            <w:pPr>
              <w:pStyle w:val="Compact"/>
              <w:jc w:val="right"/>
            </w:pPr>
            <w:r>
              <w:t xml:space="preserve">19.7%</w:t>
            </w:r>
          </w:p>
        </w:tc>
      </w:tr>
      <w:tr>
        <w:tc>
          <w:tcPr/>
          <w:p>
            <w:pPr>
              <w:pStyle w:val="Compact"/>
            </w:pPr>
            <w:r>
              <w:t xml:space="preserve">Q1 2023</w:t>
            </w:r>
          </w:p>
        </w:tc>
        <w:tc>
          <w:tcPr/>
          <w:p>
            <w:pPr>
              <w:pStyle w:val="Compact"/>
              <w:jc w:val="right"/>
            </w:pPr>
            <w:r>
              <w:t xml:space="preserve">5.66</w:t>
            </w:r>
          </w:p>
        </w:tc>
        <w:tc>
          <w:tcPr/>
          <w:p>
            <w:pPr>
              <w:pStyle w:val="Compact"/>
              <w:jc w:val="right"/>
            </w:pPr>
            <w:r>
              <w:t xml:space="preserve">1.51</w:t>
            </w:r>
          </w:p>
        </w:tc>
        <w:tc>
          <w:tcPr/>
          <w:p>
            <w:pPr>
              <w:pStyle w:val="Compact"/>
              <w:jc w:val="right"/>
            </w:pPr>
            <w:r>
              <w:t xml:space="preserve">472</w:t>
            </w:r>
          </w:p>
        </w:tc>
        <w:tc>
          <w:tcPr/>
          <w:p>
            <w:pPr>
              <w:pStyle w:val="Compact"/>
              <w:jc w:val="right"/>
            </w:pPr>
            <w:r>
              <w:t xml:space="preserve">16.4%</w:t>
            </w:r>
          </w:p>
        </w:tc>
        <w:tc>
          <w:tcPr/>
          <w:p>
            <w:pPr>
              <w:pStyle w:val="Compact"/>
              <w:jc w:val="right"/>
            </w:pPr>
            <w:r>
              <w:t xml:space="preserve">-7.3%</w:t>
            </w:r>
          </w:p>
        </w:tc>
        <w:tc>
          <w:tcPr/>
          <w:p>
            <w:pPr>
              <w:pStyle w:val="Compact"/>
              <w:jc w:val="right"/>
            </w:pPr>
            <w:r>
              <w:t xml:space="preserve">64.6%</w:t>
            </w:r>
          </w:p>
        </w:tc>
        <w:tc>
          <w:tcPr/>
          <w:p>
            <w:pPr>
              <w:pStyle w:val="Compact"/>
              <w:jc w:val="right"/>
            </w:pPr>
            <w:r>
              <w:t xml:space="preserve">-29.9%</w:t>
            </w:r>
          </w:p>
        </w:tc>
        <w:tc>
          <w:tcPr/>
          <w:p>
            <w:pPr>
              <w:pStyle w:val="Compact"/>
              <w:jc w:val="right"/>
            </w:pPr>
            <w:r>
              <w:t xml:space="preserve">19.1%</w:t>
            </w:r>
          </w:p>
        </w:tc>
      </w:tr>
      <w:tr>
        <w:tc>
          <w:tcPr/>
          <w:p>
            <w:pPr>
              <w:pStyle w:val="Compact"/>
            </w:pPr>
            <w:r>
              <w:t xml:space="preserve">Q2 2023</w:t>
            </w:r>
          </w:p>
        </w:tc>
        <w:tc>
          <w:tcPr/>
          <w:p>
            <w:pPr>
              <w:pStyle w:val="Compact"/>
              <w:jc w:val="right"/>
            </w:pPr>
            <w:r>
              <w:t xml:space="preserve">6.24</w:t>
            </w:r>
          </w:p>
        </w:tc>
        <w:tc>
          <w:tcPr/>
          <w:p>
            <w:pPr>
              <w:pStyle w:val="Compact"/>
              <w:jc w:val="right"/>
            </w:pPr>
            <w:r>
              <w:t xml:space="preserve">1.51</w:t>
            </w:r>
          </w:p>
        </w:tc>
        <w:tc>
          <w:tcPr/>
          <w:p>
            <w:pPr>
              <w:pStyle w:val="Compact"/>
              <w:jc w:val="right"/>
            </w:pPr>
            <w:r>
              <w:t xml:space="preserve">498</w:t>
            </w:r>
          </w:p>
        </w:tc>
        <w:tc>
          <w:tcPr/>
          <w:p>
            <w:pPr>
              <w:pStyle w:val="Compact"/>
              <w:jc w:val="right"/>
            </w:pPr>
            <w:r>
              <w:t xml:space="preserve">15.7%</w:t>
            </w:r>
          </w:p>
        </w:tc>
        <w:tc>
          <w:tcPr/>
          <w:p>
            <w:pPr>
              <w:pStyle w:val="Compact"/>
              <w:jc w:val="right"/>
            </w:pPr>
            <w:r>
              <w:t xml:space="preserve">-9.5%</w:t>
            </w:r>
          </w:p>
        </w:tc>
        <w:tc>
          <w:tcPr/>
          <w:p>
            <w:pPr>
              <w:pStyle w:val="Compact"/>
              <w:jc w:val="right"/>
            </w:pPr>
            <w:r>
              <w:t xml:space="preserve">56.9%</w:t>
            </w:r>
          </w:p>
        </w:tc>
        <w:tc>
          <w:tcPr/>
          <w:p>
            <w:pPr>
              <w:pStyle w:val="Compact"/>
              <w:jc w:val="right"/>
            </w:pPr>
            <w:r>
              <w:t xml:space="preserve">-4.4%</w:t>
            </w:r>
          </w:p>
        </w:tc>
        <w:tc>
          <w:tcPr/>
          <w:p>
            <w:pPr>
              <w:pStyle w:val="Compact"/>
              <w:jc w:val="right"/>
            </w:pPr>
            <w:r>
              <w:t xml:space="preserve">19.6%</w:t>
            </w:r>
          </w:p>
        </w:tc>
      </w:tr>
      <w:tr>
        <w:tc>
          <w:tcPr/>
          <w:p>
            <w:pPr>
              <w:pStyle w:val="Compact"/>
            </w:pPr>
            <w:r>
              <w:t xml:space="preserve">Q3 2023</w:t>
            </w:r>
          </w:p>
        </w:tc>
        <w:tc>
          <w:tcPr/>
          <w:p>
            <w:pPr>
              <w:pStyle w:val="Compact"/>
              <w:jc w:val="right"/>
            </w:pPr>
            <w:r>
              <w:t xml:space="preserve">6.96</w:t>
            </w:r>
          </w:p>
        </w:tc>
        <w:tc>
          <w:tcPr/>
          <w:p>
            <w:pPr>
              <w:pStyle w:val="Compact"/>
              <w:jc w:val="right"/>
            </w:pPr>
            <w:r>
              <w:t xml:space="preserve">1.50</w:t>
            </w:r>
          </w:p>
        </w:tc>
        <w:tc>
          <w:tcPr/>
          <w:p>
            <w:pPr>
              <w:pStyle w:val="Compact"/>
              <w:jc w:val="right"/>
            </w:pPr>
            <w:r>
              <w:t xml:space="preserve">537</w:t>
            </w:r>
          </w:p>
        </w:tc>
        <w:tc>
          <w:tcPr/>
          <w:p>
            <w:pPr>
              <w:pStyle w:val="Compact"/>
              <w:jc w:val="right"/>
            </w:pPr>
            <w:r>
              <w:t xml:space="preserve">18.5%</w:t>
            </w:r>
          </w:p>
        </w:tc>
        <w:tc>
          <w:tcPr/>
          <w:p>
            <w:pPr>
              <w:pStyle w:val="Compact"/>
              <w:jc w:val="right"/>
            </w:pPr>
            <w:r>
              <w:t xml:space="preserve">-49.6%</w:t>
            </w:r>
          </w:p>
        </w:tc>
        <w:tc>
          <w:tcPr/>
          <w:p>
            <w:pPr>
              <w:pStyle w:val="Compact"/>
              <w:jc w:val="right"/>
            </w:pPr>
            <w:r>
              <w:t xml:space="preserve">59.6%</w:t>
            </w:r>
          </w:p>
        </w:tc>
        <w:tc>
          <w:tcPr/>
          <w:p>
            <w:pPr>
              <w:pStyle w:val="Compact"/>
              <w:jc w:val="right"/>
            </w:pPr>
            <w:r>
              <w:t xml:space="preserve">2.8%</w:t>
            </w:r>
          </w:p>
        </w:tc>
        <w:tc>
          <w:tcPr/>
          <w:p>
            <w:pPr>
              <w:pStyle w:val="Compact"/>
              <w:jc w:val="right"/>
            </w:pPr>
            <w:r>
              <w:t xml:space="preserve">35.8%</w:t>
            </w:r>
          </w:p>
        </w:tc>
      </w:tr>
      <w:tr>
        <w:tc>
          <w:tcPr/>
          <w:p>
            <w:pPr>
              <w:pStyle w:val="Compact"/>
            </w:pPr>
            <w:r>
              <w:t xml:space="preserve">Q4 2023</w:t>
            </w:r>
          </w:p>
        </w:tc>
        <w:tc>
          <w:tcPr/>
          <w:p>
            <w:pPr>
              <w:pStyle w:val="Compact"/>
              <w:jc w:val="right"/>
            </w:pPr>
            <w:r>
              <w:t xml:space="preserve">7.54</w:t>
            </w:r>
          </w:p>
        </w:tc>
        <w:tc>
          <w:tcPr/>
          <w:p>
            <w:pPr>
              <w:pStyle w:val="Compact"/>
              <w:jc w:val="right"/>
            </w:pPr>
            <w:r>
              <w:t xml:space="preserve">1.48</w:t>
            </w:r>
          </w:p>
        </w:tc>
        <w:tc>
          <w:tcPr/>
          <w:p>
            <w:pPr>
              <w:pStyle w:val="Compact"/>
              <w:jc w:val="right"/>
            </w:pPr>
            <w:r>
              <w:t xml:space="preserve">615</w:t>
            </w:r>
          </w:p>
        </w:tc>
        <w:tc>
          <w:tcPr/>
          <w:p>
            <w:pPr>
              <w:pStyle w:val="Compact"/>
              <w:jc w:val="right"/>
            </w:pPr>
            <w:r>
              <w:t xml:space="preserve">30.5%</w:t>
            </w:r>
          </w:p>
        </w:tc>
        <w:tc>
          <w:tcPr/>
          <w:p>
            <w:pPr>
              <w:pStyle w:val="Compact"/>
              <w:jc w:val="right"/>
            </w:pPr>
            <w:r>
              <w:t xml:space="preserve">7.8%</w:t>
            </w:r>
          </w:p>
        </w:tc>
        <w:tc>
          <w:tcPr/>
          <w:p>
            <w:pPr>
              <w:pStyle w:val="Compact"/>
              <w:jc w:val="right"/>
            </w:pPr>
            <w:r>
              <w:t xml:space="preserve">65.2%</w:t>
            </w:r>
          </w:p>
        </w:tc>
        <w:tc>
          <w:tcPr/>
          <w:p>
            <w:pPr>
              <w:pStyle w:val="Compact"/>
              <w:jc w:val="right"/>
            </w:pPr>
            <w:r>
              <w:t xml:space="preserve">18.0%</w:t>
            </w:r>
          </w:p>
        </w:tc>
        <w:tc>
          <w:tcPr/>
          <w:p>
            <w:pPr>
              <w:pStyle w:val="Compact"/>
              <w:jc w:val="right"/>
            </w:pPr>
            <w:r>
              <w:t xml:space="preserve">31.6%</w:t>
            </w:r>
          </w:p>
        </w:tc>
      </w:tr>
      <w:tr>
        <w:tc>
          <w:tcPr/>
          <w:p>
            <w:pPr>
              <w:pStyle w:val="Compact"/>
            </w:pPr>
            <w:r>
              <w:t xml:space="preserve">Q1 2024</w:t>
            </w:r>
          </w:p>
        </w:tc>
        <w:tc>
          <w:tcPr/>
          <w:p>
            <w:pPr>
              <w:pStyle w:val="Compact"/>
              <w:jc w:val="right"/>
            </w:pPr>
            <w:r>
              <w:t xml:space="preserve">8.13</w:t>
            </w:r>
          </w:p>
        </w:tc>
        <w:tc>
          <w:tcPr/>
          <w:p>
            <w:pPr>
              <w:pStyle w:val="Compact"/>
              <w:jc w:val="right"/>
            </w:pPr>
            <w:r>
              <w:t xml:space="preserve">1.45</w:t>
            </w:r>
          </w:p>
        </w:tc>
        <w:tc>
          <w:tcPr/>
          <w:p>
            <w:pPr>
              <w:pStyle w:val="Compact"/>
              <w:jc w:val="right"/>
            </w:pPr>
            <w:r>
              <w:t xml:space="preserve">645</w:t>
            </w:r>
          </w:p>
        </w:tc>
        <w:tc>
          <w:tcPr/>
          <w:p>
            <w:pPr>
              <w:pStyle w:val="Compact"/>
              <w:jc w:val="right"/>
            </w:pPr>
            <w:r>
              <w:t xml:space="preserve">24.9%</w:t>
            </w:r>
          </w:p>
        </w:tc>
        <w:tc>
          <w:tcPr/>
          <w:p>
            <w:pPr>
              <w:pStyle w:val="Compact"/>
              <w:jc w:val="right"/>
            </w:pPr>
            <w:r>
              <w:t xml:space="preserve">13.7%</w:t>
            </w:r>
          </w:p>
        </w:tc>
        <w:tc>
          <w:tcPr/>
          <w:p>
            <w:pPr>
              <w:pStyle w:val="Compact"/>
              <w:jc w:val="right"/>
            </w:pPr>
            <w:r>
              <w:t xml:space="preserve">63.9%</w:t>
            </w:r>
          </w:p>
        </w:tc>
        <w:tc>
          <w:tcPr/>
          <w:p>
            <w:pPr>
              <w:pStyle w:val="Compact"/>
              <w:jc w:val="right"/>
            </w:pPr>
            <w:r>
              <w:t xml:space="preserve">24.7%</w:t>
            </w:r>
          </w:p>
        </w:tc>
        <w:tc>
          <w:tcPr/>
          <w:p>
            <w:pPr>
              <w:pStyle w:val="Compact"/>
              <w:jc w:val="right"/>
            </w:pPr>
            <w:r>
              <w:t xml:space="preserve">32.6%</w:t>
            </w:r>
          </w:p>
        </w:tc>
      </w:tr>
      <w:tr>
        <w:tc>
          <w:tcPr/>
          <w:p>
            <w:pPr>
              <w:pStyle w:val="Compact"/>
            </w:pPr>
            <w:r>
              <w:t xml:space="preserve">Q2 2024</w:t>
            </w:r>
          </w:p>
        </w:tc>
        <w:tc>
          <w:tcPr/>
          <w:p>
            <w:pPr>
              <w:pStyle w:val="Compact"/>
              <w:jc w:val="right"/>
            </w:pPr>
            <w:r>
              <w:t xml:space="preserve">8.77</w:t>
            </w:r>
          </w:p>
        </w:tc>
        <w:tc>
          <w:tcPr/>
          <w:p>
            <w:pPr>
              <w:pStyle w:val="Compact"/>
              <w:jc w:val="right"/>
            </w:pPr>
            <w:r>
              <w:t xml:space="preserve">1.46</w:t>
            </w:r>
          </w:p>
        </w:tc>
        <w:tc>
          <w:tcPr/>
          <w:p>
            <w:pPr>
              <w:pStyle w:val="Compact"/>
              <w:jc w:val="right"/>
            </w:pPr>
            <w:r>
              <w:t xml:space="preserve">599</w:t>
            </w:r>
          </w:p>
        </w:tc>
        <w:tc>
          <w:tcPr/>
          <w:p>
            <w:pPr>
              <w:pStyle w:val="Compact"/>
              <w:jc w:val="right"/>
            </w:pPr>
            <w:r>
              <w:t xml:space="preserve">23.1%</w:t>
            </w:r>
          </w:p>
        </w:tc>
        <w:tc>
          <w:tcPr/>
          <w:p>
            <w:pPr>
              <w:pStyle w:val="Compact"/>
              <w:jc w:val="right"/>
            </w:pPr>
            <w:r>
              <w:t xml:space="preserve">2.9%</w:t>
            </w:r>
          </w:p>
        </w:tc>
        <w:tc>
          <w:tcPr/>
          <w:p>
            <w:pPr>
              <w:pStyle w:val="Compact"/>
              <w:jc w:val="right"/>
            </w:pPr>
            <w:r>
              <w:t xml:space="preserve">58.4%</w:t>
            </w:r>
          </w:p>
        </w:tc>
        <w:tc>
          <w:tcPr/>
          <w:p>
            <w:pPr>
              <w:pStyle w:val="Compact"/>
              <w:jc w:val="right"/>
            </w:pPr>
            <w:r>
              <w:t xml:space="preserve">31.4%</w:t>
            </w:r>
          </w:p>
        </w:tc>
        <w:tc>
          <w:tcPr/>
          <w:p>
            <w:pPr>
              <w:pStyle w:val="Compact"/>
              <w:jc w:val="right"/>
            </w:pPr>
            <w:r>
              <w:t xml:space="preserve">32.6%</w:t>
            </w:r>
          </w:p>
        </w:tc>
      </w:tr>
      <w:tr>
        <w:tc>
          <w:tcPr/>
          <w:p>
            <w:pPr>
              <w:pStyle w:val="Compact"/>
            </w:pPr>
            <w:r>
              <w:t xml:space="preserve">Q3 2024</w:t>
            </w:r>
          </w:p>
        </w:tc>
        <w:tc>
          <w:tcPr/>
          <w:p>
            <w:pPr>
              <w:pStyle w:val="Compact"/>
              <w:jc w:val="right"/>
            </w:pPr>
            <w:r>
              <w:t xml:space="preserve">9.37</w:t>
            </w:r>
          </w:p>
        </w:tc>
        <w:tc>
          <w:tcPr/>
          <w:p>
            <w:pPr>
              <w:pStyle w:val="Compact"/>
              <w:jc w:val="right"/>
            </w:pPr>
            <w:r>
              <w:t xml:space="preserve">1.46</w:t>
            </w:r>
          </w:p>
        </w:tc>
        <w:tc>
          <w:tcPr/>
          <w:p>
            <w:pPr>
              <w:pStyle w:val="Compact"/>
              <w:jc w:val="right"/>
            </w:pPr>
            <w:r>
              <w:t xml:space="preserve">697</w:t>
            </w:r>
          </w:p>
        </w:tc>
        <w:tc>
          <w:tcPr/>
          <w:p>
            <w:pPr>
              <w:pStyle w:val="Compact"/>
              <w:jc w:val="right"/>
            </w:pPr>
            <w:r>
              <w:t xml:space="preserve">27.0%</w:t>
            </w:r>
          </w:p>
        </w:tc>
        <w:tc>
          <w:tcPr/>
          <w:p>
            <w:pPr>
              <w:pStyle w:val="Compact"/>
              <w:jc w:val="right"/>
            </w:pPr>
            <w:r>
              <w:t xml:space="preserve">8.7%</w:t>
            </w:r>
          </w:p>
        </w:tc>
        <w:tc>
          <w:tcPr/>
          <w:p>
            <w:pPr>
              <w:pStyle w:val="Compact"/>
              <w:jc w:val="right"/>
            </w:pPr>
            <w:r>
              <w:t xml:space="preserve">61.0%</w:t>
            </w:r>
          </w:p>
        </w:tc>
        <w:tc>
          <w:tcPr/>
          <w:p>
            <w:pPr>
              <w:pStyle w:val="Compact"/>
              <w:jc w:val="right"/>
            </w:pPr>
            <w:r>
              <w:t xml:space="preserve">41.9%</w:t>
            </w:r>
          </w:p>
        </w:tc>
        <w:tc>
          <w:tcPr/>
          <w:p>
            <w:pPr>
              <w:pStyle w:val="Compact"/>
              <w:jc w:val="right"/>
            </w:pPr>
            <w:r>
              <w:t xml:space="preserve">32.1%</w:t>
            </w:r>
          </w:p>
        </w:tc>
      </w:tr>
      <w:tr>
        <w:tc>
          <w:tcPr/>
          <w:p>
            <w:pPr>
              <w:pStyle w:val="Compact"/>
            </w:pPr>
            <w:r>
              <w:t xml:space="preserve">Q4 2024</w:t>
            </w:r>
          </w:p>
        </w:tc>
        <w:tc>
          <w:tcPr/>
          <w:p>
            <w:pPr>
              <w:pStyle w:val="Compact"/>
              <w:jc w:val="right"/>
            </w:pPr>
            <w:r>
              <w:t xml:space="preserve">10.13</w:t>
            </w:r>
          </w:p>
        </w:tc>
        <w:tc>
          <w:tcPr/>
          <w:p>
            <w:pPr>
              <w:pStyle w:val="Compact"/>
              <w:jc w:val="right"/>
            </w:pPr>
            <w:r>
              <w:t xml:space="preserve">1.46</w:t>
            </w:r>
          </w:p>
        </w:tc>
        <w:tc>
          <w:tcPr/>
          <w:p>
            <w:pPr>
              <w:pStyle w:val="Compact"/>
              <w:jc w:val="right"/>
            </w:pPr>
            <w:r>
              <w:t xml:space="preserve">734</w:t>
            </w:r>
          </w:p>
        </w:tc>
        <w:tc>
          <w:tcPr/>
          <w:p>
            <w:pPr>
              <w:pStyle w:val="Compact"/>
              <w:jc w:val="right"/>
            </w:pPr>
            <w:r>
              <w:t xml:space="preserve">26.8%</w:t>
            </w:r>
          </w:p>
        </w:tc>
        <w:tc>
          <w:tcPr/>
          <w:p>
            <w:pPr>
              <w:pStyle w:val="Compact"/>
              <w:jc w:val="right"/>
            </w:pPr>
            <w:r>
              <w:t xml:space="preserve">45.3%</w:t>
            </w:r>
          </w:p>
        </w:tc>
        <w:tc>
          <w:tcPr/>
          <w:p>
            <w:pPr>
              <w:pStyle w:val="Compact"/>
              <w:jc w:val="right"/>
            </w:pPr>
            <w:r>
              <w:t xml:space="preserve">58.2%</w:t>
            </w:r>
          </w:p>
        </w:tc>
        <w:tc>
          <w:tcPr/>
          <w:p>
            <w:pPr>
              <w:pStyle w:val="Compact"/>
              <w:jc w:val="right"/>
            </w:pPr>
            <w:r>
              <w:t xml:space="preserve">44.8%</w:t>
            </w:r>
          </w:p>
        </w:tc>
        <w:tc>
          <w:tcPr/>
          <w:p>
            <w:pPr>
              <w:pStyle w:val="Compact"/>
              <w:jc w:val="right"/>
            </w:pPr>
            <w:r>
              <w:t xml:space="preserve">31.2%</w:t>
            </w:r>
          </w:p>
        </w:tc>
      </w:tr>
      <w:tr>
        <w:tc>
          <w:tcPr/>
          <w:p>
            <w:pPr>
              <w:pStyle w:val="Compact"/>
            </w:pPr>
            <w:r>
              <w:t xml:space="preserve">Q1 2025</w:t>
            </w:r>
          </w:p>
        </w:tc>
        <w:tc>
          <w:tcPr/>
          <w:p>
            <w:pPr>
              <w:pStyle w:val="Compact"/>
              <w:jc w:val="right"/>
            </w:pPr>
            <w:r>
              <w:t xml:space="preserve">10.92</w:t>
            </w:r>
          </w:p>
        </w:tc>
        <w:tc>
          <w:tcPr/>
          <w:p>
            <w:pPr>
              <w:pStyle w:val="Compact"/>
              <w:jc w:val="right"/>
            </w:pPr>
            <w:r>
              <w:t xml:space="preserve">1.46</w:t>
            </w:r>
          </w:p>
        </w:tc>
        <w:tc>
          <w:tcPr/>
          <w:p>
            <w:pPr>
              <w:pStyle w:val="Compact"/>
              <w:jc w:val="right"/>
            </w:pPr>
            <w:r>
              <w:t xml:space="preserve">772</w:t>
            </w:r>
          </w:p>
        </w:tc>
        <w:tc>
          <w:tcPr/>
          <w:p>
            <w:pPr>
              <w:pStyle w:val="Compact"/>
              <w:jc w:val="right"/>
            </w:pPr>
            <w:r>
              <w:t xml:space="preserve">27.3%</w:t>
            </w:r>
          </w:p>
        </w:tc>
        <w:tc>
          <w:tcPr/>
          <w:p>
            <w:pPr>
              <w:pStyle w:val="Compact"/>
              <w:jc w:val="right"/>
            </w:pPr>
            <w:r>
              <w:t xml:space="preserve">9.2%</w:t>
            </w:r>
          </w:p>
        </w:tc>
        <w:tc>
          <w:tcPr/>
          <w:p>
            <w:pPr>
              <w:pStyle w:val="Compact"/>
              <w:jc w:val="right"/>
            </w:pPr>
            <w:r>
              <w:t xml:space="preserve">57.9%</w:t>
            </w:r>
          </w:p>
        </w:tc>
        <w:tc>
          <w:tcPr/>
          <w:p>
            <w:pPr>
              <w:pStyle w:val="Compact"/>
              <w:jc w:val="right"/>
            </w:pPr>
            <w:r>
              <w:t xml:space="preserve">48.9%</w:t>
            </w:r>
          </w:p>
        </w:tc>
        <w:tc>
          <w:tcPr/>
          <w:p>
            <w:pPr>
              <w:pStyle w:val="Compact"/>
              <w:jc w:val="right"/>
            </w:pPr>
            <w:r>
              <w:t xml:space="preserve">29.9%</w:t>
            </w:r>
          </w:p>
        </w:tc>
      </w:tr>
      <w:tr>
        <w:tc>
          <w:tcPr/>
          <w:p>
            <w:pPr>
              <w:pStyle w:val="Compact"/>
            </w:pPr>
            <w:r>
              <w:t xml:space="preserve">Q2 2025</w:t>
            </w:r>
          </w:p>
        </w:tc>
        <w:tc>
          <w:tcPr/>
          <w:p>
            <w:pPr>
              <w:pStyle w:val="Compact"/>
              <w:jc w:val="right"/>
            </w:pPr>
            <w:r>
              <w:t xml:space="preserve">11.75</w:t>
            </w:r>
          </w:p>
        </w:tc>
        <w:tc>
          <w:tcPr/>
          <w:p>
            <w:pPr>
              <w:pStyle w:val="Compact"/>
              <w:jc w:val="right"/>
            </w:pPr>
            <w:r>
              <w:t xml:space="preserve">1.46</w:t>
            </w:r>
          </w:p>
        </w:tc>
        <w:tc>
          <w:tcPr/>
          <w:p>
            <w:pPr>
              <w:pStyle w:val="Compact"/>
              <w:jc w:val="right"/>
            </w:pPr>
            <w:r>
              <w:t xml:space="preserve">855</w:t>
            </w:r>
          </w:p>
        </w:tc>
        <w:tc>
          <w:tcPr/>
          <w:p>
            <w:pPr>
              <w:pStyle w:val="Compact"/>
              <w:jc w:val="right"/>
            </w:pPr>
            <w:r>
              <w:t xml:space="preserve">29.0%</w:t>
            </w:r>
          </w:p>
        </w:tc>
        <w:tc>
          <w:tcPr/>
          <w:p>
            <w:pPr>
              <w:pStyle w:val="Compact"/>
              <w:jc w:val="right"/>
            </w:pPr>
            <w:r>
              <w:t xml:space="preserve">11.4%</w:t>
            </w:r>
          </w:p>
        </w:tc>
        <w:tc>
          <w:tcPr/>
          <w:p>
            <w:pPr>
              <w:pStyle w:val="Compact"/>
              <w:jc w:val="right"/>
            </w:pPr>
            <w:r>
              <w:t xml:space="preserve">54.8%</w:t>
            </w:r>
          </w:p>
        </w:tc>
        <w:tc>
          <w:tcPr/>
          <w:p>
            <w:pPr>
              <w:pStyle w:val="Compact"/>
              <w:jc w:val="right"/>
            </w:pPr>
            <w:r>
              <w:t xml:space="preserve">51.9%</w:t>
            </w:r>
          </w:p>
        </w:tc>
        <w:tc>
          <w:tcPr/>
          <w:p>
            <w:pPr>
              <w:pStyle w:val="Compact"/>
              <w:jc w:val="right"/>
            </w:pPr>
            <w:r>
              <w:t xml:space="preserve">30.2%</w:t>
            </w:r>
          </w:p>
        </w:tc>
      </w:tr>
      <w:tr>
        <w:tc>
          <w:tcPr/>
          <w:p>
            <w:pPr>
              <w:pStyle w:val="Compact"/>
            </w:pPr>
            <w:r>
              <w:t xml:space="preserve">Q3 2025</w:t>
            </w:r>
          </w:p>
        </w:tc>
        <w:tc>
          <w:tcPr/>
          <w:p>
            <w:pPr>
              <w:pStyle w:val="Compact"/>
              <w:jc w:val="right"/>
            </w:pPr>
            <w:r>
              <w:t xml:space="preserve">12.64</w:t>
            </w:r>
          </w:p>
        </w:tc>
        <w:tc>
          <w:tcPr/>
          <w:p>
            <w:pPr>
              <w:pStyle w:val="Compact"/>
              <w:jc w:val="right"/>
            </w:pPr>
            <w:r>
              <w:t xml:space="preserve">1.47</w:t>
            </w:r>
          </w:p>
        </w:tc>
        <w:tc>
          <w:tcPr/>
          <w:p>
            <w:pPr>
              <w:pStyle w:val="Compact"/>
              <w:jc w:val="right"/>
            </w:pPr>
            <w:r>
              <w:t xml:space="preserve">962</w:t>
            </w:r>
          </w:p>
        </w:tc>
        <w:tc>
          <w:tcPr/>
          <w:p>
            <w:pPr>
              <w:pStyle w:val="Compact"/>
              <w:jc w:val="right"/>
            </w:pPr>
            <w:r>
              <w:t xml:space="preserve">29.2%</w:t>
            </w:r>
          </w:p>
        </w:tc>
        <w:tc>
          <w:tcPr/>
          <w:p>
            <w:pPr>
              <w:pStyle w:val="Compact"/>
              <w:jc w:val="right"/>
            </w:pPr>
            <w:r>
              <w:t xml:space="preserve">14.5%</w:t>
            </w:r>
          </w:p>
        </w:tc>
        <w:tc>
          <w:tcPr/>
          <w:p>
            <w:pPr>
              <w:pStyle w:val="Compact"/>
              <w:jc w:val="right"/>
            </w:pPr>
            <w:r>
              <w:t xml:space="preserve">54.3%</w:t>
            </w:r>
          </w:p>
        </w:tc>
        <w:tc>
          <w:tcPr/>
          <w:p>
            <w:pPr>
              <w:pStyle w:val="Compact"/>
              <w:jc w:val="right"/>
            </w:pPr>
            <w:r>
              <w:t xml:space="preserve">53.8%</w:t>
            </w:r>
          </w:p>
        </w:tc>
        <w:tc>
          <w:tcPr/>
          <w:p>
            <w:pPr>
              <w:pStyle w:val="Compact"/>
              <w:jc w:val="right"/>
            </w:pPr>
            <w:r>
              <w:t xml:space="preserve">28.3%</w:t>
            </w:r>
          </w:p>
        </w:tc>
      </w:tr>
      <w:tr>
        <w:tc>
          <w:tcPr/>
          <w:p>
            <w:pPr>
              <w:pStyle w:val="Compact"/>
            </w:pPr>
            <w:r>
              <w:t xml:space="preserve">Q4 2025</w:t>
            </w:r>
          </w:p>
        </w:tc>
        <w:tc>
          <w:tcPr/>
          <w:p>
            <w:pPr>
              <w:pStyle w:val="Compact"/>
              <w:jc w:val="right"/>
            </w:pPr>
            <w:r>
              <w:t xml:space="preserve">13.65</w:t>
            </w:r>
          </w:p>
        </w:tc>
        <w:tc>
          <w:tcPr/>
          <w:p>
            <w:pPr>
              <w:pStyle w:val="Compact"/>
              <w:jc w:val="right"/>
            </w:pPr>
            <w:r>
              <w:t xml:space="preserve">1.48</w:t>
            </w:r>
          </w:p>
        </w:tc>
        <w:tc>
          <w:tcPr/>
          <w:p>
            <w:pPr>
              <w:pStyle w:val="Compact"/>
              <w:jc w:val="right"/>
            </w:pPr>
            <w:r>
              <w:t xml:space="preserve">1,025</w:t>
            </w:r>
          </w:p>
        </w:tc>
        <w:tc>
          <w:tcPr/>
          <w:p>
            <w:pPr>
              <w:pStyle w:val="Compact"/>
              <w:jc w:val="right"/>
            </w:pPr>
            <w:r>
              <w:t xml:space="preserve">31.4%</w:t>
            </w:r>
          </w:p>
        </w:tc>
        <w:tc>
          <w:tcPr/>
          <w:p>
            <w:pPr>
              <w:pStyle w:val="Compact"/>
              <w:jc w:val="right"/>
            </w:pPr>
            <w:r>
              <w:t xml:space="preserve">16.9%</w:t>
            </w:r>
          </w:p>
        </w:tc>
        <w:tc>
          <w:tcPr/>
          <w:p>
            <w:pPr>
              <w:pStyle w:val="Compact"/>
              <w:jc w:val="right"/>
            </w:pPr>
            <w:r>
              <w:t xml:space="preserve">55.8%</w:t>
            </w:r>
          </w:p>
        </w:tc>
        <w:tc>
          <w:tcPr/>
          <w:p>
            <w:pPr>
              <w:pStyle w:val="Compact"/>
              <w:jc w:val="right"/>
            </w:pPr>
            <w:r>
              <w:t xml:space="preserve">50.5%</w:t>
            </w:r>
          </w:p>
        </w:tc>
        <w:tc>
          <w:tcPr/>
          <w:p>
            <w:pPr>
              <w:pStyle w:val="Compact"/>
              <w:jc w:val="right"/>
            </w:pPr>
            <w:r>
              <w:t xml:space="preserve">39.2%</w:t>
            </w:r>
          </w:p>
        </w:tc>
      </w:tr>
      <w:tr>
        <w:tc>
          <w:tcPr/>
          <w:p>
            <w:pPr>
              <w:pStyle w:val="Compact"/>
            </w:pPr>
            <w:r>
              <w:t xml:space="preserve">Q1 2026</w:t>
            </w:r>
          </w:p>
        </w:tc>
        <w:tc>
          <w:tcPr/>
          <w:p>
            <w:pPr>
              <w:pStyle w:val="Compact"/>
              <w:jc w:val="right"/>
            </w:pPr>
            <w:r>
              <w:t xml:space="preserve">14.71</w:t>
            </w:r>
          </w:p>
        </w:tc>
        <w:tc>
          <w:tcPr/>
          <w:p>
            <w:pPr>
              <w:pStyle w:val="Compact"/>
              <w:jc w:val="right"/>
            </w:pPr>
            <w:r>
              <w:t xml:space="preserve">1.51</w:t>
            </w:r>
          </w:p>
        </w:tc>
        <w:tc>
          <w:tcPr/>
          <w:p>
            <w:pPr>
              <w:pStyle w:val="Compact"/>
              <w:jc w:val="right"/>
            </w:pPr>
            <w:r>
              <w:t xml:space="preserve">1,100</w:t>
            </w:r>
          </w:p>
        </w:tc>
        <w:tc>
          <w:tcPr/>
          <w:p>
            <w:pPr>
              <w:pStyle w:val="Compact"/>
              <w:jc w:val="right"/>
            </w:pPr>
            <w:r>
              <w:t xml:space="preserve">31.3%</w:t>
            </w:r>
          </w:p>
        </w:tc>
        <w:tc>
          <w:tcPr/>
          <w:p>
            <w:pPr>
              <w:pStyle w:val="Compact"/>
              <w:jc w:val="right"/>
            </w:pPr>
            <w:r>
              <w:t xml:space="preserve">15.2%</w:t>
            </w:r>
          </w:p>
        </w:tc>
        <w:tc>
          <w:tcPr/>
          <w:p>
            <w:pPr>
              <w:pStyle w:val="Compact"/>
              <w:jc w:val="right"/>
            </w:pPr>
            <w:r>
              <w:t xml:space="preserve">60.8%</w:t>
            </w:r>
          </w:p>
        </w:tc>
        <w:tc>
          <w:tcPr/>
          <w:p>
            <w:pPr>
              <w:pStyle w:val="Compact"/>
              <w:jc w:val="right"/>
            </w:pPr>
            <w:r>
              <w:t xml:space="preserve">45.6%</w:t>
            </w:r>
          </w:p>
        </w:tc>
        <w:tc>
          <w:tcPr/>
          <w:p>
            <w:pPr>
              <w:pStyle w:val="Compact"/>
              <w:jc w:val="right"/>
            </w:pPr>
            <w:r>
              <w:t xml:space="preserve">16.0%</w:t>
            </w:r>
          </w:p>
        </w:tc>
      </w:tr>
    </w:tbl>
    <w:p>
      <w:pPr>
        <w:pStyle w:val="BodyText"/>
      </w:pPr>
      <w:r>
        <w:t xml:space="preserve">The historical table contains several distortions that must not be treated as normal operations:</w:t>
      </w:r>
    </w:p>
    <w:p>
      <w:pPr>
        <w:pStyle w:val="Compact"/>
        <w:numPr>
          <w:ilvl w:val="0"/>
          <w:numId w:val="1004"/>
        </w:numPr>
      </w:pPr>
      <w:r>
        <w:t xml:space="preserve">Q3 2023 included a Technology Platform goodwill impairment.</w:t>
      </w:r>
    </w:p>
    <w:p>
      <w:pPr>
        <w:pStyle w:val="Compact"/>
        <w:numPr>
          <w:ilvl w:val="0"/>
          <w:numId w:val="1004"/>
        </w:numPr>
      </w:pPr>
      <w:r>
        <w:t xml:space="preserve">Q1 2024 included effects relating to convertible-debt activity.</w:t>
      </w:r>
    </w:p>
    <w:p>
      <w:pPr>
        <w:pStyle w:val="Compact"/>
        <w:numPr>
          <w:ilvl w:val="0"/>
          <w:numId w:val="1004"/>
        </w:numPr>
      </w:pPr>
      <w:r>
        <w:t xml:space="preserve">Q4 2024 profitability benefited from tax-related items.</w:t>
      </w:r>
    </w:p>
    <w:p>
      <w:pPr>
        <w:pStyle w:val="Compact"/>
        <w:numPr>
          <w:ilvl w:val="0"/>
          <w:numId w:val="1004"/>
        </w:numPr>
      </w:pPr>
      <w:r>
        <w:t xml:space="preserve">Technology Platform customer transitions affected 2025 and Q1 2026 comparability.</w:t>
      </w:r>
    </w:p>
    <w:p>
      <w:pPr>
        <w:pStyle w:val="Compact"/>
        <w:numPr>
          <w:ilvl w:val="0"/>
          <w:numId w:val="1004"/>
        </w:numPr>
      </w:pPr>
      <w:r>
        <w:t xml:space="preserve">SoFi modified its presentation of tangible book value and revised prior periods to conform.</w:t>
      </w:r>
    </w:p>
    <w:p>
      <w:r>
        <w:pict>
          <v:rect style="width:0;height:1.5pt" o:hralign="center" o:hrstd="t" o:hr="t"/>
        </w:pict>
      </w:r>
    </w:p>
    <w:bookmarkEnd w:id="26"/>
    <w:bookmarkEnd w:id="27"/>
    <w:bookmarkStart w:id="35" w:name="historical-financial-diagnosis"/>
    <w:p>
      <w:pPr>
        <w:pStyle w:val="Heading1"/>
      </w:pPr>
      <w:r>
        <w:t xml:space="preserve">4. Historical financial diagnosis</w:t>
      </w:r>
    </w:p>
    <w:bookmarkStart w:id="28" w:name="scale-and-customer-growth"/>
    <w:p>
      <w:pPr>
        <w:pStyle w:val="Heading2"/>
      </w:pPr>
      <w:r>
        <w:t xml:space="preserve">4.1 Scale and customer growth</w:t>
      </w:r>
    </w:p>
    <w:p>
      <w:pPr>
        <w:pStyle w:val="FirstParagraph"/>
      </w:pPr>
      <w:r>
        <w:t xml:space="preserve">From Q2 2021 through Q1 2026:</w:t>
      </w:r>
    </w:p>
    <w:p>
      <w:pPr>
        <w:pStyle w:val="Compact"/>
        <w:numPr>
          <w:ilvl w:val="0"/>
          <w:numId w:val="1005"/>
        </w:numPr>
      </w:pPr>
      <w:r>
        <w:t xml:space="preserve">Members increased from approximately</w:t>
      </w:r>
      <w:r>
        <w:t xml:space="preserve"> </w:t>
      </w:r>
      <w:r>
        <w:rPr>
          <w:b/>
          <w:bCs/>
        </w:rPr>
        <w:t xml:space="preserve">2.6 million to 14.7 million</w:t>
      </w:r>
      <w:r>
        <w:t xml:space="preserve">.</w:t>
      </w:r>
    </w:p>
    <w:p>
      <w:pPr>
        <w:pStyle w:val="Compact"/>
        <w:numPr>
          <w:ilvl w:val="0"/>
          <w:numId w:val="1005"/>
        </w:numPr>
      </w:pPr>
      <w:r>
        <w:t xml:space="preserve">Products increased from approximately</w:t>
      </w:r>
      <w:r>
        <w:t xml:space="preserve"> </w:t>
      </w:r>
      <w:r>
        <w:rPr>
          <w:b/>
          <w:bCs/>
        </w:rPr>
        <w:t xml:space="preserve">3.7 million to 22.2 million</w:t>
      </w:r>
      <w:r>
        <w:t xml:space="preserve">.</w:t>
      </w:r>
    </w:p>
    <w:p>
      <w:pPr>
        <w:pStyle w:val="Compact"/>
        <w:numPr>
          <w:ilvl w:val="0"/>
          <w:numId w:val="1005"/>
        </w:numPr>
      </w:pPr>
      <w:r>
        <w:t xml:space="preserve">Quarterly net revenue rose from approximately</w:t>
      </w:r>
      <w:r>
        <w:t xml:space="preserve"> </w:t>
      </w:r>
      <w:r>
        <w:rPr>
          <w:b/>
          <w:bCs/>
        </w:rPr>
        <w:t xml:space="preserve">$231 million to $1.10 billion</w:t>
      </w:r>
      <w:r>
        <w:t xml:space="preserve">.</w:t>
      </w:r>
    </w:p>
    <w:p>
      <w:pPr>
        <w:pStyle w:val="Compact"/>
        <w:numPr>
          <w:ilvl w:val="0"/>
          <w:numId w:val="1005"/>
        </w:numPr>
      </w:pPr>
      <w:r>
        <w:t xml:space="preserve">SoFi moved from substantial losses to ten consecutive profitable quarters.</w:t>
      </w:r>
    </w:p>
    <w:p>
      <w:pPr>
        <w:pStyle w:val="Compact"/>
        <w:numPr>
          <w:ilvl w:val="0"/>
          <w:numId w:val="1005"/>
        </w:numPr>
      </w:pPr>
      <w:r>
        <w:t xml:space="preserve">Q1 2026 adjusted net revenue increased 41% year over year.</w:t>
      </w:r>
    </w:p>
    <w:p>
      <w:pPr>
        <w:pStyle w:val="Compact"/>
        <w:numPr>
          <w:ilvl w:val="0"/>
          <w:numId w:val="1005"/>
        </w:numPr>
      </w:pPr>
      <w:r>
        <w:t xml:space="preserve">Q1 2026 GAAP net income reached $166.7 million.</w:t>
      </w:r>
    </w:p>
    <w:p>
      <w:pPr>
        <w:pStyle w:val="FirstParagraph"/>
      </w:pPr>
      <w:r>
        <w:t xml:space="preserve">SoFi added approximately 1.06 million members and 1.8 million products during Q1 2026.</w:t>
      </w:r>
    </w:p>
    <w:bookmarkEnd w:id="28"/>
    <w:bookmarkStart w:id="29" w:name="cross-buy"/>
    <w:p>
      <w:pPr>
        <w:pStyle w:val="Heading2"/>
      </w:pPr>
      <w:r>
        <w:t xml:space="preserve">4.2 Cross-buy</w:t>
      </w:r>
    </w:p>
    <w:p>
      <w:pPr>
        <w:pStyle w:val="FirstParagraph"/>
      </w:pPr>
      <w:r>
        <w:t xml:space="preserve">Products per member increased from approximately 1.43 in Q2 2021 to approximately 1.51 in Q1 2026.</w:t>
      </w:r>
    </w:p>
    <w:p>
      <w:pPr>
        <w:pStyle w:val="BodyText"/>
      </w:pPr>
      <w:r>
        <w:t xml:space="preserve">This proves that cross-buy exists, but the increase is not yet sufficiently large to demonstrate hard ecosystem lock-in.</w:t>
      </w:r>
    </w:p>
    <w:p>
      <w:pPr>
        <w:pStyle w:val="BodyText"/>
      </w:pPr>
      <w:r>
        <w:t xml:space="preserve">The better evidence is that product growth has recently exceeded member growth and that existing members account for a meaningful portion of new product openings.</w:t>
      </w:r>
    </w:p>
    <w:p>
      <w:pPr>
        <w:pStyle w:val="BodyText"/>
      </w:pPr>
      <w:r>
        <w:t xml:space="preserve">The economic interpretation is:</w:t>
      </w:r>
    </w:p>
    <w:p>
      <w:pPr>
        <w:pStyle w:val="Compact"/>
        <w:numPr>
          <w:ilvl w:val="0"/>
          <w:numId w:val="1006"/>
        </w:numPr>
      </w:pPr>
      <w:r>
        <w:t xml:space="preserve">Customer acquisition remains a major growth driver.</w:t>
      </w:r>
    </w:p>
    <w:p>
      <w:pPr>
        <w:pStyle w:val="Compact"/>
        <w:numPr>
          <w:ilvl w:val="0"/>
          <w:numId w:val="1006"/>
        </w:numPr>
      </w:pPr>
      <w:r>
        <w:t xml:space="preserve">Cross-buy improves lifetime value.</w:t>
      </w:r>
    </w:p>
    <w:p>
      <w:pPr>
        <w:pStyle w:val="Compact"/>
        <w:numPr>
          <w:ilvl w:val="0"/>
          <w:numId w:val="1006"/>
        </w:numPr>
      </w:pPr>
      <w:r>
        <w:t xml:space="preserve">Cross-buy may lower acquisition cost per product.</w:t>
      </w:r>
    </w:p>
    <w:p>
      <w:pPr>
        <w:pStyle w:val="Compact"/>
        <w:numPr>
          <w:ilvl w:val="0"/>
          <w:numId w:val="1006"/>
        </w:numPr>
      </w:pPr>
      <w:r>
        <w:t xml:space="preserve">Most members can still use multiple financial providers.</w:t>
      </w:r>
    </w:p>
    <w:p>
      <w:pPr>
        <w:pStyle w:val="Compact"/>
        <w:numPr>
          <w:ilvl w:val="0"/>
          <w:numId w:val="1006"/>
        </w:numPr>
      </w:pPr>
      <w:r>
        <w:t xml:space="preserve">SoFi’s ecosystem moat is based on convenience and engagement rather than contractual dependence.</w:t>
      </w:r>
    </w:p>
    <w:bookmarkEnd w:id="29"/>
    <w:bookmarkStart w:id="30" w:name="operating-leverage"/>
    <w:p>
      <w:pPr>
        <w:pStyle w:val="Heading2"/>
      </w:pPr>
      <w:r>
        <w:t xml:space="preserve">4.3 Operating leverage</w:t>
      </w:r>
    </w:p>
    <w:p>
      <w:pPr>
        <w:pStyle w:val="FirstParagraph"/>
      </w:pPr>
      <w:r>
        <w:t xml:space="preserve">SoFi’s adjusted EBITDA margin increased from low single digits in 2021 to approximately 31% in Q1 2026.</w:t>
      </w:r>
    </w:p>
    <w:p>
      <w:pPr>
        <w:pStyle w:val="BodyText"/>
      </w:pPr>
      <w:r>
        <w:t xml:space="preserve">Q1 2026 produced:</w:t>
      </w:r>
    </w:p>
    <w:p>
      <w:pPr>
        <w:pStyle w:val="Compact"/>
        <w:numPr>
          <w:ilvl w:val="0"/>
          <w:numId w:val="1007"/>
        </w:numPr>
      </w:pPr>
      <w:r>
        <w:t xml:space="preserve">41% adjusted-revenue growth.</w:t>
      </w:r>
    </w:p>
    <w:p>
      <w:pPr>
        <w:pStyle w:val="Compact"/>
        <w:numPr>
          <w:ilvl w:val="0"/>
          <w:numId w:val="1007"/>
        </w:numPr>
      </w:pPr>
      <w:r>
        <w:t xml:space="preserve">62% adjusted-EBITDA growth.</w:t>
      </w:r>
    </w:p>
    <w:p>
      <w:pPr>
        <w:pStyle w:val="Compact"/>
        <w:numPr>
          <w:ilvl w:val="0"/>
          <w:numId w:val="1007"/>
        </w:numPr>
      </w:pPr>
      <w:r>
        <w:t xml:space="preserve">30% incremental adjusted-net-income margin.</w:t>
      </w:r>
    </w:p>
    <w:p>
      <w:pPr>
        <w:pStyle w:val="Compact"/>
        <w:numPr>
          <w:ilvl w:val="0"/>
          <w:numId w:val="1007"/>
        </w:numPr>
      </w:pPr>
      <w:r>
        <w:t xml:space="preserve">41% incremental adjusted-EBITDA margin.</w:t>
      </w:r>
    </w:p>
    <w:p>
      <w:pPr>
        <w:pStyle w:val="FirstParagraph"/>
      </w:pPr>
      <w:r>
        <w:t xml:space="preserve">These incremental margins are central to the revised 2028 assumptions. They show that a material portion of incremental revenue is already falling to earnings.</w:t>
      </w:r>
    </w:p>
    <w:bookmarkEnd w:id="30"/>
    <w:bookmarkStart w:id="31" w:name="efficiency-ratio"/>
    <w:p>
      <w:pPr>
        <w:pStyle w:val="Heading2"/>
      </w:pPr>
      <w:r>
        <w:t xml:space="preserve">4.4 Efficiency ratio</w:t>
      </w:r>
    </w:p>
    <w:p>
      <w:pPr>
        <w:pStyle w:val="FirstParagraph"/>
      </w:pPr>
      <w:r>
        <w:t xml:space="preserve">Using a conventional approximation:</w:t>
      </w:r>
    </w:p>
    <w:p>
      <w:pPr>
        <w:pStyle w:val="SourceCode"/>
      </w:pPr>
      <w:r>
        <w:rPr>
          <w:rStyle w:val="VerbatimChar"/>
        </w:rPr>
        <w:t xml:space="preserve">Efficiency ratio =</w:t>
      </w:r>
      <w:r>
        <w:br/>
      </w:r>
      <w:r>
        <w:rPr>
          <w:rStyle w:val="VerbatimChar"/>
        </w:rPr>
        <w:t xml:space="preserve">Noninterest expense ÷ Total net revenue</w:t>
      </w:r>
    </w:p>
    <w:p>
      <w:pPr>
        <w:pStyle w:val="FirstParagraph"/>
      </w:pPr>
      <w:r>
        <w:t xml:space="preserve">SoFi’s approximate ratio has fallen materially: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Period</w:t>
            </w:r>
          </w:p>
        </w:tc>
        <w:tc>
          <w:tcPr/>
          <w:p>
            <w:pPr>
              <w:pStyle w:val="Compact"/>
              <w:jc w:val="right"/>
            </w:pPr>
            <w:r>
              <w:t xml:space="preserve">Approximate efficiency ratio</w:t>
            </w:r>
          </w:p>
        </w:tc>
      </w:tr>
      <w:tr>
        <w:tc>
          <w:tcPr/>
          <w:p>
            <w:pPr>
              <w:pStyle w:val="Compact"/>
            </w:pPr>
            <w:r>
              <w:t xml:space="preserve">FY2024</w:t>
            </w:r>
          </w:p>
        </w:tc>
        <w:tc>
          <w:tcPr/>
          <w:p>
            <w:pPr>
              <w:pStyle w:val="Compact"/>
              <w:jc w:val="right"/>
            </w:pPr>
            <w:r>
              <w:t xml:space="preserve">90%</w:t>
            </w:r>
          </w:p>
        </w:tc>
      </w:tr>
      <w:tr>
        <w:tc>
          <w:tcPr/>
          <w:p>
            <w:pPr>
              <w:pStyle w:val="Compact"/>
            </w:pPr>
            <w:r>
              <w:t xml:space="preserve">FY2025</w:t>
            </w:r>
          </w:p>
        </w:tc>
        <w:tc>
          <w:tcPr/>
          <w:p>
            <w:pPr>
              <w:pStyle w:val="Compact"/>
              <w:jc w:val="right"/>
            </w:pPr>
            <w:r>
              <w:t xml:space="preserve">85%</w:t>
            </w:r>
          </w:p>
        </w:tc>
      </w:tr>
      <w:tr>
        <w:tc>
          <w:tcPr/>
          <w:p>
            <w:pPr>
              <w:pStyle w:val="Compact"/>
            </w:pPr>
            <w:r>
              <w:t xml:space="preserve">Q1 2025</w:t>
            </w:r>
          </w:p>
        </w:tc>
        <w:tc>
          <w:tcPr/>
          <w:p>
            <w:pPr>
              <w:pStyle w:val="Compact"/>
              <w:jc w:val="right"/>
            </w:pPr>
            <w:r>
              <w:t xml:space="preserve">89%</w:t>
            </w:r>
          </w:p>
        </w:tc>
      </w:tr>
      <w:tr>
        <w:tc>
          <w:tcPr/>
          <w:p>
            <w:pPr>
              <w:pStyle w:val="Compact"/>
            </w:pPr>
            <w:r>
              <w:t xml:space="preserve">Q1 2026</w:t>
            </w:r>
          </w:p>
        </w:tc>
        <w:tc>
          <w:tcPr/>
          <w:p>
            <w:pPr>
              <w:pStyle w:val="Compact"/>
              <w:jc w:val="right"/>
            </w:pPr>
            <w:r>
              <w:t xml:space="preserve">81%</w:t>
            </w:r>
          </w:p>
        </w:tc>
      </w:tr>
    </w:tbl>
    <w:p>
      <w:pPr>
        <w:pStyle w:val="BodyText"/>
      </w:pPr>
      <w:r>
        <w:t xml:space="preserve">The ratio remains high compared with mature banks, but the direction indicates emerging operating leverage.</w:t>
      </w:r>
    </w:p>
    <w:p>
      <w:pPr>
        <w:pStyle w:val="BodyText"/>
      </w:pPr>
      <w:r>
        <w:t xml:space="preserve">The bull case does not require SoFi to match the most efficient incumbent banks immediately. It requires the ratio to continue declining as:</w:t>
      </w:r>
    </w:p>
    <w:p>
      <w:pPr>
        <w:pStyle w:val="Compact"/>
        <w:numPr>
          <w:ilvl w:val="0"/>
          <w:numId w:val="1008"/>
        </w:numPr>
      </w:pPr>
      <w:r>
        <w:t xml:space="preserve">Revenue scales faster than corporate overhead.</w:t>
      </w:r>
    </w:p>
    <w:p>
      <w:pPr>
        <w:pStyle w:val="Compact"/>
        <w:numPr>
          <w:ilvl w:val="0"/>
          <w:numId w:val="1008"/>
        </w:numPr>
      </w:pPr>
      <w:r>
        <w:t xml:space="preserve">Financial Services contribution increases.</w:t>
      </w:r>
    </w:p>
    <w:p>
      <w:pPr>
        <w:pStyle w:val="Compact"/>
        <w:numPr>
          <w:ilvl w:val="0"/>
          <w:numId w:val="1008"/>
        </w:numPr>
      </w:pPr>
      <w:r>
        <w:t xml:space="preserve">Marketing becomes more productive.</w:t>
      </w:r>
    </w:p>
    <w:p>
      <w:pPr>
        <w:pStyle w:val="Compact"/>
        <w:numPr>
          <w:ilvl w:val="0"/>
          <w:numId w:val="1008"/>
        </w:numPr>
      </w:pPr>
      <w:r>
        <w:t xml:space="preserve">Technology spending is distributed across a larger revenue base.</w:t>
      </w:r>
    </w:p>
    <w:p>
      <w:pPr>
        <w:pStyle w:val="Compact"/>
        <w:numPr>
          <w:ilvl w:val="0"/>
          <w:numId w:val="1008"/>
        </w:numPr>
      </w:pPr>
      <w:r>
        <w:t xml:space="preserve">Stock compensation declines as a percentage of revenue.</w:t>
      </w:r>
    </w:p>
    <w:bookmarkEnd w:id="31"/>
    <w:bookmarkStart w:id="32" w:name="financial-services-transformation"/>
    <w:p>
      <w:pPr>
        <w:pStyle w:val="Heading2"/>
      </w:pPr>
      <w:r>
        <w:t xml:space="preserve">4.5 Financial Services transformation</w:t>
      </w:r>
    </w:p>
    <w:p>
      <w:pPr>
        <w:pStyle w:val="FirstParagraph"/>
      </w:pPr>
      <w:r>
        <w:t xml:space="preserve">Financial Services moved from deeply negative contribution margins in 2021–2023 to:</w:t>
      </w:r>
    </w:p>
    <w:p>
      <w:pPr>
        <w:pStyle w:val="Compact"/>
        <w:numPr>
          <w:ilvl w:val="0"/>
          <w:numId w:val="1009"/>
        </w:numPr>
      </w:pPr>
      <w:r>
        <w:t xml:space="preserve">Approximately 45% for full-year 2024.</w:t>
      </w:r>
    </w:p>
    <w:p>
      <w:pPr>
        <w:pStyle w:val="Compact"/>
        <w:numPr>
          <w:ilvl w:val="0"/>
          <w:numId w:val="1009"/>
        </w:numPr>
      </w:pPr>
      <w:r>
        <w:t xml:space="preserve">Approximately 51% for full-year 2025.</w:t>
      </w:r>
    </w:p>
    <w:p>
      <w:pPr>
        <w:pStyle w:val="Compact"/>
        <w:numPr>
          <w:ilvl w:val="0"/>
          <w:numId w:val="1009"/>
        </w:numPr>
      </w:pPr>
      <w:r>
        <w:t xml:space="preserve">Approximately 46% in Q1 2026.</w:t>
      </w:r>
    </w:p>
    <w:p>
      <w:pPr>
        <w:pStyle w:val="FirstParagraph"/>
      </w:pPr>
      <w:r>
        <w:t xml:space="preserve">Q1 2026 Financial Services revenue reached $428.5 million, increasing 41% year over year, while contribution profit reached $195.6 million.</w:t>
      </w:r>
    </w:p>
    <w:p>
      <w:pPr>
        <w:pStyle w:val="BodyText"/>
      </w:pPr>
      <w:r>
        <w:t xml:space="preserve">This transformation is one of the strongest pieces of evidence supporting a consolidated margin above traditional-bank levels.</w:t>
      </w:r>
    </w:p>
    <w:bookmarkEnd w:id="32"/>
    <w:bookmarkStart w:id="33" w:name="lending-economics"/>
    <w:p>
      <w:pPr>
        <w:pStyle w:val="Heading2"/>
      </w:pPr>
      <w:r>
        <w:t xml:space="preserve">4.6 Lending economics</w:t>
      </w:r>
    </w:p>
    <w:p>
      <w:pPr>
        <w:pStyle w:val="FirstParagraph"/>
      </w:pPr>
      <w:r>
        <w:t xml:space="preserve">Q1 2026 Lending adjusted net revenue reached approximately $629 million and adjusted contribution margin reached approximately 61%.</w:t>
      </w:r>
    </w:p>
    <w:p>
      <w:pPr>
        <w:pStyle w:val="BodyText"/>
      </w:pPr>
      <w:r>
        <w:t xml:space="preserve">Lending benefits from:</w:t>
      </w:r>
    </w:p>
    <w:p>
      <w:pPr>
        <w:pStyle w:val="Compact"/>
        <w:numPr>
          <w:ilvl w:val="0"/>
          <w:numId w:val="1010"/>
        </w:numPr>
      </w:pPr>
      <w:r>
        <w:t xml:space="preserve">Deposit-funded loans.</w:t>
      </w:r>
    </w:p>
    <w:p>
      <w:pPr>
        <w:pStyle w:val="Compact"/>
        <w:numPr>
          <w:ilvl w:val="0"/>
          <w:numId w:val="1010"/>
        </w:numPr>
      </w:pPr>
      <w:r>
        <w:t xml:space="preserve">Strong borrower demand.</w:t>
      </w:r>
    </w:p>
    <w:p>
      <w:pPr>
        <w:pStyle w:val="Compact"/>
        <w:numPr>
          <w:ilvl w:val="0"/>
          <w:numId w:val="1010"/>
        </w:numPr>
      </w:pPr>
      <w:r>
        <w:t xml:space="preserve">Loan sales.</w:t>
      </w:r>
    </w:p>
    <w:p>
      <w:pPr>
        <w:pStyle w:val="Compact"/>
        <w:numPr>
          <w:ilvl w:val="0"/>
          <w:numId w:val="1010"/>
        </w:numPr>
      </w:pPr>
      <w:r>
        <w:t xml:space="preserve">Loan Platform Business fees.</w:t>
      </w:r>
    </w:p>
    <w:p>
      <w:pPr>
        <w:pStyle w:val="Compact"/>
        <w:numPr>
          <w:ilvl w:val="0"/>
          <w:numId w:val="1010"/>
        </w:numPr>
      </w:pPr>
      <w:r>
        <w:t xml:space="preserve">Servicing revenue.</w:t>
      </w:r>
    </w:p>
    <w:p>
      <w:pPr>
        <w:pStyle w:val="Compact"/>
        <w:numPr>
          <w:ilvl w:val="0"/>
          <w:numId w:val="1010"/>
        </w:numPr>
      </w:pPr>
      <w:r>
        <w:t xml:space="preserve">The ability to choose between retaining and distributing originations.</w:t>
      </w:r>
    </w:p>
    <w:bookmarkEnd w:id="33"/>
    <w:bookmarkStart w:id="34" w:name="technology-solutions-weakness"/>
    <w:p>
      <w:pPr>
        <w:pStyle w:val="Heading2"/>
      </w:pPr>
      <w:r>
        <w:t xml:space="preserve">4.7 Technology Solutions weakness</w:t>
      </w:r>
    </w:p>
    <w:p>
      <w:pPr>
        <w:pStyle w:val="FirstParagraph"/>
      </w:pPr>
      <w:r>
        <w:t xml:space="preserve">Technology Platform revenue declined 27% year over year in Q1 2026.</w:t>
      </w:r>
    </w:p>
    <w:p>
      <w:pPr>
        <w:pStyle w:val="BodyText"/>
      </w:pPr>
      <w:r>
        <w:t xml:space="preserve">Contribution margin fell from 30% to 16%, while enabled accounts declined 16% following the departure of a large client.</w:t>
      </w:r>
    </w:p>
    <w:p>
      <w:pPr>
        <w:pStyle w:val="BodyText"/>
      </w:pPr>
      <w:r>
        <w:t xml:space="preserve">SoFi is repositioning the business under the unified SoFi Technology Solutions brand across:</w:t>
      </w:r>
    </w:p>
    <w:p>
      <w:pPr>
        <w:pStyle w:val="Compact"/>
        <w:numPr>
          <w:ilvl w:val="0"/>
          <w:numId w:val="1011"/>
        </w:numPr>
      </w:pPr>
      <w:r>
        <w:t xml:space="preserve">Processing.</w:t>
      </w:r>
    </w:p>
    <w:p>
      <w:pPr>
        <w:pStyle w:val="Compact"/>
        <w:numPr>
          <w:ilvl w:val="0"/>
          <w:numId w:val="1011"/>
        </w:numPr>
      </w:pPr>
      <w:r>
        <w:t xml:space="preserve">Banking core ledgers and services.</w:t>
      </w:r>
    </w:p>
    <w:p>
      <w:pPr>
        <w:pStyle w:val="Compact"/>
        <w:numPr>
          <w:ilvl w:val="0"/>
          <w:numId w:val="1011"/>
        </w:numPr>
      </w:pPr>
      <w:r>
        <w:t xml:space="preserve">Payment Hub.</w:t>
      </w:r>
    </w:p>
    <w:p>
      <w:pPr>
        <w:pStyle w:val="Compact"/>
        <w:numPr>
          <w:ilvl w:val="0"/>
          <w:numId w:val="1011"/>
        </w:numPr>
      </w:pPr>
      <w:r>
        <w:t xml:space="preserve">Risk and fraud.</w:t>
      </w:r>
    </w:p>
    <w:p>
      <w:pPr>
        <w:pStyle w:val="FirstParagraph"/>
      </w:pPr>
      <w:r>
        <w:t xml:space="preserve">The revised margin forecast does not depend on Technology Solutions becoming a dominant SaaS platform immediately. It assumes that the segment stops shrinking and returns toward historical contribution margins.</w:t>
      </w:r>
    </w:p>
    <w:p>
      <w:r>
        <w:pict>
          <v:rect style="width:0;height:1.5pt" o:hralign="center" o:hrstd="t" o:hr="t"/>
        </w:pict>
      </w:r>
    </w:p>
    <w:bookmarkEnd w:id="34"/>
    <w:bookmarkEnd w:id="35"/>
    <w:bookmarkStart w:id="41" w:name="business-and-value-chain-map"/>
    <w:p>
      <w:pPr>
        <w:pStyle w:val="Heading1"/>
      </w:pPr>
      <w:r>
        <w:t xml:space="preserve">5. Business and value-chain map</w:t>
      </w:r>
    </w:p>
    <w:bookmarkStart w:id="36" w:name="consumer-financial-ecosystem"/>
    <w:p>
      <w:pPr>
        <w:pStyle w:val="Heading2"/>
      </w:pPr>
      <w:r>
        <w:t xml:space="preserve">5.1 Consumer financial ecosystem</w:t>
      </w:r>
    </w:p>
    <w:p>
      <w:pPr>
        <w:pStyle w:val="SourceCode"/>
      </w:pPr>
      <w:r>
        <w:rPr>
          <w:rStyle w:val="VerbatimChar"/>
        </w:rPr>
        <w:t xml:space="preserve">Marketing and brand awareness</w:t>
      </w:r>
      <w:r>
        <w:br/>
      </w:r>
      <w:r>
        <w:rPr>
          <w:rStyle w:val="VerbatimChar"/>
        </w:rPr>
        <w:t xml:space="preserve">→ member acquisition</w:t>
      </w:r>
      <w:r>
        <w:br/>
      </w:r>
      <w:r>
        <w:rPr>
          <w:rStyle w:val="VerbatimChar"/>
        </w:rPr>
        <w:t xml:space="preserve">→ first product adoption</w:t>
      </w:r>
      <w:r>
        <w:br/>
      </w:r>
      <w:r>
        <w:rPr>
          <w:rStyle w:val="VerbatimChar"/>
        </w:rPr>
        <w:t xml:space="preserve">→ direct deposit or account funding</w:t>
      </w:r>
      <w:r>
        <w:br/>
      </w:r>
      <w:r>
        <w:rPr>
          <w:rStyle w:val="VerbatimChar"/>
        </w:rPr>
        <w:t xml:space="preserve">→ engagement</w:t>
      </w:r>
      <w:r>
        <w:br/>
      </w:r>
      <w:r>
        <w:rPr>
          <w:rStyle w:val="VerbatimChar"/>
        </w:rPr>
        <w:t xml:space="preserve">→ additional products</w:t>
      </w:r>
      <w:r>
        <w:br/>
      </w:r>
      <w:r>
        <w:rPr>
          <w:rStyle w:val="VerbatimChar"/>
        </w:rPr>
        <w:t xml:space="preserve">→ interest or fee monetization</w:t>
      </w:r>
      <w:r>
        <w:br/>
      </w:r>
      <w:r>
        <w:rPr>
          <w:rStyle w:val="VerbatimChar"/>
        </w:rPr>
        <w:t xml:space="preserve">→ retention and referral</w:t>
      </w:r>
    </w:p>
    <w:p>
      <w:pPr>
        <w:pStyle w:val="FirstParagraph"/>
      </w:pPr>
      <w:r>
        <w:t xml:space="preserve">The initial product may be:</w:t>
      </w:r>
    </w:p>
    <w:p>
      <w:pPr>
        <w:pStyle w:val="Compact"/>
        <w:numPr>
          <w:ilvl w:val="0"/>
          <w:numId w:val="1012"/>
        </w:numPr>
      </w:pPr>
      <w:r>
        <w:t xml:space="preserve">SoFi Money.</w:t>
      </w:r>
    </w:p>
    <w:p>
      <w:pPr>
        <w:pStyle w:val="Compact"/>
        <w:numPr>
          <w:ilvl w:val="0"/>
          <w:numId w:val="1012"/>
        </w:numPr>
      </w:pPr>
      <w:r>
        <w:t xml:space="preserve">Relay.</w:t>
      </w:r>
    </w:p>
    <w:p>
      <w:pPr>
        <w:pStyle w:val="Compact"/>
        <w:numPr>
          <w:ilvl w:val="0"/>
          <w:numId w:val="1012"/>
        </w:numPr>
      </w:pPr>
      <w:r>
        <w:t xml:space="preserve">Invest.</w:t>
      </w:r>
    </w:p>
    <w:p>
      <w:pPr>
        <w:pStyle w:val="Compact"/>
        <w:numPr>
          <w:ilvl w:val="0"/>
          <w:numId w:val="1012"/>
        </w:numPr>
      </w:pPr>
      <w:r>
        <w:t xml:space="preserve">Credit card.</w:t>
      </w:r>
    </w:p>
    <w:p>
      <w:pPr>
        <w:pStyle w:val="Compact"/>
        <w:numPr>
          <w:ilvl w:val="0"/>
          <w:numId w:val="1012"/>
        </w:numPr>
      </w:pPr>
      <w:r>
        <w:t xml:space="preserve">Personal loan.</w:t>
      </w:r>
    </w:p>
    <w:p>
      <w:pPr>
        <w:pStyle w:val="Compact"/>
        <w:numPr>
          <w:ilvl w:val="0"/>
          <w:numId w:val="1012"/>
        </w:numPr>
      </w:pPr>
      <w:r>
        <w:t xml:space="preserve">Student loan.</w:t>
      </w:r>
    </w:p>
    <w:p>
      <w:pPr>
        <w:pStyle w:val="Compact"/>
        <w:numPr>
          <w:ilvl w:val="0"/>
          <w:numId w:val="1012"/>
        </w:numPr>
      </w:pPr>
      <w:r>
        <w:t xml:space="preserve">Home loan.</w:t>
      </w:r>
    </w:p>
    <w:p>
      <w:pPr>
        <w:pStyle w:val="Compact"/>
        <w:numPr>
          <w:ilvl w:val="0"/>
          <w:numId w:val="1012"/>
        </w:numPr>
      </w:pPr>
      <w:r>
        <w:t xml:space="preserve">Referred third-party product.</w:t>
      </w:r>
    </w:p>
    <w:p>
      <w:pPr>
        <w:pStyle w:val="FirstParagraph"/>
      </w:pPr>
      <w:r>
        <w:t xml:space="preserve">The strategic objective is to make the first product the beginning of a wider financial relationship.</w:t>
      </w:r>
    </w:p>
    <w:bookmarkEnd w:id="36"/>
    <w:bookmarkStart w:id="37" w:name="deposit-funded-lending"/>
    <w:p>
      <w:pPr>
        <w:pStyle w:val="Heading2"/>
      </w:pPr>
      <w:r>
        <w:t xml:space="preserve">5.2 Deposit-funded lending</w:t>
      </w:r>
    </w:p>
    <w:p>
      <w:pPr>
        <w:pStyle w:val="SourceCode"/>
      </w:pPr>
      <w:r>
        <w:rPr>
          <w:rStyle w:val="VerbatimChar"/>
        </w:rPr>
        <w:t xml:space="preserve">Member deposits</w:t>
      </w:r>
      <w:r>
        <w:br/>
      </w:r>
      <w:r>
        <w:rPr>
          <w:rStyle w:val="VerbatimChar"/>
        </w:rPr>
        <w:t xml:space="preserve">→ lower-cost bank funding</w:t>
      </w:r>
      <w:r>
        <w:br/>
      </w:r>
      <w:r>
        <w:rPr>
          <w:rStyle w:val="VerbatimChar"/>
        </w:rPr>
        <w:t xml:space="preserve">→ loan underwriting</w:t>
      </w:r>
      <w:r>
        <w:br/>
      </w:r>
      <w:r>
        <w:rPr>
          <w:rStyle w:val="VerbatimChar"/>
        </w:rPr>
        <w:t xml:space="preserve">→ origination</w:t>
      </w:r>
      <w:r>
        <w:br/>
      </w:r>
      <w:r>
        <w:rPr>
          <w:rStyle w:val="VerbatimChar"/>
        </w:rPr>
        <w:t xml:space="preserve">→ retain or distribute decision</w:t>
      </w:r>
      <w:r>
        <w:br/>
      </w:r>
      <w:r>
        <w:rPr>
          <w:rStyle w:val="VerbatimChar"/>
        </w:rPr>
        <w:t xml:space="preserve">→ interest income or fee income</w:t>
      </w:r>
      <w:r>
        <w:br/>
      </w:r>
      <w:r>
        <w:rPr>
          <w:rStyle w:val="VerbatimChar"/>
        </w:rPr>
        <w:t xml:space="preserve">→ servicing</w:t>
      </w:r>
      <w:r>
        <w:br/>
      </w:r>
      <w:r>
        <w:rPr>
          <w:rStyle w:val="VerbatimChar"/>
        </w:rPr>
        <w:t xml:space="preserve">→ repayment, delinquency or loss</w:t>
      </w:r>
      <w:r>
        <w:br/>
      </w:r>
      <w:r>
        <w:rPr>
          <w:rStyle w:val="VerbatimChar"/>
        </w:rPr>
        <w:t xml:space="preserve">→ capital recycling</w:t>
      </w:r>
    </w:p>
    <w:p>
      <w:pPr>
        <w:pStyle w:val="FirstParagraph"/>
      </w:pPr>
      <w:r>
        <w:t xml:space="preserve">SoFi can retain attractive loans on its balance sheet or transfer them through:</w:t>
      </w:r>
    </w:p>
    <w:p>
      <w:pPr>
        <w:pStyle w:val="Compact"/>
        <w:numPr>
          <w:ilvl w:val="0"/>
          <w:numId w:val="1013"/>
        </w:numPr>
      </w:pPr>
      <w:r>
        <w:t xml:space="preserve">Whole-loan sales.</w:t>
      </w:r>
    </w:p>
    <w:p>
      <w:pPr>
        <w:pStyle w:val="Compact"/>
        <w:numPr>
          <w:ilvl w:val="0"/>
          <w:numId w:val="1013"/>
        </w:numPr>
      </w:pPr>
      <w:r>
        <w:t xml:space="preserve">Securitizations.</w:t>
      </w:r>
    </w:p>
    <w:p>
      <w:pPr>
        <w:pStyle w:val="Compact"/>
        <w:numPr>
          <w:ilvl w:val="0"/>
          <w:numId w:val="1013"/>
        </w:numPr>
      </w:pPr>
      <w:r>
        <w:t xml:space="preserve">Loan Platform Business partners.</w:t>
      </w:r>
    </w:p>
    <w:p>
      <w:pPr>
        <w:pStyle w:val="Compact"/>
        <w:numPr>
          <w:ilvl w:val="0"/>
          <w:numId w:val="1013"/>
        </w:numPr>
      </w:pPr>
      <w:r>
        <w:t xml:space="preserve">Referrals.</w:t>
      </w:r>
    </w:p>
    <w:p>
      <w:pPr>
        <w:pStyle w:val="FirstParagraph"/>
      </w:pPr>
      <w:r>
        <w:t xml:space="preserve">This flexibility is important because balance-sheet lending and fee-based distribution produce different capital and risk profiles.</w:t>
      </w:r>
    </w:p>
    <w:bookmarkEnd w:id="37"/>
    <w:bookmarkStart w:id="38" w:name="loan-platform-business"/>
    <w:p>
      <w:pPr>
        <w:pStyle w:val="Heading2"/>
      </w:pPr>
      <w:r>
        <w:t xml:space="preserve">5.3 Loan Platform Business</w:t>
      </w:r>
    </w:p>
    <w:p>
      <w:pPr>
        <w:pStyle w:val="SourceCode"/>
      </w:pPr>
      <w:r>
        <w:rPr>
          <w:rStyle w:val="VerbatimChar"/>
        </w:rPr>
        <w:t xml:space="preserve">Institutional partner commitment</w:t>
      </w:r>
      <w:r>
        <w:br/>
      </w:r>
      <w:r>
        <w:rPr>
          <w:rStyle w:val="VerbatimChar"/>
        </w:rPr>
        <w:t xml:space="preserve">→ partner funding</w:t>
      </w:r>
      <w:r>
        <w:br/>
      </w:r>
      <w:r>
        <w:rPr>
          <w:rStyle w:val="VerbatimChar"/>
        </w:rPr>
        <w:t xml:space="preserve">→ SoFi underwriting and origination</w:t>
      </w:r>
      <w:r>
        <w:br/>
      </w:r>
      <w:r>
        <w:rPr>
          <w:rStyle w:val="VerbatimChar"/>
        </w:rPr>
        <w:t xml:space="preserve">→ loan transfer or sale</w:t>
      </w:r>
      <w:r>
        <w:br/>
      </w:r>
      <w:r>
        <w:rPr>
          <w:rStyle w:val="VerbatimChar"/>
        </w:rPr>
        <w:t xml:space="preserve">→ origination and platform fee</w:t>
      </w:r>
      <w:r>
        <w:br/>
      </w:r>
      <w:r>
        <w:rPr>
          <w:rStyle w:val="VerbatimChar"/>
        </w:rPr>
        <w:t xml:space="preserve">→ servicing income</w:t>
      </w:r>
      <w:r>
        <w:br/>
      </w:r>
      <w:r>
        <w:rPr>
          <w:rStyle w:val="VerbatimChar"/>
        </w:rPr>
        <w:t xml:space="preserve">→ partner reinvestment decision</w:t>
      </w:r>
    </w:p>
    <w:p>
      <w:pPr>
        <w:pStyle w:val="FirstParagraph"/>
      </w:pPr>
      <w:r>
        <w:t xml:space="preserve">In Q1 2026, SoFi originated approximately $3 billion of personal loans on behalf of third parties and generated approximately $140.8 million of Loan Platform Business revenue contribution.</w:t>
      </w:r>
    </w:p>
    <w:bookmarkEnd w:id="38"/>
    <w:bookmarkStart w:id="39" w:name="technology-solutions"/>
    <w:p>
      <w:pPr>
        <w:pStyle w:val="Heading2"/>
      </w:pPr>
      <w:r>
        <w:t xml:space="preserve">5.4 Technology Solutions</w:t>
      </w:r>
    </w:p>
    <w:p>
      <w:pPr>
        <w:pStyle w:val="SourceCode"/>
      </w:pPr>
      <w:r>
        <w:rPr>
          <w:rStyle w:val="VerbatimChar"/>
        </w:rPr>
        <w:t xml:space="preserve">Enterprise lead</w:t>
      </w:r>
      <w:r>
        <w:br/>
      </w:r>
      <w:r>
        <w:rPr>
          <w:rStyle w:val="VerbatimChar"/>
        </w:rPr>
        <w:t xml:space="preserve">→ technical and regulatory evaluation</w:t>
      </w:r>
      <w:r>
        <w:br/>
      </w:r>
      <w:r>
        <w:rPr>
          <w:rStyle w:val="VerbatimChar"/>
        </w:rPr>
        <w:t xml:space="preserve">→ contract</w:t>
      </w:r>
      <w:r>
        <w:br/>
      </w:r>
      <w:r>
        <w:rPr>
          <w:rStyle w:val="VerbatimChar"/>
        </w:rPr>
        <w:t xml:space="preserve">→ systems integration</w:t>
      </w:r>
      <w:r>
        <w:br/>
      </w:r>
      <w:r>
        <w:rPr>
          <w:rStyle w:val="VerbatimChar"/>
        </w:rPr>
        <w:t xml:space="preserve">→ migration</w:t>
      </w:r>
      <w:r>
        <w:br/>
      </w:r>
      <w:r>
        <w:rPr>
          <w:rStyle w:val="VerbatimChar"/>
        </w:rPr>
        <w:t xml:space="preserve">→ production accounts</w:t>
      </w:r>
      <w:r>
        <w:br/>
      </w:r>
      <w:r>
        <w:rPr>
          <w:rStyle w:val="VerbatimChar"/>
        </w:rPr>
        <w:t xml:space="preserve">→ recurring or transaction revenue</w:t>
      </w:r>
      <w:r>
        <w:br/>
      </w:r>
      <w:r>
        <w:rPr>
          <w:rStyle w:val="VerbatimChar"/>
        </w:rPr>
        <w:t xml:space="preserve">→ renewal and product expansion</w:t>
      </w:r>
    </w:p>
    <w:p>
      <w:pPr>
        <w:pStyle w:val="FirstParagraph"/>
      </w:pPr>
      <w:r>
        <w:t xml:space="preserve">The critical distinction is between:</w:t>
      </w:r>
    </w:p>
    <w:p>
      <w:pPr>
        <w:pStyle w:val="Compact"/>
        <w:numPr>
          <w:ilvl w:val="0"/>
          <w:numId w:val="1014"/>
        </w:numPr>
      </w:pPr>
      <w:r>
        <w:t xml:space="preserve">Contract announcements.</w:t>
      </w:r>
    </w:p>
    <w:p>
      <w:pPr>
        <w:pStyle w:val="Compact"/>
        <w:numPr>
          <w:ilvl w:val="0"/>
          <w:numId w:val="1014"/>
        </w:numPr>
      </w:pPr>
      <w:r>
        <w:t xml:space="preserve">Implementation.</w:t>
      </w:r>
    </w:p>
    <w:p>
      <w:pPr>
        <w:pStyle w:val="Compact"/>
        <w:numPr>
          <w:ilvl w:val="0"/>
          <w:numId w:val="1014"/>
        </w:numPr>
      </w:pPr>
      <w:r>
        <w:t xml:space="preserve">Production migration.</w:t>
      </w:r>
    </w:p>
    <w:p>
      <w:pPr>
        <w:pStyle w:val="Compact"/>
        <w:numPr>
          <w:ilvl w:val="0"/>
          <w:numId w:val="1014"/>
        </w:numPr>
      </w:pPr>
      <w:r>
        <w:t xml:space="preserve">Active accounts.</w:t>
      </w:r>
    </w:p>
    <w:p>
      <w:pPr>
        <w:pStyle w:val="Compact"/>
        <w:numPr>
          <w:ilvl w:val="0"/>
          <w:numId w:val="1014"/>
        </w:numPr>
      </w:pPr>
      <w:r>
        <w:t xml:space="preserve">Revenue.</w:t>
      </w:r>
    </w:p>
    <w:p>
      <w:pPr>
        <w:pStyle w:val="Compact"/>
        <w:numPr>
          <w:ilvl w:val="0"/>
          <w:numId w:val="1014"/>
        </w:numPr>
      </w:pPr>
      <w:r>
        <w:t xml:space="preserve">Cash collection.</w:t>
      </w:r>
    </w:p>
    <w:p>
      <w:pPr>
        <w:pStyle w:val="FirstParagraph"/>
      </w:pPr>
      <w:r>
        <w:t xml:space="preserve">Enterprise wins may require long integration periods before revenue becomes material.</w:t>
      </w:r>
    </w:p>
    <w:bookmarkEnd w:id="39"/>
    <w:bookmarkStart w:id="40" w:name="enterprise-banking-and-digital-assets"/>
    <w:p>
      <w:pPr>
        <w:pStyle w:val="Heading2"/>
      </w:pPr>
      <w:r>
        <w:t xml:space="preserve">5.5 Enterprise banking and digital assets</w:t>
      </w:r>
    </w:p>
    <w:p>
      <w:pPr>
        <w:pStyle w:val="SourceCode"/>
      </w:pPr>
      <w:r>
        <w:rPr>
          <w:rStyle w:val="VerbatimChar"/>
        </w:rPr>
        <w:t xml:space="preserve">Enterprise customer</w:t>
      </w:r>
      <w:r>
        <w:br/>
      </w:r>
      <w:r>
        <w:rPr>
          <w:rStyle w:val="VerbatimChar"/>
        </w:rPr>
        <w:t xml:space="preserve">→ regulated bank account</w:t>
      </w:r>
      <w:r>
        <w:br/>
      </w:r>
      <w:r>
        <w:rPr>
          <w:rStyle w:val="VerbatimChar"/>
        </w:rPr>
        <w:t xml:space="preserve">→ fiat deposits</w:t>
      </w:r>
      <w:r>
        <w:br/>
      </w:r>
      <w:r>
        <w:rPr>
          <w:rStyle w:val="VerbatimChar"/>
        </w:rPr>
        <w:t xml:space="preserve">→ 24/7 payment or settlement integration</w:t>
      </w:r>
      <w:r>
        <w:br/>
      </w:r>
      <w:r>
        <w:rPr>
          <w:rStyle w:val="VerbatimChar"/>
        </w:rPr>
        <w:t xml:space="preserve">→ stablecoin issuance and redemption</w:t>
      </w:r>
      <w:r>
        <w:br/>
      </w:r>
      <w:r>
        <w:rPr>
          <w:rStyle w:val="VerbatimChar"/>
        </w:rPr>
        <w:t xml:space="preserve">→ transaction and deposit economics</w:t>
      </w:r>
    </w:p>
    <w:p>
      <w:pPr>
        <w:pStyle w:val="FirstParagraph"/>
      </w:pPr>
      <w:r>
        <w:t xml:space="preserve">SoFi launched Big Business Banking in April 2026 and has made SoFiUSD available through its banking platform.</w:t>
      </w:r>
    </w:p>
    <w:p>
      <w:pPr>
        <w:pStyle w:val="BodyText"/>
      </w:pPr>
      <w:r>
        <w:t xml:space="preserve">These launches extend SoFi’s regulated infrastructure into enterprise deposits, payments and digital-asset settlement. However, material revenue or adoption metrics have not yet been disclosed, so these businesses remain speculative options rather than core base-case value.</w:t>
      </w:r>
    </w:p>
    <w:p>
      <w:r>
        <w:pict>
          <v:rect style="width:0;height:1.5pt" o:hralign="center" o:hrstd="t" o:hr="t"/>
        </w:pict>
      </w:r>
    </w:p>
    <w:bookmarkEnd w:id="40"/>
    <w:bookmarkEnd w:id="41"/>
    <w:bookmarkStart w:id="45" w:name="customer-decision-process"/>
    <w:p>
      <w:pPr>
        <w:pStyle w:val="Heading1"/>
      </w:pPr>
      <w:r>
        <w:t xml:space="preserve">6. Customer decision process</w:t>
      </w:r>
    </w:p>
    <w:bookmarkStart w:id="42" w:name="consumer-members"/>
    <w:p>
      <w:pPr>
        <w:pStyle w:val="Heading2"/>
      </w:pPr>
      <w:r>
        <w:t xml:space="preserve">6.1 Consumer members</w:t>
      </w:r>
    </w:p>
    <w:p>
      <w:pPr>
        <w:pStyle w:val="FirstParagraph"/>
      </w:pPr>
      <w:r>
        <w:t xml:space="preserve">Consumers choose SoFi based on:</w:t>
      </w:r>
    </w:p>
    <w:p>
      <w:pPr>
        <w:pStyle w:val="Compact"/>
        <w:numPr>
          <w:ilvl w:val="0"/>
          <w:numId w:val="1015"/>
        </w:numPr>
      </w:pPr>
      <w:r>
        <w:t xml:space="preserve">Deposit rates.</w:t>
      </w:r>
    </w:p>
    <w:p>
      <w:pPr>
        <w:pStyle w:val="Compact"/>
        <w:numPr>
          <w:ilvl w:val="0"/>
          <w:numId w:val="1015"/>
        </w:numPr>
      </w:pPr>
      <w:r>
        <w:t xml:space="preserve">Loan pricing.</w:t>
      </w:r>
    </w:p>
    <w:p>
      <w:pPr>
        <w:pStyle w:val="Compact"/>
        <w:numPr>
          <w:ilvl w:val="0"/>
          <w:numId w:val="1015"/>
        </w:numPr>
      </w:pPr>
      <w:r>
        <w:t xml:space="preserve">User experience.</w:t>
      </w:r>
    </w:p>
    <w:p>
      <w:pPr>
        <w:pStyle w:val="Compact"/>
        <w:numPr>
          <w:ilvl w:val="0"/>
          <w:numId w:val="1015"/>
        </w:numPr>
      </w:pPr>
      <w:r>
        <w:t xml:space="preserve">Product convenience.</w:t>
      </w:r>
    </w:p>
    <w:p>
      <w:pPr>
        <w:pStyle w:val="Compact"/>
        <w:numPr>
          <w:ilvl w:val="0"/>
          <w:numId w:val="1015"/>
        </w:numPr>
      </w:pPr>
      <w:r>
        <w:t xml:space="preserve">Rewards.</w:t>
      </w:r>
    </w:p>
    <w:p>
      <w:pPr>
        <w:pStyle w:val="Compact"/>
        <w:numPr>
          <w:ilvl w:val="0"/>
          <w:numId w:val="1015"/>
        </w:numPr>
      </w:pPr>
      <w:r>
        <w:t xml:space="preserve">Integrated financial visibility.</w:t>
      </w:r>
    </w:p>
    <w:p>
      <w:pPr>
        <w:pStyle w:val="Compact"/>
        <w:numPr>
          <w:ilvl w:val="0"/>
          <w:numId w:val="1015"/>
        </w:numPr>
      </w:pPr>
      <w:r>
        <w:t xml:space="preserve">Brand trust.</w:t>
      </w:r>
    </w:p>
    <w:p>
      <w:pPr>
        <w:pStyle w:val="Compact"/>
        <w:numPr>
          <w:ilvl w:val="0"/>
          <w:numId w:val="1015"/>
        </w:numPr>
      </w:pPr>
      <w:r>
        <w:t xml:space="preserve">Speed of approval.</w:t>
      </w:r>
    </w:p>
    <w:p>
      <w:pPr>
        <w:pStyle w:val="Compact"/>
        <w:numPr>
          <w:ilvl w:val="0"/>
          <w:numId w:val="1015"/>
        </w:numPr>
      </w:pPr>
      <w:r>
        <w:t xml:space="preserve">Relationship benefits.</w:t>
      </w:r>
    </w:p>
    <w:p>
      <w:pPr>
        <w:pStyle w:val="FirstParagraph"/>
      </w:pPr>
      <w:r>
        <w:t xml:space="preserve">The main alternatives are:</w:t>
      </w:r>
    </w:p>
    <w:p>
      <w:pPr>
        <w:pStyle w:val="Compact"/>
        <w:numPr>
          <w:ilvl w:val="0"/>
          <w:numId w:val="1016"/>
        </w:numPr>
      </w:pPr>
      <w:r>
        <w:t xml:space="preserve">Traditional banks.</w:t>
      </w:r>
    </w:p>
    <w:p>
      <w:pPr>
        <w:pStyle w:val="Compact"/>
        <w:numPr>
          <w:ilvl w:val="0"/>
          <w:numId w:val="1016"/>
        </w:numPr>
      </w:pPr>
      <w:r>
        <w:t xml:space="preserve">Digital banks.</w:t>
      </w:r>
    </w:p>
    <w:p>
      <w:pPr>
        <w:pStyle w:val="Compact"/>
        <w:numPr>
          <w:ilvl w:val="0"/>
          <w:numId w:val="1016"/>
        </w:numPr>
      </w:pPr>
      <w:r>
        <w:t xml:space="preserve">Brokerage platforms.</w:t>
      </w:r>
    </w:p>
    <w:p>
      <w:pPr>
        <w:pStyle w:val="Compact"/>
        <w:numPr>
          <w:ilvl w:val="0"/>
          <w:numId w:val="1016"/>
        </w:numPr>
      </w:pPr>
      <w:r>
        <w:t xml:space="preserve">Specialist lenders.</w:t>
      </w:r>
    </w:p>
    <w:p>
      <w:pPr>
        <w:pStyle w:val="Compact"/>
        <w:numPr>
          <w:ilvl w:val="0"/>
          <w:numId w:val="1016"/>
        </w:numPr>
      </w:pPr>
      <w:r>
        <w:t xml:space="preserve">Credit unions.</w:t>
      </w:r>
    </w:p>
    <w:p>
      <w:pPr>
        <w:pStyle w:val="Compact"/>
        <w:numPr>
          <w:ilvl w:val="0"/>
          <w:numId w:val="1016"/>
        </w:numPr>
      </w:pPr>
      <w:r>
        <w:t xml:space="preserve">Standalone financial applications.</w:t>
      </w:r>
    </w:p>
    <w:p>
      <w:pPr>
        <w:pStyle w:val="FirstParagraph"/>
      </w:pPr>
      <w:r>
        <w:t xml:space="preserve">Consumers can multi-home easily. The switching cost is therefore mostly behavioral rather than contractual.</w:t>
      </w:r>
    </w:p>
    <w:bookmarkEnd w:id="42"/>
    <w:bookmarkStart w:id="43" w:name="loan-platform-partners"/>
    <w:p>
      <w:pPr>
        <w:pStyle w:val="Heading2"/>
      </w:pPr>
      <w:r>
        <w:t xml:space="preserve">6.2 Loan Platform partners</w:t>
      </w:r>
    </w:p>
    <w:p>
      <w:pPr>
        <w:pStyle w:val="FirstParagraph"/>
      </w:pPr>
      <w:r>
        <w:t xml:space="preserve">Institutional partners evaluate:</w:t>
      </w:r>
    </w:p>
    <w:p>
      <w:pPr>
        <w:pStyle w:val="SourceCode"/>
      </w:pPr>
      <w:r>
        <w:rPr>
          <w:rStyle w:val="VerbatimChar"/>
        </w:rPr>
        <w:t xml:space="preserve">Expected loan yield</w:t>
      </w:r>
      <w:r>
        <w:br/>
      </w:r>
      <w:r>
        <w:rPr>
          <w:rStyle w:val="VerbatimChar"/>
        </w:rPr>
        <w:t xml:space="preserve">− cost of funding</w:t>
      </w:r>
      <w:r>
        <w:br/>
      </w:r>
      <w:r>
        <w:rPr>
          <w:rStyle w:val="VerbatimChar"/>
        </w:rPr>
        <w:t xml:space="preserve">− expected credit losses</w:t>
      </w:r>
      <w:r>
        <w:br/>
      </w:r>
      <w:r>
        <w:rPr>
          <w:rStyle w:val="VerbatimChar"/>
        </w:rPr>
        <w:t xml:space="preserve">− platform and servicing fees</w:t>
      </w:r>
      <w:r>
        <w:br/>
      </w:r>
      <w:r>
        <w:rPr>
          <w:rStyle w:val="VerbatimChar"/>
        </w:rPr>
        <w:t xml:space="preserve">− capital requirement</w:t>
      </w:r>
      <w:r>
        <w:br/>
      </w:r>
      <w:r>
        <w:rPr>
          <w:rStyle w:val="VerbatimChar"/>
        </w:rPr>
        <w:t xml:space="preserve">= risk-adjusted partner return</w:t>
      </w:r>
    </w:p>
    <w:p>
      <w:pPr>
        <w:pStyle w:val="FirstParagraph"/>
      </w:pPr>
      <w:r>
        <w:t xml:space="preserve">Partners expand commitments when:</w:t>
      </w:r>
    </w:p>
    <w:p>
      <w:pPr>
        <w:pStyle w:val="Compact"/>
        <w:numPr>
          <w:ilvl w:val="0"/>
          <w:numId w:val="1017"/>
        </w:numPr>
      </w:pPr>
      <w:r>
        <w:t xml:space="preserve">Loan performance remains acceptable.</w:t>
      </w:r>
    </w:p>
    <w:p>
      <w:pPr>
        <w:pStyle w:val="Compact"/>
        <w:numPr>
          <w:ilvl w:val="0"/>
          <w:numId w:val="1017"/>
        </w:numPr>
      </w:pPr>
      <w:r>
        <w:t xml:space="preserve">Securitization markets remain liquid.</w:t>
      </w:r>
    </w:p>
    <w:p>
      <w:pPr>
        <w:pStyle w:val="Compact"/>
        <w:numPr>
          <w:ilvl w:val="0"/>
          <w:numId w:val="1017"/>
        </w:numPr>
      </w:pPr>
      <w:r>
        <w:t xml:space="preserve">SoFi loans provide attractive yields.</w:t>
      </w:r>
    </w:p>
    <w:p>
      <w:pPr>
        <w:pStyle w:val="Compact"/>
        <w:numPr>
          <w:ilvl w:val="0"/>
          <w:numId w:val="1017"/>
        </w:numPr>
      </w:pPr>
      <w:r>
        <w:t xml:space="preserve">The underwriting model remains credible.</w:t>
      </w:r>
    </w:p>
    <w:p>
      <w:pPr>
        <w:pStyle w:val="Compact"/>
        <w:numPr>
          <w:ilvl w:val="0"/>
          <w:numId w:val="1017"/>
        </w:numPr>
      </w:pPr>
      <w:r>
        <w:t xml:space="preserve">Alternative credit opportunities are less attractive.</w:t>
      </w:r>
    </w:p>
    <w:p>
      <w:pPr>
        <w:pStyle w:val="FirstParagraph"/>
      </w:pPr>
      <w:r>
        <w:t xml:space="preserve">Partners reduce commitments when:</w:t>
      </w:r>
    </w:p>
    <w:p>
      <w:pPr>
        <w:pStyle w:val="Compact"/>
        <w:numPr>
          <w:ilvl w:val="0"/>
          <w:numId w:val="1018"/>
        </w:numPr>
      </w:pPr>
      <w:r>
        <w:t xml:space="preserve">Loss expectations rise.</w:t>
      </w:r>
    </w:p>
    <w:p>
      <w:pPr>
        <w:pStyle w:val="Compact"/>
        <w:numPr>
          <w:ilvl w:val="0"/>
          <w:numId w:val="1018"/>
        </w:numPr>
      </w:pPr>
      <w:r>
        <w:t xml:space="preserve">Funding costs increase.</w:t>
      </w:r>
    </w:p>
    <w:p>
      <w:pPr>
        <w:pStyle w:val="Compact"/>
        <w:numPr>
          <w:ilvl w:val="0"/>
          <w:numId w:val="1018"/>
        </w:numPr>
      </w:pPr>
      <w:r>
        <w:t xml:space="preserve">Loan prices fall.</w:t>
      </w:r>
    </w:p>
    <w:p>
      <w:pPr>
        <w:pStyle w:val="Compact"/>
        <w:numPr>
          <w:ilvl w:val="0"/>
          <w:numId w:val="1018"/>
        </w:numPr>
      </w:pPr>
      <w:r>
        <w:t xml:space="preserve">Internal underwriting becomes more attractive.</w:t>
      </w:r>
    </w:p>
    <w:p>
      <w:pPr>
        <w:pStyle w:val="Compact"/>
        <w:numPr>
          <w:ilvl w:val="0"/>
          <w:numId w:val="1018"/>
        </w:numPr>
      </w:pPr>
      <w:r>
        <w:t xml:space="preserve">Regulatory capital becomes scarce.</w:t>
      </w:r>
    </w:p>
    <w:bookmarkEnd w:id="43"/>
    <w:bookmarkStart w:id="44" w:name="technology-customers"/>
    <w:p>
      <w:pPr>
        <w:pStyle w:val="Heading2"/>
      </w:pPr>
      <w:r>
        <w:t xml:space="preserve">6.3 Technology customers</w:t>
      </w:r>
    </w:p>
    <w:p>
      <w:pPr>
        <w:pStyle w:val="FirstParagraph"/>
      </w:pPr>
      <w:r>
        <w:t xml:space="preserve">Technology customers evaluate:</w:t>
      </w:r>
    </w:p>
    <w:p>
      <w:pPr>
        <w:pStyle w:val="Compact"/>
        <w:numPr>
          <w:ilvl w:val="0"/>
          <w:numId w:val="1019"/>
        </w:numPr>
      </w:pPr>
      <w:r>
        <w:t xml:space="preserve">Migration cost.</w:t>
      </w:r>
    </w:p>
    <w:p>
      <w:pPr>
        <w:pStyle w:val="Compact"/>
        <w:numPr>
          <w:ilvl w:val="0"/>
          <w:numId w:val="1019"/>
        </w:numPr>
      </w:pPr>
      <w:r>
        <w:t xml:space="preserve">Integration speed.</w:t>
      </w:r>
    </w:p>
    <w:p>
      <w:pPr>
        <w:pStyle w:val="Compact"/>
        <w:numPr>
          <w:ilvl w:val="0"/>
          <w:numId w:val="1019"/>
        </w:numPr>
      </w:pPr>
      <w:r>
        <w:t xml:space="preserve">Product flexibility.</w:t>
      </w:r>
    </w:p>
    <w:p>
      <w:pPr>
        <w:pStyle w:val="Compact"/>
        <w:numPr>
          <w:ilvl w:val="0"/>
          <w:numId w:val="1019"/>
        </w:numPr>
      </w:pPr>
      <w:r>
        <w:t xml:space="preserve">Reliability.</w:t>
      </w:r>
    </w:p>
    <w:p>
      <w:pPr>
        <w:pStyle w:val="Compact"/>
        <w:numPr>
          <w:ilvl w:val="0"/>
          <w:numId w:val="1019"/>
        </w:numPr>
      </w:pPr>
      <w:r>
        <w:t xml:space="preserve">Compliance.</w:t>
      </w:r>
    </w:p>
    <w:p>
      <w:pPr>
        <w:pStyle w:val="Compact"/>
        <w:numPr>
          <w:ilvl w:val="0"/>
          <w:numId w:val="1019"/>
        </w:numPr>
      </w:pPr>
      <w:r>
        <w:t xml:space="preserve">Scalability.</w:t>
      </w:r>
    </w:p>
    <w:p>
      <w:pPr>
        <w:pStyle w:val="Compact"/>
        <w:numPr>
          <w:ilvl w:val="0"/>
          <w:numId w:val="1019"/>
        </w:numPr>
      </w:pPr>
      <w:r>
        <w:t xml:space="preserve">Total ownership cost.</w:t>
      </w:r>
    </w:p>
    <w:p>
      <w:pPr>
        <w:pStyle w:val="Compact"/>
        <w:numPr>
          <w:ilvl w:val="0"/>
          <w:numId w:val="1019"/>
        </w:numPr>
      </w:pPr>
      <w:r>
        <w:t xml:space="preserve">Vendor concentration.</w:t>
      </w:r>
    </w:p>
    <w:p>
      <w:pPr>
        <w:pStyle w:val="Compact"/>
        <w:numPr>
          <w:ilvl w:val="0"/>
          <w:numId w:val="1019"/>
        </w:numPr>
      </w:pPr>
      <w:r>
        <w:t xml:space="preserve">Ability to avoid legacy technical debt.</w:t>
      </w:r>
    </w:p>
    <w:p>
      <w:pPr>
        <w:pStyle w:val="FirstParagraph"/>
      </w:pPr>
      <w:r>
        <w:t xml:space="preserve">Once fully deployed, switching costs may be meaningful. The large-client departure proves that these costs are not insurmountable.</w:t>
      </w:r>
    </w:p>
    <w:p>
      <w:r>
        <w:pict>
          <v:rect style="width:0;height:1.5pt" o:hralign="center" o:hrstd="t" o:hr="t"/>
        </w:pict>
      </w:r>
    </w:p>
    <w:bookmarkEnd w:id="44"/>
    <w:bookmarkEnd w:id="45"/>
    <w:bookmarkStart w:id="46" w:name="operational-bottlenecks"/>
    <w:p>
      <w:pPr>
        <w:pStyle w:val="Heading1"/>
      </w:pPr>
      <w:r>
        <w:t xml:space="preserve">7. Operational bottlenecks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Business</w:t>
            </w:r>
          </w:p>
        </w:tc>
        <w:tc>
          <w:tcPr/>
          <w:p>
            <w:pPr>
              <w:pStyle w:val="Compact"/>
            </w:pPr>
            <w:r>
              <w:t xml:space="preserve">Binding or likely bottleneck</w:t>
            </w:r>
          </w:p>
        </w:tc>
      </w:tr>
      <w:tr>
        <w:tc>
          <w:tcPr/>
          <w:p>
            <w:pPr>
              <w:pStyle w:val="Compact"/>
            </w:pPr>
            <w:r>
              <w:t xml:space="preserve">Consumer acquisition</w:t>
            </w:r>
          </w:p>
        </w:tc>
        <w:tc>
          <w:tcPr/>
          <w:p>
            <w:pPr>
              <w:pStyle w:val="Compact"/>
            </w:pPr>
            <w:r>
              <w:t xml:space="preserve">Marketing efficiency and brand differentiation</w:t>
            </w:r>
          </w:p>
        </w:tc>
      </w:tr>
      <w:tr>
        <w:tc>
          <w:tcPr/>
          <w:p>
            <w:pPr>
              <w:pStyle w:val="Compact"/>
            </w:pPr>
            <w:r>
              <w:t xml:space="preserve">Deposits</w:t>
            </w:r>
          </w:p>
        </w:tc>
        <w:tc>
          <w:tcPr/>
          <w:p>
            <w:pPr>
              <w:pStyle w:val="Compact"/>
            </w:pPr>
            <w:r>
              <w:t xml:space="preserve">Rate competitiveness and member engagement</w:t>
            </w:r>
          </w:p>
        </w:tc>
      </w:tr>
      <w:tr>
        <w:tc>
          <w:tcPr/>
          <w:p>
            <w:pPr>
              <w:pStyle w:val="Compact"/>
            </w:pPr>
            <w:r>
              <w:t xml:space="preserve">Retained lending</w:t>
            </w:r>
          </w:p>
        </w:tc>
        <w:tc>
          <w:tcPr/>
          <w:p>
            <w:pPr>
              <w:pStyle w:val="Compact"/>
            </w:pPr>
            <w:r>
              <w:t xml:space="preserve">Credit risk, capital and balance-sheet capacity</w:t>
            </w:r>
          </w:p>
        </w:tc>
      </w:tr>
      <w:tr>
        <w:tc>
          <w:tcPr/>
          <w:p>
            <w:pPr>
              <w:pStyle w:val="Compact"/>
            </w:pPr>
            <w:r>
              <w:t xml:space="preserve">Loan Platform Business</w:t>
            </w:r>
          </w:p>
        </w:tc>
        <w:tc>
          <w:tcPr/>
          <w:p>
            <w:pPr>
              <w:pStyle w:val="Compact"/>
            </w:pPr>
            <w:r>
              <w:t xml:space="preserve">Partner demand and risk-adjusted loan economics</w:t>
            </w:r>
          </w:p>
        </w:tc>
      </w:tr>
      <w:tr>
        <w:tc>
          <w:tcPr/>
          <w:p>
            <w:pPr>
              <w:pStyle w:val="Compact"/>
            </w:pPr>
            <w:r>
              <w:t xml:space="preserve">Financial Services</w:t>
            </w:r>
          </w:p>
        </w:tc>
        <w:tc>
          <w:tcPr/>
          <w:p>
            <w:pPr>
              <w:pStyle w:val="Compact"/>
            </w:pPr>
            <w:r>
              <w:t xml:space="preserve">Active usage and revenue per member</w:t>
            </w:r>
          </w:p>
        </w:tc>
      </w:tr>
      <w:tr>
        <w:tc>
          <w:tcPr/>
          <w:p>
            <w:pPr>
              <w:pStyle w:val="Compact"/>
            </w:pPr>
            <w:r>
              <w:t xml:space="preserve">Technology Solutions</w:t>
            </w:r>
          </w:p>
        </w:tc>
        <w:tc>
          <w:tcPr/>
          <w:p>
            <w:pPr>
              <w:pStyle w:val="Compact"/>
            </w:pPr>
            <w:r>
              <w:t xml:space="preserve">Enterprise migration, retention and sales execution</w:t>
            </w:r>
          </w:p>
        </w:tc>
      </w:tr>
      <w:tr>
        <w:tc>
          <w:tcPr/>
          <w:p>
            <w:pPr>
              <w:pStyle w:val="Compact"/>
            </w:pPr>
            <w:r>
              <w:t xml:space="preserve">Business banking</w:t>
            </w:r>
          </w:p>
        </w:tc>
        <w:tc>
          <w:tcPr/>
          <w:p>
            <w:pPr>
              <w:pStyle w:val="Compact"/>
            </w:pPr>
            <w:r>
              <w:t xml:space="preserve">Enterprise adoption and integration</w:t>
            </w:r>
          </w:p>
        </w:tc>
      </w:tr>
      <w:tr>
        <w:tc>
          <w:tcPr/>
          <w:p>
            <w:pPr>
              <w:pStyle w:val="Compact"/>
            </w:pPr>
            <w:r>
              <w:t xml:space="preserve">SoFiUSD</w:t>
            </w:r>
          </w:p>
        </w:tc>
        <w:tc>
          <w:tcPr/>
          <w:p>
            <w:pPr>
              <w:pStyle w:val="Compact"/>
            </w:pPr>
            <w:r>
              <w:t xml:space="preserve">Regulation, liquidity, utility and distribution</w:t>
            </w:r>
          </w:p>
        </w:tc>
      </w:tr>
    </w:tbl>
    <w:p>
      <w:pPr>
        <w:pStyle w:val="BodyText"/>
      </w:pPr>
      <w:r>
        <w:t xml:space="preserve">The overall company is not currently constrained by a lack of customer demand.</w:t>
      </w:r>
    </w:p>
    <w:p>
      <w:pPr>
        <w:pStyle w:val="BodyText"/>
      </w:pPr>
      <w:r>
        <w:t xml:space="preserve">The most important financial bottleneck is:</w:t>
      </w:r>
    </w:p>
    <w:p>
      <w:pPr>
        <w:pStyle w:val="BlockText"/>
      </w:pPr>
      <w:r>
        <w:t xml:space="preserve">Maintaining attractive credit-adjusted loan economics while growing originations.</w:t>
      </w:r>
    </w:p>
    <w:p>
      <w:pPr>
        <w:pStyle w:val="FirstParagraph"/>
      </w:pPr>
      <w:r>
        <w:t xml:space="preserve">The most important execution bottleneck is:</w:t>
      </w:r>
    </w:p>
    <w:p>
      <w:pPr>
        <w:pStyle w:val="BlockText"/>
      </w:pPr>
      <w:r>
        <w:t xml:space="preserve">Turning Technology Solutions contracts and products into durable recurring revenue.</w:t>
      </w:r>
    </w:p>
    <w:p>
      <w:r>
        <w:pict>
          <v:rect style="width:0;height:1.5pt" o:hralign="center" o:hrstd="t" o:hr="t"/>
        </w:pict>
      </w:r>
    </w:p>
    <w:bookmarkEnd w:id="46"/>
    <w:bookmarkStart w:id="50" w:name="funding-credit-and-capital"/>
    <w:p>
      <w:pPr>
        <w:pStyle w:val="Heading1"/>
      </w:pPr>
      <w:r>
        <w:t xml:space="preserve">8. Funding, credit and capital</w:t>
      </w:r>
    </w:p>
    <w:bookmarkStart w:id="47" w:name="deposit-advantage"/>
    <w:p>
      <w:pPr>
        <w:pStyle w:val="Heading2"/>
      </w:pPr>
      <w:r>
        <w:t xml:space="preserve">8.1 Deposit advantage</w:t>
      </w:r>
    </w:p>
    <w:p>
      <w:pPr>
        <w:pStyle w:val="FirstParagraph"/>
      </w:pPr>
      <w:r>
        <w:t xml:space="preserve">Q1 2026 deposits reached approximately $40.2 billion.</w:t>
      </w:r>
    </w:p>
    <w:p>
      <w:pPr>
        <w:pStyle w:val="BodyText"/>
      </w:pPr>
      <w:r>
        <w:t xml:space="preserve">Average deposits represented more than 90% of average liabilities. SoFi estimated that its deposit rate was approximately 155 basis points below its warehouse-facility rate, producing approximately $622 million of annualized interest savings.</w:t>
      </w:r>
    </w:p>
    <w:p>
      <w:pPr>
        <w:pStyle w:val="BodyText"/>
      </w:pPr>
      <w:r>
        <w:t xml:space="preserve">Net interest margin reached approximately 5.94%.</w:t>
      </w:r>
    </w:p>
    <w:p>
      <w:pPr>
        <w:pStyle w:val="BodyText"/>
      </w:pPr>
      <w:r>
        <w:t xml:space="preserve">This is SoFi’s strongest proven structural advantage.</w:t>
      </w:r>
    </w:p>
    <w:bookmarkEnd w:id="47"/>
    <w:bookmarkStart w:id="48" w:name="credit-performance"/>
    <w:p>
      <w:pPr>
        <w:pStyle w:val="Heading2"/>
      </w:pPr>
      <w:r>
        <w:t xml:space="preserve">8.2 Credit performance</w:t>
      </w:r>
    </w:p>
    <w:p>
      <w:pPr>
        <w:pStyle w:val="FirstParagraph"/>
      </w:pPr>
      <w:r>
        <w:t xml:space="preserve">Q1 2026 annualized net charge-off rates were approximately: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Loan category</w:t>
            </w:r>
          </w:p>
        </w:tc>
        <w:tc>
          <w:tcPr/>
          <w:p>
            <w:pPr>
              <w:pStyle w:val="Compact"/>
              <w:jc w:val="right"/>
            </w:pPr>
            <w:r>
              <w:t xml:space="preserve">Charge-off rate</w:t>
            </w:r>
          </w:p>
        </w:tc>
      </w:tr>
      <w:tr>
        <w:tc>
          <w:tcPr/>
          <w:p>
            <w:pPr>
              <w:pStyle w:val="Compact"/>
            </w:pPr>
            <w:r>
              <w:t xml:space="preserve">Personal loans</w:t>
            </w:r>
          </w:p>
        </w:tc>
        <w:tc>
          <w:tcPr/>
          <w:p>
            <w:pPr>
              <w:pStyle w:val="Compact"/>
              <w:jc w:val="right"/>
            </w:pPr>
            <w:r>
              <w:t xml:space="preserve">3.03%</w:t>
            </w:r>
          </w:p>
        </w:tc>
      </w:tr>
      <w:tr>
        <w:tc>
          <w:tcPr/>
          <w:p>
            <w:pPr>
              <w:pStyle w:val="Compact"/>
            </w:pPr>
            <w:r>
              <w:t xml:space="preserve">Student loans</w:t>
            </w:r>
          </w:p>
        </w:tc>
        <w:tc>
          <w:tcPr/>
          <w:p>
            <w:pPr>
              <w:pStyle w:val="Compact"/>
              <w:jc w:val="right"/>
            </w:pPr>
            <w:r>
              <w:t xml:space="preserve">0.65%</w:t>
            </w:r>
          </w:p>
        </w:tc>
      </w:tr>
      <w:tr>
        <w:tc>
          <w:tcPr/>
          <w:p>
            <w:pPr>
              <w:pStyle w:val="Compact"/>
            </w:pPr>
            <w:r>
              <w:t xml:space="preserve">Credit cards</w:t>
            </w:r>
          </w:p>
        </w:tc>
        <w:tc>
          <w:tcPr/>
          <w:p>
            <w:pPr>
              <w:pStyle w:val="Compact"/>
              <w:jc w:val="right"/>
            </w:pPr>
            <w:r>
              <w:t xml:space="preserve">6.68%</w:t>
            </w:r>
          </w:p>
        </w:tc>
      </w:tr>
      <w:tr>
        <w:tc>
          <w:tcPr/>
          <w:p>
            <w:pPr>
              <w:pStyle w:val="Compact"/>
            </w:pPr>
            <w:r>
              <w:t xml:space="preserve">Total loans</w:t>
            </w:r>
          </w:p>
        </w:tc>
        <w:tc>
          <w:tcPr/>
          <w:p>
            <w:pPr>
              <w:pStyle w:val="Compact"/>
              <w:jc w:val="right"/>
            </w:pPr>
            <w:r>
              <w:t xml:space="preserve">2.04%</w:t>
            </w:r>
          </w:p>
        </w:tc>
      </w:tr>
    </w:tbl>
    <w:p>
      <w:pPr>
        <w:pStyle w:val="BodyText"/>
      </w:pPr>
      <w:r>
        <w:t xml:space="preserve">Because SoFi sells late-stage delinquent personal loans, management also estimates an all-in personal-loan charge-off rate.</w:t>
      </w:r>
    </w:p>
    <w:p>
      <w:pPr>
        <w:pStyle w:val="BodyText"/>
      </w:pPr>
      <w:r>
        <w:t xml:space="preserve">That measure was approximately</w:t>
      </w:r>
      <w:r>
        <w:t xml:space="preserve"> </w:t>
      </w:r>
      <w:r>
        <w:rPr>
          <w:b/>
          <w:bCs/>
        </w:rPr>
        <w:t xml:space="preserve">4.4%</w:t>
      </w:r>
      <w:r>
        <w:t xml:space="preserve"> </w:t>
      </w:r>
      <w:r>
        <w:t xml:space="preserve">in Q1 2026.</w:t>
      </w:r>
    </w:p>
    <w:p>
      <w:pPr>
        <w:pStyle w:val="BodyText"/>
      </w:pPr>
      <w:r>
        <w:t xml:space="preserve">Management continues to target maximum cumulative personal-loan losses of approximately 7–8%.</w:t>
      </w:r>
    </w:p>
    <w:p>
      <w:pPr>
        <w:pStyle w:val="BodyText"/>
      </w:pPr>
      <w:r>
        <w:t xml:space="preserve">The all-in loss measure is more conservative and more useful than the reported 3.03% charge-off rate for monitoring economic credit performance.</w:t>
      </w:r>
    </w:p>
    <w:bookmarkEnd w:id="48"/>
    <w:bookmarkStart w:id="49" w:name="regulatory-capital"/>
    <w:p>
      <w:pPr>
        <w:pStyle w:val="Heading2"/>
      </w:pPr>
      <w:r>
        <w:t xml:space="preserve">8.3 Regulatory capital</w:t>
      </w:r>
    </w:p>
    <w:p>
      <w:pPr>
        <w:pStyle w:val="FirstParagraph"/>
      </w:pPr>
      <w:r>
        <w:t xml:space="preserve">At March 31, 2026:</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Capital measure</w:t>
            </w:r>
          </w:p>
        </w:tc>
        <w:tc>
          <w:tcPr/>
          <w:p>
            <w:pPr>
              <w:pStyle w:val="Compact"/>
              <w:jc w:val="right"/>
            </w:pPr>
            <w:r>
              <w:t xml:space="preserve">Ratio</w:t>
            </w:r>
          </w:p>
        </w:tc>
      </w:tr>
      <w:tr>
        <w:tc>
          <w:tcPr/>
          <w:p>
            <w:pPr>
              <w:pStyle w:val="Compact"/>
            </w:pPr>
            <w:r>
              <w:t xml:space="preserve">CET1 risk-based capital</w:t>
            </w:r>
          </w:p>
        </w:tc>
        <w:tc>
          <w:tcPr/>
          <w:p>
            <w:pPr>
              <w:pStyle w:val="Compact"/>
              <w:jc w:val="right"/>
            </w:pPr>
            <w:r>
              <w:t xml:space="preserve">21.1%</w:t>
            </w:r>
          </w:p>
        </w:tc>
      </w:tr>
      <w:tr>
        <w:tc>
          <w:tcPr/>
          <w:p>
            <w:pPr>
              <w:pStyle w:val="Compact"/>
            </w:pPr>
            <w:r>
              <w:t xml:space="preserve">Tier 1 risk-based capital</w:t>
            </w:r>
          </w:p>
        </w:tc>
        <w:tc>
          <w:tcPr/>
          <w:p>
            <w:pPr>
              <w:pStyle w:val="Compact"/>
              <w:jc w:val="right"/>
            </w:pPr>
            <w:r>
              <w:t xml:space="preserve">21.1%</w:t>
            </w:r>
          </w:p>
        </w:tc>
      </w:tr>
      <w:tr>
        <w:tc>
          <w:tcPr/>
          <w:p>
            <w:pPr>
              <w:pStyle w:val="Compact"/>
            </w:pPr>
            <w:r>
              <w:t xml:space="preserve">Total risk-based capital</w:t>
            </w:r>
          </w:p>
        </w:tc>
        <w:tc>
          <w:tcPr/>
          <w:p>
            <w:pPr>
              <w:pStyle w:val="Compact"/>
              <w:jc w:val="right"/>
            </w:pPr>
            <w:r>
              <w:t xml:space="preserve">21.3%</w:t>
            </w:r>
          </w:p>
        </w:tc>
      </w:tr>
      <w:tr>
        <w:tc>
          <w:tcPr/>
          <w:p>
            <w:pPr>
              <w:pStyle w:val="Compact"/>
            </w:pPr>
            <w:r>
              <w:t xml:space="preserve">Tier 1 leverage</w:t>
            </w:r>
          </w:p>
        </w:tc>
        <w:tc>
          <w:tcPr/>
          <w:p>
            <w:pPr>
              <w:pStyle w:val="Compact"/>
              <w:jc w:val="right"/>
            </w:pPr>
            <w:r>
              <w:t xml:space="preserve">17.7%</w:t>
            </w:r>
          </w:p>
        </w:tc>
      </w:tr>
    </w:tbl>
    <w:p>
      <w:pPr>
        <w:pStyle w:val="BodyText"/>
      </w:pPr>
      <w:r>
        <w:t xml:space="preserve">These ratios were well above disclosed regulatory minimums.</w:t>
      </w:r>
    </w:p>
    <w:p>
      <w:pPr>
        <w:pStyle w:val="BodyText"/>
      </w:pPr>
      <w:r>
        <w:t xml:space="preserve">The strong capital position reduces near-term balance-sheet constraints but does not eliminate the possibility of future dilution if SoFi pursues unusually rapid asset growth or acquisitions.</w:t>
      </w:r>
    </w:p>
    <w:p>
      <w:r>
        <w:pict>
          <v:rect style="width:0;height:1.5pt" o:hralign="center" o:hrstd="t" o:hr="t"/>
        </w:pict>
      </w:r>
    </w:p>
    <w:bookmarkEnd w:id="49"/>
    <w:bookmarkEnd w:id="50"/>
    <w:bookmarkStart w:id="56" w:name="principal-value-drivers"/>
    <w:p>
      <w:pPr>
        <w:pStyle w:val="Heading1"/>
      </w:pPr>
      <w:r>
        <w:t xml:space="preserve">9. Principal value drivers</w:t>
      </w:r>
    </w:p>
    <w:p>
      <w:pPr>
        <w:pStyle w:val="FirstParagraph"/>
      </w:pPr>
      <w:r>
        <w:t xml:space="preserve">The five most important value drivers are:</w:t>
      </w:r>
    </w:p>
    <w:bookmarkStart w:id="51" w:name="driver-1-member-growth-and-cross-buy"/>
    <w:p>
      <w:pPr>
        <w:pStyle w:val="Heading2"/>
      </w:pPr>
      <w:r>
        <w:t xml:space="preserve">Driver 1: Member growth and cross-buy</w:t>
      </w:r>
    </w:p>
    <w:p>
      <w:pPr>
        <w:pStyle w:val="SourceCode"/>
      </w:pPr>
      <w:r>
        <w:rPr>
          <w:rStyle w:val="VerbatimChar"/>
        </w:rPr>
        <w:t xml:space="preserve">Members</w:t>
      </w:r>
      <w:r>
        <w:br/>
      </w:r>
      <w:r>
        <w:rPr>
          <w:rStyle w:val="VerbatimChar"/>
        </w:rPr>
        <w:t xml:space="preserve">× active products per member</w:t>
      </w:r>
      <w:r>
        <w:br/>
      </w:r>
      <w:r>
        <w:rPr>
          <w:rStyle w:val="VerbatimChar"/>
        </w:rPr>
        <w:t xml:space="preserve">× revenue per active product</w:t>
      </w:r>
    </w:p>
    <w:p>
      <w:pPr>
        <w:pStyle w:val="FirstParagraph"/>
      </w:pPr>
      <w:r>
        <w:t xml:space="preserve">Member growth expands the customer base. Cross-buy determines whether acquisition spending produces multiple revenue opportunities.</w:t>
      </w:r>
    </w:p>
    <w:bookmarkEnd w:id="51"/>
    <w:bookmarkStart w:id="52" w:name="driver-2-deposit-economics"/>
    <w:p>
      <w:pPr>
        <w:pStyle w:val="Heading2"/>
      </w:pPr>
      <w:r>
        <w:t xml:space="preserve">Driver 2: Deposit economics</w:t>
      </w:r>
    </w:p>
    <w:p>
      <w:pPr>
        <w:pStyle w:val="SourceCode"/>
      </w:pPr>
      <w:r>
        <w:rPr>
          <w:rStyle w:val="VerbatimChar"/>
        </w:rPr>
        <w:t xml:space="preserve">Deposits</w:t>
      </w:r>
      <w:r>
        <w:br/>
      </w:r>
      <w:r>
        <w:rPr>
          <w:rStyle w:val="VerbatimChar"/>
        </w:rPr>
        <w:t xml:space="preserve">× funding-cost advantage</w:t>
      </w:r>
      <w:r>
        <w:br/>
      </w:r>
      <w:r>
        <w:rPr>
          <w:rStyle w:val="VerbatimChar"/>
        </w:rPr>
        <w:t xml:space="preserve">× asset deployment</w:t>
      </w:r>
    </w:p>
    <w:p>
      <w:pPr>
        <w:pStyle w:val="FirstParagraph"/>
      </w:pPr>
      <w:r>
        <w:t xml:space="preserve">Deposits lower the cost of retained lending and increase SoFi’s strategic flexibility.</w:t>
      </w:r>
    </w:p>
    <w:bookmarkEnd w:id="52"/>
    <w:bookmarkStart w:id="53" w:name="driver-3-credit-adjusted-lending-returns"/>
    <w:p>
      <w:pPr>
        <w:pStyle w:val="Heading2"/>
      </w:pPr>
      <w:r>
        <w:t xml:space="preserve">Driver 3: Credit-adjusted lending returns</w:t>
      </w:r>
    </w:p>
    <w:p>
      <w:pPr>
        <w:pStyle w:val="SourceCode"/>
      </w:pPr>
      <w:r>
        <w:rPr>
          <w:rStyle w:val="VerbatimChar"/>
        </w:rPr>
        <w:t xml:space="preserve">Loan balances</w:t>
      </w:r>
      <w:r>
        <w:br/>
      </w:r>
      <w:r>
        <w:rPr>
          <w:rStyle w:val="VerbatimChar"/>
        </w:rPr>
        <w:t xml:space="preserve">× asset yield</w:t>
      </w:r>
      <w:r>
        <w:br/>
      </w:r>
      <w:r>
        <w:rPr>
          <w:rStyle w:val="VerbatimChar"/>
        </w:rPr>
        <w:t xml:space="preserve">− funding cost</w:t>
      </w:r>
      <w:r>
        <w:br/>
      </w:r>
      <w:r>
        <w:rPr>
          <w:rStyle w:val="VerbatimChar"/>
        </w:rPr>
        <w:t xml:space="preserve">− credit losses</w:t>
      </w:r>
      <w:r>
        <w:br/>
      </w:r>
      <w:r>
        <w:rPr>
          <w:rStyle w:val="VerbatimChar"/>
        </w:rPr>
        <w:t xml:space="preserve">− operating expenses</w:t>
      </w:r>
    </w:p>
    <w:p>
      <w:pPr>
        <w:pStyle w:val="FirstParagraph"/>
      </w:pPr>
      <w:r>
        <w:t xml:space="preserve">High nominal yields are not sufficient. Losses and capital requirements must remain controlled.</w:t>
      </w:r>
    </w:p>
    <w:bookmarkEnd w:id="53"/>
    <w:bookmarkStart w:id="54" w:name="driver-4-capital-light-fee-revenue"/>
    <w:p>
      <w:pPr>
        <w:pStyle w:val="Heading2"/>
      </w:pPr>
      <w:r>
        <w:t xml:space="preserve">Driver 4: Capital-light fee revenue</w:t>
      </w:r>
    </w:p>
    <w:p>
      <w:pPr>
        <w:pStyle w:val="SourceCode"/>
      </w:pPr>
      <w:r>
        <w:rPr>
          <w:rStyle w:val="VerbatimChar"/>
        </w:rPr>
        <w:t xml:space="preserve">LPB originations</w:t>
      </w:r>
      <w:r>
        <w:br/>
      </w:r>
      <w:r>
        <w:rPr>
          <w:rStyle w:val="VerbatimChar"/>
        </w:rPr>
        <w:t xml:space="preserve">× platform fee</w:t>
      </w:r>
      <w:r>
        <w:br/>
      </w:r>
      <w:r>
        <w:rPr>
          <w:rStyle w:val="VerbatimChar"/>
        </w:rPr>
        <w:t xml:space="preserve">+ servicing income</w:t>
      </w:r>
      <w:r>
        <w:br/>
      </w:r>
      <w:r>
        <w:rPr>
          <w:rStyle w:val="VerbatimChar"/>
        </w:rPr>
        <w:t xml:space="preserve">+ interchange</w:t>
      </w:r>
      <w:r>
        <w:br/>
      </w:r>
      <w:r>
        <w:rPr>
          <w:rStyle w:val="VerbatimChar"/>
        </w:rPr>
        <w:t xml:space="preserve">+ referral</w:t>
      </w:r>
      <w:r>
        <w:br/>
      </w:r>
      <w:r>
        <w:rPr>
          <w:rStyle w:val="VerbatimChar"/>
        </w:rPr>
        <w:t xml:space="preserve">+ brokerage</w:t>
      </w:r>
      <w:r>
        <w:br/>
      </w:r>
      <w:r>
        <w:rPr>
          <w:rStyle w:val="VerbatimChar"/>
        </w:rPr>
        <w:t xml:space="preserve">+ technology revenue</w:t>
      </w:r>
    </w:p>
    <w:p>
      <w:pPr>
        <w:pStyle w:val="FirstParagraph"/>
      </w:pPr>
      <w:r>
        <w:t xml:space="preserve">Fee revenue can grow without a proportional increase in balance-sheet capital.</w:t>
      </w:r>
    </w:p>
    <w:bookmarkEnd w:id="54"/>
    <w:bookmarkStart w:id="55" w:name="driver-5-consolidated-operating-leverage"/>
    <w:p>
      <w:pPr>
        <w:pStyle w:val="Heading2"/>
      </w:pPr>
      <w:r>
        <w:t xml:space="preserve">Driver 5: Consolidated operating leverage</w:t>
      </w:r>
    </w:p>
    <w:p>
      <w:pPr>
        <w:pStyle w:val="SourceCode"/>
      </w:pPr>
      <w:r>
        <w:rPr>
          <w:rStyle w:val="VerbatimChar"/>
        </w:rPr>
        <w:t xml:space="preserve">Incremental revenue</w:t>
      </w:r>
      <w:r>
        <w:br/>
      </w:r>
      <w:r>
        <w:rPr>
          <w:rStyle w:val="VerbatimChar"/>
        </w:rPr>
        <w:t xml:space="preserve">× incremental contribution margin</w:t>
      </w:r>
      <w:r>
        <w:br/>
      </w:r>
      <w:r>
        <w:rPr>
          <w:rStyle w:val="VerbatimChar"/>
        </w:rPr>
        <w:t xml:space="preserve">− corporate growth</w:t>
      </w:r>
      <w:r>
        <w:br/>
      </w:r>
      <w:r>
        <w:rPr>
          <w:rStyle w:val="VerbatimChar"/>
        </w:rPr>
        <w:t xml:space="preserve">− stock compensation</w:t>
      </w:r>
      <w:r>
        <w:br/>
      </w:r>
      <w:r>
        <w:rPr>
          <w:rStyle w:val="VerbatimChar"/>
        </w:rPr>
        <w:t xml:space="preserve">− depreciation and taxes</w:t>
      </w:r>
    </w:p>
    <w:p>
      <w:pPr>
        <w:pStyle w:val="FirstParagraph"/>
      </w:pPr>
      <w:r>
        <w:t xml:space="preserve">This is the central driver behind the revised 25% base net-margin assumption.</w:t>
      </w:r>
    </w:p>
    <w:p>
      <w:r>
        <w:pict>
          <v:rect style="width:0;height:1.5pt" o:hralign="center" o:hrstd="t" o:hr="t"/>
        </w:pict>
      </w:r>
    </w:p>
    <w:bookmarkEnd w:id="55"/>
    <w:bookmarkEnd w:id="56"/>
    <w:bookmarkStart w:id="58" w:name="moat-identification"/>
    <w:p>
      <w:pPr>
        <w:pStyle w:val="Heading1"/>
      </w:pPr>
      <w:r>
        <w:t xml:space="preserve">10. Moat identification</w:t>
      </w:r>
    </w:p>
    <w:bookmarkStart w:id="57" w:name="moat-summary"/>
    <w:p>
      <w:pPr>
        <w:pStyle w:val="Heading2"/>
      </w:pPr>
      <w:r>
        <w:t xml:space="preserve">10.1 Moat summary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Claimed moat</w:t>
            </w:r>
          </w:p>
        </w:tc>
        <w:tc>
          <w:tcPr/>
          <w:p>
            <w:pPr>
              <w:pStyle w:val="Compact"/>
              <w:jc w:val="right"/>
            </w:pPr>
            <w:r>
              <w:t xml:space="preserve">Strength</w:t>
            </w:r>
          </w:p>
        </w:tc>
        <w:tc>
          <w:tcPr/>
          <w:p>
            <w:pPr>
              <w:pStyle w:val="Compact"/>
              <w:jc w:val="right"/>
            </w:pPr>
            <w:r>
              <w:t xml:space="preserve">Confidence</w:t>
            </w:r>
          </w:p>
        </w:tc>
        <w:tc>
          <w:tcPr/>
          <w:p>
            <w:pPr>
              <w:pStyle w:val="Compact"/>
            </w:pPr>
            <w:r>
              <w:t xml:space="preserve">Classification</w:t>
            </w:r>
          </w:p>
        </w:tc>
      </w:tr>
      <w:tr>
        <w:tc>
          <w:tcPr/>
          <w:p>
            <w:pPr>
              <w:pStyle w:val="Compact"/>
            </w:pPr>
            <w:r>
              <w:t xml:space="preserve">Bank charter and deposit funding</w:t>
            </w:r>
          </w:p>
        </w:tc>
        <w:tc>
          <w:tcPr/>
          <w:p>
            <w:pPr>
              <w:pStyle w:val="Compact"/>
              <w:jc w:val="right"/>
            </w:pPr>
            <w:r>
              <w:t xml:space="preserve">4.0/5</w:t>
            </w:r>
          </w:p>
        </w:tc>
        <w:tc>
          <w:tcPr/>
          <w:p>
            <w:pPr>
              <w:pStyle w:val="Compact"/>
              <w:jc w:val="right"/>
            </w:pPr>
            <w:r>
              <w:t xml:space="preserve">High</w:t>
            </w:r>
          </w:p>
        </w:tc>
        <w:tc>
          <w:tcPr/>
          <w:p>
            <w:pPr>
              <w:pStyle w:val="Compact"/>
            </w:pPr>
            <w:r>
              <w:t xml:space="preserve">Strong</w:t>
            </w:r>
          </w:p>
        </w:tc>
      </w:tr>
      <w:tr>
        <w:tc>
          <w:tcPr/>
          <w:p>
            <w:pPr>
              <w:pStyle w:val="Compact"/>
            </w:pPr>
            <w:r>
              <w:t xml:space="preserve">Consumer ecosystem</w:t>
            </w:r>
          </w:p>
        </w:tc>
        <w:tc>
          <w:tcPr/>
          <w:p>
            <w:pPr>
              <w:pStyle w:val="Compact"/>
              <w:jc w:val="right"/>
            </w:pPr>
            <w:r>
              <w:t xml:space="preserve">3.5/5</w:t>
            </w:r>
          </w:p>
        </w:tc>
        <w:tc>
          <w:tcPr/>
          <w:p>
            <w:pPr>
              <w:pStyle w:val="Compact"/>
              <w:jc w:val="right"/>
            </w:pPr>
            <w:r>
              <w:t xml:space="preserve">Moderate</w:t>
            </w:r>
          </w:p>
        </w:tc>
        <w:tc>
          <w:tcPr/>
          <w:p>
            <w:pPr>
              <w:pStyle w:val="Compact"/>
            </w:pPr>
            <w:r>
              <w:t xml:space="preserve">Moderate</w:t>
            </w:r>
          </w:p>
        </w:tc>
      </w:tr>
      <w:tr>
        <w:tc>
          <w:tcPr/>
          <w:p>
            <w:pPr>
              <w:pStyle w:val="Compact"/>
            </w:pPr>
            <w:r>
              <w:t xml:space="preserve">Underwriting and LPB distribution</w:t>
            </w:r>
          </w:p>
        </w:tc>
        <w:tc>
          <w:tcPr/>
          <w:p>
            <w:pPr>
              <w:pStyle w:val="Compact"/>
              <w:jc w:val="right"/>
            </w:pPr>
            <w:r>
              <w:t xml:space="preserve">3.5/5</w:t>
            </w:r>
          </w:p>
        </w:tc>
        <w:tc>
          <w:tcPr/>
          <w:p>
            <w:pPr>
              <w:pStyle w:val="Compact"/>
              <w:jc w:val="right"/>
            </w:pPr>
            <w:r>
              <w:t xml:space="preserve">Moderate</w:t>
            </w:r>
          </w:p>
        </w:tc>
        <w:tc>
          <w:tcPr/>
          <w:p>
            <w:pPr>
              <w:pStyle w:val="Compact"/>
            </w:pPr>
            <w:r>
              <w:t xml:space="preserve">Moderate</w:t>
            </w:r>
          </w:p>
        </w:tc>
      </w:tr>
      <w:tr>
        <w:tc>
          <w:tcPr/>
          <w:p>
            <w:pPr>
              <w:pStyle w:val="Compact"/>
            </w:pPr>
            <w:r>
              <w:t xml:space="preserve">Brand and trust</w:t>
            </w:r>
          </w:p>
        </w:tc>
        <w:tc>
          <w:tcPr/>
          <w:p>
            <w:pPr>
              <w:pStyle w:val="Compact"/>
              <w:jc w:val="right"/>
            </w:pPr>
            <w:r>
              <w:t xml:space="preserve">3.0/5</w:t>
            </w:r>
          </w:p>
        </w:tc>
        <w:tc>
          <w:tcPr/>
          <w:p>
            <w:pPr>
              <w:pStyle w:val="Compact"/>
              <w:jc w:val="right"/>
            </w:pPr>
            <w:r>
              <w:t xml:space="preserve">Moderate</w:t>
            </w:r>
          </w:p>
        </w:tc>
        <w:tc>
          <w:tcPr/>
          <w:p>
            <w:pPr>
              <w:pStyle w:val="Compact"/>
            </w:pPr>
            <w:r>
              <w:t xml:space="preserve">Moderate</w:t>
            </w:r>
          </w:p>
        </w:tc>
      </w:tr>
      <w:tr>
        <w:tc>
          <w:tcPr/>
          <w:p>
            <w:pPr>
              <w:pStyle w:val="Compact"/>
            </w:pPr>
            <w:r>
              <w:t xml:space="preserve">Galileo and Technisys</w:t>
            </w:r>
          </w:p>
        </w:tc>
        <w:tc>
          <w:tcPr/>
          <w:p>
            <w:pPr>
              <w:pStyle w:val="Compact"/>
              <w:jc w:val="right"/>
            </w:pPr>
            <w:r>
              <w:t xml:space="preserve">2.0/5</w:t>
            </w:r>
          </w:p>
        </w:tc>
        <w:tc>
          <w:tcPr/>
          <w:p>
            <w:pPr>
              <w:pStyle w:val="Compact"/>
              <w:jc w:val="right"/>
            </w:pPr>
            <w:r>
              <w:t xml:space="preserve">Moderate-low</w:t>
            </w:r>
          </w:p>
        </w:tc>
        <w:tc>
          <w:tcPr/>
          <w:p>
            <w:pPr>
              <w:pStyle w:val="Compact"/>
            </w:pPr>
            <w:r>
              <w:t xml:space="preserve">Unproven</w:t>
            </w:r>
          </w:p>
        </w:tc>
      </w:tr>
      <w:tr>
        <w:tc>
          <w:tcPr/>
          <w:p>
            <w:pPr>
              <w:pStyle w:val="Compact"/>
            </w:pPr>
            <w:r>
              <w:t xml:space="preserve">Digital-asset infrastructure</w:t>
            </w:r>
          </w:p>
        </w:tc>
        <w:tc>
          <w:tcPr/>
          <w:p>
            <w:pPr>
              <w:pStyle w:val="Compact"/>
              <w:jc w:val="right"/>
            </w:pPr>
            <w:r>
              <w:t xml:space="preserve">1.5/5</w:t>
            </w:r>
          </w:p>
        </w:tc>
        <w:tc>
          <w:tcPr/>
          <w:p>
            <w:pPr>
              <w:pStyle w:val="Compact"/>
              <w:jc w:val="right"/>
            </w:pPr>
            <w:r>
              <w:t xml:space="preserve">Low</w:t>
            </w:r>
          </w:p>
        </w:tc>
        <w:tc>
          <w:tcPr/>
          <w:p>
            <w:pPr>
              <w:pStyle w:val="Compact"/>
            </w:pPr>
            <w:r>
              <w:t xml:space="preserve">Speculative</w:t>
            </w:r>
          </w:p>
        </w:tc>
      </w:tr>
    </w:tbl>
    <w:p>
      <w:pPr>
        <w:pStyle w:val="BodyText"/>
      </w:pPr>
      <w:r>
        <w:rPr>
          <w:b/>
          <w:bCs/>
        </w:rPr>
        <w:t xml:space="preserve">Overall moat classification: Moderate</w:t>
      </w:r>
    </w:p>
    <w:p>
      <w:r>
        <w:pict>
          <v:rect style="width:0;height:1.5pt" o:hralign="center" o:hrstd="t" o:hr="t"/>
        </w:pict>
      </w:r>
    </w:p>
    <w:bookmarkEnd w:id="57"/>
    <w:bookmarkEnd w:id="58"/>
    <w:bookmarkStart w:id="76" w:name="moat-attack"/>
    <w:p>
      <w:pPr>
        <w:pStyle w:val="Heading1"/>
      </w:pPr>
      <w:r>
        <w:t xml:space="preserve">11. Moat attack</w:t>
      </w:r>
    </w:p>
    <w:bookmarkStart w:id="62" w:name="deposit-funding-moat"/>
    <w:p>
      <w:pPr>
        <w:pStyle w:val="Heading2"/>
      </w:pPr>
      <w:r>
        <w:t xml:space="preserve">11.1 Deposit-funding moat</w:t>
      </w:r>
    </w:p>
    <w:bookmarkStart w:id="59" w:name="protected-economics"/>
    <w:p>
      <w:pPr>
        <w:pStyle w:val="Heading3"/>
      </w:pPr>
      <w:r>
        <w:t xml:space="preserve">Protected economics</w:t>
      </w:r>
    </w:p>
    <w:p>
      <w:pPr>
        <w:pStyle w:val="Compact"/>
        <w:numPr>
          <w:ilvl w:val="0"/>
          <w:numId w:val="1020"/>
        </w:numPr>
      </w:pPr>
      <w:r>
        <w:t xml:space="preserve">Funding cost.</w:t>
      </w:r>
    </w:p>
    <w:p>
      <w:pPr>
        <w:pStyle w:val="Compact"/>
        <w:numPr>
          <w:ilvl w:val="0"/>
          <w:numId w:val="1020"/>
        </w:numPr>
      </w:pPr>
      <w:r>
        <w:t xml:space="preserve">Net interest margin.</w:t>
      </w:r>
    </w:p>
    <w:p>
      <w:pPr>
        <w:pStyle w:val="Compact"/>
        <w:numPr>
          <w:ilvl w:val="0"/>
          <w:numId w:val="1020"/>
        </w:numPr>
      </w:pPr>
      <w:r>
        <w:t xml:space="preserve">Loan-retention flexibility.</w:t>
      </w:r>
    </w:p>
    <w:p>
      <w:pPr>
        <w:pStyle w:val="Compact"/>
        <w:numPr>
          <w:ilvl w:val="0"/>
          <w:numId w:val="1020"/>
        </w:numPr>
      </w:pPr>
      <w:r>
        <w:t xml:space="preserve">Balance-sheet growth.</w:t>
      </w:r>
    </w:p>
    <w:p>
      <w:pPr>
        <w:pStyle w:val="Compact"/>
        <w:numPr>
          <w:ilvl w:val="0"/>
          <w:numId w:val="1020"/>
        </w:numPr>
      </w:pPr>
      <w:r>
        <w:t xml:space="preserve">Capital-market independence.</w:t>
      </w:r>
    </w:p>
    <w:bookmarkEnd w:id="59"/>
    <w:bookmarkStart w:id="60" w:name="attack"/>
    <w:p>
      <w:pPr>
        <w:pStyle w:val="Heading3"/>
      </w:pPr>
      <w:r>
        <w:t xml:space="preserve">Attack</w:t>
      </w:r>
    </w:p>
    <w:p>
      <w:pPr>
        <w:pStyle w:val="FirstParagraph"/>
      </w:pPr>
      <w:r>
        <w:t xml:space="preserve">A large bank, brokerage or digital competitor raises deposit rates aggressively.</w:t>
      </w:r>
    </w:p>
    <w:bookmarkEnd w:id="60"/>
    <w:bookmarkStart w:id="61" w:name="likely-outcome"/>
    <w:p>
      <w:pPr>
        <w:pStyle w:val="Heading3"/>
      </w:pPr>
      <w:r>
        <w:t xml:space="preserve">Likely outcome</w:t>
      </w:r>
    </w:p>
    <w:p>
      <w:pPr>
        <w:pStyle w:val="FirstParagraph"/>
      </w:pPr>
      <w:r>
        <w:t xml:space="preserve">SoFi may have to increase deposit pricing, reducing its funding advantage. However, the charter, deposit infrastructure and existing member relationships remain valuable.</w:t>
      </w:r>
    </w:p>
    <w:p>
      <w:pPr>
        <w:pStyle w:val="BodyText"/>
      </w:pPr>
      <w:r>
        <w:rPr>
          <w:b/>
          <w:bCs/>
        </w:rPr>
        <w:t xml:space="preserve">Attack result: moat survives partially.</w:t>
      </w:r>
    </w:p>
    <w:bookmarkEnd w:id="61"/>
    <w:bookmarkEnd w:id="62"/>
    <w:bookmarkStart w:id="66" w:name="consumer-ecosystem-moat"/>
    <w:p>
      <w:pPr>
        <w:pStyle w:val="Heading2"/>
      </w:pPr>
      <w:r>
        <w:t xml:space="preserve">11.2 Consumer ecosystem moat</w:t>
      </w:r>
    </w:p>
    <w:bookmarkStart w:id="63" w:name="protected-economics-1"/>
    <w:p>
      <w:pPr>
        <w:pStyle w:val="Heading3"/>
      </w:pPr>
      <w:r>
        <w:t xml:space="preserve">Protected economics</w:t>
      </w:r>
    </w:p>
    <w:p>
      <w:pPr>
        <w:pStyle w:val="Compact"/>
        <w:numPr>
          <w:ilvl w:val="0"/>
          <w:numId w:val="1021"/>
        </w:numPr>
      </w:pPr>
      <w:r>
        <w:t xml:space="preserve">Acquisition cost per product.</w:t>
      </w:r>
    </w:p>
    <w:p>
      <w:pPr>
        <w:pStyle w:val="Compact"/>
        <w:numPr>
          <w:ilvl w:val="0"/>
          <w:numId w:val="1021"/>
        </w:numPr>
      </w:pPr>
      <w:r>
        <w:t xml:space="preserve">Retention.</w:t>
      </w:r>
    </w:p>
    <w:p>
      <w:pPr>
        <w:pStyle w:val="Compact"/>
        <w:numPr>
          <w:ilvl w:val="0"/>
          <w:numId w:val="1021"/>
        </w:numPr>
      </w:pPr>
      <w:r>
        <w:t xml:space="preserve">Cross-buy.</w:t>
      </w:r>
    </w:p>
    <w:p>
      <w:pPr>
        <w:pStyle w:val="Compact"/>
        <w:numPr>
          <w:ilvl w:val="0"/>
          <w:numId w:val="1021"/>
        </w:numPr>
      </w:pPr>
      <w:r>
        <w:t xml:space="preserve">Deposit balances.</w:t>
      </w:r>
    </w:p>
    <w:p>
      <w:pPr>
        <w:pStyle w:val="Compact"/>
        <w:numPr>
          <w:ilvl w:val="0"/>
          <w:numId w:val="1021"/>
        </w:numPr>
      </w:pPr>
      <w:r>
        <w:t xml:space="preserve">Revenue per member.</w:t>
      </w:r>
    </w:p>
    <w:bookmarkEnd w:id="63"/>
    <w:bookmarkStart w:id="64" w:name="attack-1"/>
    <w:p>
      <w:pPr>
        <w:pStyle w:val="Heading3"/>
      </w:pPr>
      <w:r>
        <w:t xml:space="preserve">Attack</w:t>
      </w:r>
    </w:p>
    <w:p>
      <w:pPr>
        <w:pStyle w:val="FirstParagraph"/>
      </w:pPr>
      <w:r>
        <w:t xml:space="preserve">A large incumbent bundles:</w:t>
      </w:r>
    </w:p>
    <w:p>
      <w:pPr>
        <w:pStyle w:val="Compact"/>
        <w:numPr>
          <w:ilvl w:val="0"/>
          <w:numId w:val="1022"/>
        </w:numPr>
      </w:pPr>
      <w:r>
        <w:t xml:space="preserve">High-yield deposits.</w:t>
      </w:r>
    </w:p>
    <w:p>
      <w:pPr>
        <w:pStyle w:val="Compact"/>
        <w:numPr>
          <w:ilvl w:val="0"/>
          <w:numId w:val="1022"/>
        </w:numPr>
      </w:pPr>
      <w:r>
        <w:t xml:space="preserve">Free investing.</w:t>
      </w:r>
    </w:p>
    <w:p>
      <w:pPr>
        <w:pStyle w:val="Compact"/>
        <w:numPr>
          <w:ilvl w:val="0"/>
          <w:numId w:val="1022"/>
        </w:numPr>
      </w:pPr>
      <w:r>
        <w:t xml:space="preserve">strong credit-card rewards.</w:t>
      </w:r>
    </w:p>
    <w:p>
      <w:pPr>
        <w:pStyle w:val="Compact"/>
        <w:numPr>
          <w:ilvl w:val="0"/>
          <w:numId w:val="1022"/>
        </w:numPr>
      </w:pPr>
      <w:r>
        <w:t xml:space="preserve">discounted borrowing.</w:t>
      </w:r>
    </w:p>
    <w:p>
      <w:pPr>
        <w:pStyle w:val="Compact"/>
        <w:numPr>
          <w:ilvl w:val="0"/>
          <w:numId w:val="1022"/>
        </w:numPr>
      </w:pPr>
      <w:r>
        <w:t xml:space="preserve">financial-planning tools.</w:t>
      </w:r>
    </w:p>
    <w:bookmarkEnd w:id="64"/>
    <w:bookmarkStart w:id="65" w:name="likely-outcome-1"/>
    <w:p>
      <w:pPr>
        <w:pStyle w:val="Heading3"/>
      </w:pPr>
      <w:r>
        <w:t xml:space="preserve">Likely outcome</w:t>
      </w:r>
    </w:p>
    <w:p>
      <w:pPr>
        <w:pStyle w:val="FirstParagraph"/>
      </w:pPr>
      <w:r>
        <w:t xml:space="preserve">Consumers can move balances and activity without completely leaving SoFi. The ecosystem improves convenience but does not create hard lock-in.</w:t>
      </w:r>
    </w:p>
    <w:p>
      <w:pPr>
        <w:pStyle w:val="BodyText"/>
      </w:pPr>
      <w:r>
        <w:rPr>
          <w:b/>
          <w:bCs/>
        </w:rPr>
        <w:t xml:space="preserve">Attack result: moat survives partially.</w:t>
      </w:r>
    </w:p>
    <w:bookmarkEnd w:id="65"/>
    <w:bookmarkEnd w:id="66"/>
    <w:bookmarkStart w:id="70" w:name="underwriting-and-lpb-moat"/>
    <w:p>
      <w:pPr>
        <w:pStyle w:val="Heading2"/>
      </w:pPr>
      <w:r>
        <w:t xml:space="preserve">11.3 Underwriting and LPB moat</w:t>
      </w:r>
    </w:p>
    <w:bookmarkStart w:id="67" w:name="protected-economics-2"/>
    <w:p>
      <w:pPr>
        <w:pStyle w:val="Heading3"/>
      </w:pPr>
      <w:r>
        <w:t xml:space="preserve">Protected economics</w:t>
      </w:r>
    </w:p>
    <w:p>
      <w:pPr>
        <w:pStyle w:val="Compact"/>
        <w:numPr>
          <w:ilvl w:val="0"/>
          <w:numId w:val="1023"/>
        </w:numPr>
      </w:pPr>
      <w:r>
        <w:t xml:space="preserve">Origination volume.</w:t>
      </w:r>
    </w:p>
    <w:p>
      <w:pPr>
        <w:pStyle w:val="Compact"/>
        <w:numPr>
          <w:ilvl w:val="0"/>
          <w:numId w:val="1023"/>
        </w:numPr>
      </w:pPr>
      <w:r>
        <w:t xml:space="preserve">Platform fees.</w:t>
      </w:r>
    </w:p>
    <w:p>
      <w:pPr>
        <w:pStyle w:val="Compact"/>
        <w:numPr>
          <w:ilvl w:val="0"/>
          <w:numId w:val="1023"/>
        </w:numPr>
      </w:pPr>
      <w:r>
        <w:t xml:space="preserve">Servicing income.</w:t>
      </w:r>
    </w:p>
    <w:p>
      <w:pPr>
        <w:pStyle w:val="Compact"/>
        <w:numPr>
          <w:ilvl w:val="0"/>
          <w:numId w:val="1023"/>
        </w:numPr>
      </w:pPr>
      <w:r>
        <w:t xml:space="preserve">Credit selection.</w:t>
      </w:r>
    </w:p>
    <w:p>
      <w:pPr>
        <w:pStyle w:val="Compact"/>
        <w:numPr>
          <w:ilvl w:val="0"/>
          <w:numId w:val="1023"/>
        </w:numPr>
      </w:pPr>
      <w:r>
        <w:t xml:space="preserve">Institutional partner demand.</w:t>
      </w:r>
    </w:p>
    <w:bookmarkEnd w:id="67"/>
    <w:bookmarkStart w:id="68" w:name="attack-2"/>
    <w:p>
      <w:pPr>
        <w:pStyle w:val="Heading3"/>
      </w:pPr>
      <w:r>
        <w:t xml:space="preserve">Attack</w:t>
      </w:r>
    </w:p>
    <w:p>
      <w:pPr>
        <w:pStyle w:val="FirstParagraph"/>
      </w:pPr>
      <w:r>
        <w:t xml:space="preserve">Credit deteriorates or institutional partners build alternative origination relationships.</w:t>
      </w:r>
    </w:p>
    <w:bookmarkEnd w:id="68"/>
    <w:bookmarkStart w:id="69" w:name="likely-outcome-2"/>
    <w:p>
      <w:pPr>
        <w:pStyle w:val="Heading3"/>
      </w:pPr>
      <w:r>
        <w:t xml:space="preserve">Likely outcome</w:t>
      </w:r>
    </w:p>
    <w:p>
      <w:pPr>
        <w:pStyle w:val="FirstParagraph"/>
      </w:pPr>
      <w:r>
        <w:t xml:space="preserve">Partners demand higher yields or lower fees, reducing SoFi’s economics. SoFi’s distribution, underwriting data and servicing infrastructure remain useful, but partner bargaining power rises.</w:t>
      </w:r>
    </w:p>
    <w:p>
      <w:pPr>
        <w:pStyle w:val="BodyText"/>
      </w:pPr>
      <w:r>
        <w:rPr>
          <w:b/>
          <w:bCs/>
        </w:rPr>
        <w:t xml:space="preserve">Attack result: moat survives partially, with high cyclicality.</w:t>
      </w:r>
    </w:p>
    <w:bookmarkEnd w:id="69"/>
    <w:bookmarkEnd w:id="70"/>
    <w:bookmarkStart w:id="75" w:name="galileo-and-technisys-moat"/>
    <w:p>
      <w:pPr>
        <w:pStyle w:val="Heading2"/>
      </w:pPr>
      <w:r>
        <w:t xml:space="preserve">11.4 Galileo and Technisys moat</w:t>
      </w:r>
    </w:p>
    <w:bookmarkStart w:id="71" w:name="claimed-advantage"/>
    <w:p>
      <w:pPr>
        <w:pStyle w:val="Heading3"/>
      </w:pPr>
      <w:r>
        <w:t xml:space="preserve">Claimed advantage</w:t>
      </w:r>
    </w:p>
    <w:p>
      <w:pPr>
        <w:pStyle w:val="Compact"/>
        <w:numPr>
          <w:ilvl w:val="0"/>
          <w:numId w:val="1024"/>
        </w:numPr>
      </w:pPr>
      <w:r>
        <w:t xml:space="preserve">Modern processing infrastructure.</w:t>
      </w:r>
    </w:p>
    <w:p>
      <w:pPr>
        <w:pStyle w:val="Compact"/>
        <w:numPr>
          <w:ilvl w:val="0"/>
          <w:numId w:val="1024"/>
        </w:numPr>
      </w:pPr>
      <w:r>
        <w:t xml:space="preserve">Core-ledger technology.</w:t>
      </w:r>
    </w:p>
    <w:p>
      <w:pPr>
        <w:pStyle w:val="Compact"/>
        <w:numPr>
          <w:ilvl w:val="0"/>
          <w:numId w:val="1024"/>
        </w:numPr>
      </w:pPr>
      <w:r>
        <w:t xml:space="preserve">Integrated financial products.</w:t>
      </w:r>
    </w:p>
    <w:p>
      <w:pPr>
        <w:pStyle w:val="Compact"/>
        <w:numPr>
          <w:ilvl w:val="0"/>
          <w:numId w:val="1024"/>
        </w:numPr>
      </w:pPr>
      <w:r>
        <w:t xml:space="preserve">Switching costs.</w:t>
      </w:r>
    </w:p>
    <w:p>
      <w:pPr>
        <w:pStyle w:val="Compact"/>
        <w:numPr>
          <w:ilvl w:val="0"/>
          <w:numId w:val="1024"/>
        </w:numPr>
      </w:pPr>
      <w:r>
        <w:t xml:space="preserve">Reduced legacy technical debt.</w:t>
      </w:r>
    </w:p>
    <w:bookmarkEnd w:id="71"/>
    <w:bookmarkStart w:id="72" w:name="contradicting-evidence"/>
    <w:p>
      <w:pPr>
        <w:pStyle w:val="Heading3"/>
      </w:pPr>
      <w:r>
        <w:t xml:space="preserve">Contradicting evidence</w:t>
      </w:r>
    </w:p>
    <w:p>
      <w:pPr>
        <w:pStyle w:val="Compact"/>
        <w:numPr>
          <w:ilvl w:val="0"/>
          <w:numId w:val="1025"/>
        </w:numPr>
      </w:pPr>
      <w:r>
        <w:t xml:space="preserve">Q1 2026 revenue declined 27%.</w:t>
      </w:r>
    </w:p>
    <w:p>
      <w:pPr>
        <w:pStyle w:val="Compact"/>
        <w:numPr>
          <w:ilvl w:val="0"/>
          <w:numId w:val="1025"/>
        </w:numPr>
      </w:pPr>
      <w:r>
        <w:t xml:space="preserve">Contribution margin fell to 16%.</w:t>
      </w:r>
    </w:p>
    <w:p>
      <w:pPr>
        <w:pStyle w:val="Compact"/>
        <w:numPr>
          <w:ilvl w:val="0"/>
          <w:numId w:val="1025"/>
        </w:numPr>
      </w:pPr>
      <w:r>
        <w:t xml:space="preserve">Accounts declined after a large customer departed.</w:t>
      </w:r>
    </w:p>
    <w:p>
      <w:pPr>
        <w:pStyle w:val="Compact"/>
        <w:numPr>
          <w:ilvl w:val="0"/>
          <w:numId w:val="1025"/>
        </w:numPr>
      </w:pPr>
      <w:r>
        <w:t xml:space="preserve">The segment previously recorded a major goodwill impairment.</w:t>
      </w:r>
    </w:p>
    <w:p>
      <w:pPr>
        <w:pStyle w:val="Compact"/>
        <w:numPr>
          <w:ilvl w:val="0"/>
          <w:numId w:val="1025"/>
        </w:numPr>
      </w:pPr>
      <w:r>
        <w:t xml:space="preserve">Sustained organic acceleration has not yet been demonstrated.</w:t>
      </w:r>
    </w:p>
    <w:bookmarkEnd w:id="72"/>
    <w:bookmarkStart w:id="73" w:name="attack-3"/>
    <w:p>
      <w:pPr>
        <w:pStyle w:val="Heading3"/>
      </w:pPr>
      <w:r>
        <w:t xml:space="preserve">Attack</w:t>
      </w:r>
    </w:p>
    <w:p>
      <w:pPr>
        <w:pStyle w:val="FirstParagraph"/>
      </w:pPr>
      <w:r>
        <w:t xml:space="preserve">A well-capitalized competitor cuts pricing by 20–30% and bundles processing, ledger, payments, compliance and fraud tools.</w:t>
      </w:r>
    </w:p>
    <w:bookmarkEnd w:id="73"/>
    <w:bookmarkStart w:id="74" w:name="likely-outcome-3"/>
    <w:p>
      <w:pPr>
        <w:pStyle w:val="Heading3"/>
      </w:pPr>
      <w:r>
        <w:t xml:space="preserve">Likely outcome</w:t>
      </w:r>
    </w:p>
    <w:p>
      <w:pPr>
        <w:pStyle w:val="FirstParagraph"/>
      </w:pPr>
      <w:r>
        <w:t xml:space="preserve">Existing integrations create friction, but customers may multi-source or migrate over time.</w:t>
      </w:r>
    </w:p>
    <w:p>
      <w:pPr>
        <w:pStyle w:val="BodyText"/>
      </w:pPr>
      <w:r>
        <w:rPr>
          <w:b/>
          <w:bCs/>
        </w:rPr>
        <w:t xml:space="preserve">Attack result: moat survives weakly.</w:t>
      </w:r>
    </w:p>
    <w:p>
      <w:pPr>
        <w:pStyle w:val="BodyText"/>
      </w:pPr>
      <w:r>
        <w:t xml:space="preserve">Technology Solutions should not receive a strong-moat valuation until it demonstrates:</w:t>
      </w:r>
    </w:p>
    <w:p>
      <w:pPr>
        <w:pStyle w:val="Compact"/>
        <w:numPr>
          <w:ilvl w:val="0"/>
          <w:numId w:val="1026"/>
        </w:numPr>
      </w:pPr>
      <w:r>
        <w:t xml:space="preserve">Sustained organic growth above approximately 15%.</w:t>
      </w:r>
    </w:p>
    <w:p>
      <w:pPr>
        <w:pStyle w:val="Compact"/>
        <w:numPr>
          <w:ilvl w:val="0"/>
          <w:numId w:val="1026"/>
        </w:numPr>
      </w:pPr>
      <w:r>
        <w:t xml:space="preserve">Contribution margins above approximately 30%.</w:t>
      </w:r>
    </w:p>
    <w:p>
      <w:pPr>
        <w:pStyle w:val="Compact"/>
        <w:numPr>
          <w:ilvl w:val="0"/>
          <w:numId w:val="1026"/>
        </w:numPr>
      </w:pPr>
      <w:r>
        <w:t xml:space="preserve">Lower customer concentration.</w:t>
      </w:r>
    </w:p>
    <w:p>
      <w:pPr>
        <w:pStyle w:val="Compact"/>
        <w:numPr>
          <w:ilvl w:val="0"/>
          <w:numId w:val="1026"/>
        </w:numPr>
      </w:pPr>
      <w:r>
        <w:t xml:space="preserve">Successful enterprise migrations.</w:t>
      </w:r>
    </w:p>
    <w:p>
      <w:pPr>
        <w:pStyle w:val="Compact"/>
        <w:numPr>
          <w:ilvl w:val="0"/>
          <w:numId w:val="1026"/>
        </w:numPr>
      </w:pPr>
      <w:r>
        <w:t xml:space="preserve">Increasing revenue per account.</w:t>
      </w:r>
    </w:p>
    <w:p>
      <w:r>
        <w:pict>
          <v:rect style="width:0;height:1.5pt" o:hralign="center" o:hrstd="t" o:hr="t"/>
        </w:pict>
      </w:r>
    </w:p>
    <w:bookmarkEnd w:id="74"/>
    <w:bookmarkEnd w:id="75"/>
    <w:bookmarkEnd w:id="76"/>
    <w:bookmarkStart w:id="77" w:name="no-moat-counterfactual"/>
    <w:p>
      <w:pPr>
        <w:pStyle w:val="Heading1"/>
      </w:pPr>
      <w:r>
        <w:t xml:space="preserve">12. No-moat counterfactual</w:t>
      </w:r>
    </w:p>
    <w:p>
      <w:pPr>
        <w:pStyle w:val="FirstParagraph"/>
      </w:pPr>
      <w:r>
        <w:t xml:space="preserve">Without its funding, ecosystem and distribution advantages, SoFi would likely experience: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Variable</w:t>
            </w:r>
          </w:p>
        </w:tc>
        <w:tc>
          <w:tcPr/>
          <w:p>
            <w:pPr>
              <w:pStyle w:val="Compact"/>
            </w:pPr>
            <w:r>
              <w:t xml:space="preserve">No-moat effect</w:t>
            </w:r>
          </w:p>
        </w:tc>
      </w:tr>
      <w:tr>
        <w:tc>
          <w:tcPr/>
          <w:p>
            <w:pPr>
              <w:pStyle w:val="Compact"/>
            </w:pPr>
            <w:r>
              <w:t xml:space="preserve">Funding cost</w:t>
            </w:r>
          </w:p>
        </w:tc>
        <w:tc>
          <w:tcPr/>
          <w:p>
            <w:pPr>
              <w:pStyle w:val="Compact"/>
            </w:pPr>
            <w:r>
              <w:t xml:space="preserve">Higher</w:t>
            </w:r>
          </w:p>
        </w:tc>
      </w:tr>
      <w:tr>
        <w:tc>
          <w:tcPr/>
          <w:p>
            <w:pPr>
              <w:pStyle w:val="Compact"/>
            </w:pPr>
            <w:r>
              <w:t xml:space="preserve">Net interest margin</w:t>
            </w:r>
          </w:p>
        </w:tc>
        <w:tc>
          <w:tcPr/>
          <w:p>
            <w:pPr>
              <w:pStyle w:val="Compact"/>
            </w:pPr>
            <w:r>
              <w:t xml:space="preserve">Lower</w:t>
            </w:r>
          </w:p>
        </w:tc>
      </w:tr>
      <w:tr>
        <w:tc>
          <w:tcPr/>
          <w:p>
            <w:pPr>
              <w:pStyle w:val="Compact"/>
            </w:pPr>
            <w:r>
              <w:t xml:space="preserve">Customer acquisition cost</w:t>
            </w:r>
          </w:p>
        </w:tc>
        <w:tc>
          <w:tcPr/>
          <w:p>
            <w:pPr>
              <w:pStyle w:val="Compact"/>
            </w:pPr>
            <w:r>
              <w:t xml:space="preserve">Higher</w:t>
            </w:r>
          </w:p>
        </w:tc>
      </w:tr>
      <w:tr>
        <w:tc>
          <w:tcPr/>
          <w:p>
            <w:pPr>
              <w:pStyle w:val="Compact"/>
            </w:pPr>
            <w:r>
              <w:t xml:space="preserve">Cross-buy</w:t>
            </w:r>
          </w:p>
        </w:tc>
        <w:tc>
          <w:tcPr/>
          <w:p>
            <w:pPr>
              <w:pStyle w:val="Compact"/>
            </w:pPr>
            <w:r>
              <w:t xml:space="preserve">Lower</w:t>
            </w:r>
          </w:p>
        </w:tc>
      </w:tr>
      <w:tr>
        <w:tc>
          <w:tcPr/>
          <w:p>
            <w:pPr>
              <w:pStyle w:val="Compact"/>
            </w:pPr>
            <w:r>
              <w:t xml:space="preserve">Deposit retention</w:t>
            </w:r>
          </w:p>
        </w:tc>
        <w:tc>
          <w:tcPr/>
          <w:p>
            <w:pPr>
              <w:pStyle w:val="Compact"/>
            </w:pPr>
            <w:r>
              <w:t xml:space="preserve">Lower</w:t>
            </w:r>
          </w:p>
        </w:tc>
      </w:tr>
      <w:tr>
        <w:tc>
          <w:tcPr/>
          <w:p>
            <w:pPr>
              <w:pStyle w:val="Compact"/>
            </w:pPr>
            <w:r>
              <w:t xml:space="preserve">Lending growth</w:t>
            </w:r>
          </w:p>
        </w:tc>
        <w:tc>
          <w:tcPr/>
          <w:p>
            <w:pPr>
              <w:pStyle w:val="Compact"/>
            </w:pPr>
            <w:r>
              <w:t xml:space="preserve">More capital constrained</w:t>
            </w:r>
          </w:p>
        </w:tc>
      </w:tr>
      <w:tr>
        <w:tc>
          <w:tcPr/>
          <w:p>
            <w:pPr>
              <w:pStyle w:val="Compact"/>
            </w:pPr>
            <w:r>
              <w:t xml:space="preserve">LPB fee rate</w:t>
            </w:r>
          </w:p>
        </w:tc>
        <w:tc>
          <w:tcPr/>
          <w:p>
            <w:pPr>
              <w:pStyle w:val="Compact"/>
            </w:pPr>
            <w:r>
              <w:t xml:space="preserve">Lower</w:t>
            </w:r>
          </w:p>
        </w:tc>
      </w:tr>
      <w:tr>
        <w:tc>
          <w:tcPr/>
          <w:p>
            <w:pPr>
              <w:pStyle w:val="Compact"/>
            </w:pPr>
            <w:r>
              <w:t xml:space="preserve">Financial Services margin</w:t>
            </w:r>
          </w:p>
        </w:tc>
        <w:tc>
          <w:tcPr/>
          <w:p>
            <w:pPr>
              <w:pStyle w:val="Compact"/>
            </w:pPr>
            <w:r>
              <w:t xml:space="preserve">Lower</w:t>
            </w:r>
          </w:p>
        </w:tc>
      </w:tr>
      <w:tr>
        <w:tc>
          <w:tcPr/>
          <w:p>
            <w:pPr>
              <w:pStyle w:val="Compact"/>
            </w:pPr>
            <w:r>
              <w:t xml:space="preserve">Sustainable ROTCE</w:t>
            </w:r>
          </w:p>
        </w:tc>
        <w:tc>
          <w:tcPr/>
          <w:p>
            <w:pPr>
              <w:pStyle w:val="Compact"/>
            </w:pPr>
            <w:r>
              <w:t xml:space="preserve">Closer to an ordinary bank</w:t>
            </w:r>
          </w:p>
        </w:tc>
      </w:tr>
      <w:tr>
        <w:tc>
          <w:tcPr/>
          <w:p>
            <w:pPr>
              <w:pStyle w:val="Compact"/>
            </w:pPr>
            <w:r>
              <w:t xml:space="preserve">Appropriate P/TBV</w:t>
            </w:r>
          </w:p>
        </w:tc>
        <w:tc>
          <w:tcPr/>
          <w:p>
            <w:pPr>
              <w:pStyle w:val="Compact"/>
            </w:pPr>
            <w:r>
              <w:t xml:space="preserve">Potentially 1.0–1.3×</w:t>
            </w:r>
          </w:p>
        </w:tc>
      </w:tr>
    </w:tbl>
    <w:p>
      <w:pPr>
        <w:pStyle w:val="BodyText"/>
      </w:pPr>
      <w:r>
        <w:t xml:space="preserve">The P/TBV counterfactual is an analyst assumption rather than a company disclosure.</w:t>
      </w:r>
    </w:p>
    <w:p>
      <w:pPr>
        <w:pStyle w:val="BodyText"/>
      </w:pPr>
      <w:r>
        <w:t xml:space="preserve">At 1.0–1.3× the current $7.21 tangible book value per share, the no-moat valuation would be approximately:</w:t>
      </w:r>
    </w:p>
    <w:p>
      <w:pPr>
        <w:pStyle w:val="SourceCode"/>
      </w:pPr>
      <w:r>
        <w:rPr>
          <w:rStyle w:val="VerbatimChar"/>
        </w:rPr>
        <w:t xml:space="preserve">$7.20–$9.40 per share</w:t>
      </w:r>
    </w:p>
    <w:p>
      <w:pPr>
        <w:pStyle w:val="FirstParagraph"/>
      </w:pPr>
      <w:r>
        <w:t xml:space="preserve">This demonstrates that a significant portion of SoFi’s current value depends on achieving materially above-average future returns.</w:t>
      </w:r>
    </w:p>
    <w:p>
      <w:r>
        <w:pict>
          <v:rect style="width:0;height:1.5pt" o:hralign="center" o:hrstd="t" o:hr="t"/>
        </w:pict>
      </w:r>
    </w:p>
    <w:bookmarkEnd w:id="77"/>
    <w:bookmarkStart w:id="81" w:name="management-and-capital-allocation"/>
    <w:p>
      <w:pPr>
        <w:pStyle w:val="Heading1"/>
      </w:pPr>
      <w:r>
        <w:t xml:space="preserve">13. Management and capital allocation</w:t>
      </w:r>
    </w:p>
    <w:bookmarkStart w:id="78" w:name="strengths"/>
    <w:p>
      <w:pPr>
        <w:pStyle w:val="Heading2"/>
      </w:pPr>
      <w:r>
        <w:t xml:space="preserve">13.1 Strengths</w:t>
      </w:r>
    </w:p>
    <w:p>
      <w:pPr>
        <w:pStyle w:val="FirstParagraph"/>
      </w:pPr>
      <w:r>
        <w:t xml:space="preserve">Management has executed well on:</w:t>
      </w:r>
    </w:p>
    <w:p>
      <w:pPr>
        <w:pStyle w:val="Compact"/>
        <w:numPr>
          <w:ilvl w:val="0"/>
          <w:numId w:val="1027"/>
        </w:numPr>
      </w:pPr>
      <w:r>
        <w:t xml:space="preserve">Obtaining and using the bank charter.</w:t>
      </w:r>
    </w:p>
    <w:p>
      <w:pPr>
        <w:pStyle w:val="Compact"/>
        <w:numPr>
          <w:ilvl w:val="0"/>
          <w:numId w:val="1027"/>
        </w:numPr>
      </w:pPr>
      <w:r>
        <w:t xml:space="preserve">Growing deposits.</w:t>
      </w:r>
    </w:p>
    <w:p>
      <w:pPr>
        <w:pStyle w:val="Compact"/>
        <w:numPr>
          <w:ilvl w:val="0"/>
          <w:numId w:val="1027"/>
        </w:numPr>
      </w:pPr>
      <w:r>
        <w:t xml:space="preserve">Scaling members and products.</w:t>
      </w:r>
    </w:p>
    <w:p>
      <w:pPr>
        <w:pStyle w:val="Compact"/>
        <w:numPr>
          <w:ilvl w:val="0"/>
          <w:numId w:val="1027"/>
        </w:numPr>
      </w:pPr>
      <w:r>
        <w:t xml:space="preserve">Turning Financial Services profitable.</w:t>
      </w:r>
    </w:p>
    <w:p>
      <w:pPr>
        <w:pStyle w:val="Compact"/>
        <w:numPr>
          <w:ilvl w:val="0"/>
          <w:numId w:val="1027"/>
        </w:numPr>
      </w:pPr>
      <w:r>
        <w:t xml:space="preserve">Establishing the Loan Platform Business.</w:t>
      </w:r>
    </w:p>
    <w:p>
      <w:pPr>
        <w:pStyle w:val="Compact"/>
        <w:numPr>
          <w:ilvl w:val="0"/>
          <w:numId w:val="1027"/>
        </w:numPr>
      </w:pPr>
      <w:r>
        <w:t xml:space="preserve">Achieving sustained GAAP profitability.</w:t>
      </w:r>
    </w:p>
    <w:p>
      <w:pPr>
        <w:pStyle w:val="Compact"/>
        <w:numPr>
          <w:ilvl w:val="0"/>
          <w:numId w:val="1027"/>
        </w:numPr>
      </w:pPr>
      <w:r>
        <w:t xml:space="preserve">Diversifying fee revenue.</w:t>
      </w:r>
    </w:p>
    <w:p>
      <w:pPr>
        <w:pStyle w:val="Compact"/>
        <w:numPr>
          <w:ilvl w:val="0"/>
          <w:numId w:val="1027"/>
        </w:numPr>
      </w:pPr>
      <w:r>
        <w:t xml:space="preserve">Building substantial regulatory capital.</w:t>
      </w:r>
    </w:p>
    <w:bookmarkEnd w:id="78"/>
    <w:bookmarkStart w:id="79" w:name="weaknesses"/>
    <w:p>
      <w:pPr>
        <w:pStyle w:val="Heading2"/>
      </w:pPr>
      <w:r>
        <w:t xml:space="preserve">13.2 Weaknesses</w:t>
      </w:r>
    </w:p>
    <w:p>
      <w:pPr>
        <w:pStyle w:val="FirstParagraph"/>
      </w:pPr>
      <w:r>
        <w:t xml:space="preserve">Capital allocation is less proven in:</w:t>
      </w:r>
    </w:p>
    <w:p>
      <w:pPr>
        <w:pStyle w:val="Compact"/>
        <w:numPr>
          <w:ilvl w:val="0"/>
          <w:numId w:val="1028"/>
        </w:numPr>
      </w:pPr>
      <w:r>
        <w:t xml:space="preserve">Galileo and Technisys acquisition returns.</w:t>
      </w:r>
    </w:p>
    <w:p>
      <w:pPr>
        <w:pStyle w:val="Compact"/>
        <w:numPr>
          <w:ilvl w:val="0"/>
          <w:numId w:val="1028"/>
        </w:numPr>
      </w:pPr>
      <w:r>
        <w:t xml:space="preserve">Technology Platform impairment history.</w:t>
      </w:r>
    </w:p>
    <w:p>
      <w:pPr>
        <w:pStyle w:val="Compact"/>
        <w:numPr>
          <w:ilvl w:val="0"/>
          <w:numId w:val="1028"/>
        </w:numPr>
      </w:pPr>
      <w:r>
        <w:t xml:space="preserve">Stock-based compensation.</w:t>
      </w:r>
    </w:p>
    <w:p>
      <w:pPr>
        <w:pStyle w:val="Compact"/>
        <w:numPr>
          <w:ilvl w:val="0"/>
          <w:numId w:val="1028"/>
        </w:numPr>
      </w:pPr>
      <w:r>
        <w:t xml:space="preserve">Share issuance.</w:t>
      </w:r>
    </w:p>
    <w:p>
      <w:pPr>
        <w:pStyle w:val="Compact"/>
        <w:numPr>
          <w:ilvl w:val="0"/>
          <w:numId w:val="1028"/>
        </w:numPr>
      </w:pPr>
      <w:r>
        <w:t xml:space="preserve">Dilution.</w:t>
      </w:r>
    </w:p>
    <w:p>
      <w:pPr>
        <w:pStyle w:val="Compact"/>
        <w:numPr>
          <w:ilvl w:val="0"/>
          <w:numId w:val="1028"/>
        </w:numPr>
      </w:pPr>
      <w:r>
        <w:t xml:space="preserve">The need to raise capital despite improving profitability.</w:t>
      </w:r>
    </w:p>
    <w:p>
      <w:pPr>
        <w:pStyle w:val="FirstParagraph"/>
      </w:pPr>
      <w:r>
        <w:t xml:space="preserve">SoFi completed major common-stock offerings during 2025 and early 2026. Outstanding common shares reached approximately 1.281 billion at March 31, 2026, compared with approximately 1.104 billion one year earlier.</w:t>
      </w:r>
    </w:p>
    <w:p>
      <w:pPr>
        <w:pStyle w:val="BodyText"/>
      </w:pPr>
      <w:r>
        <w:t xml:space="preserve">The company also had substantial shares reserved for equity compensation and convertible instruments.</w:t>
      </w:r>
    </w:p>
    <w:bookmarkEnd w:id="79"/>
    <w:bookmarkStart w:id="80" w:name="management-score"/>
    <w:p>
      <w:pPr>
        <w:pStyle w:val="Heading2"/>
      </w:pPr>
      <w:r>
        <w:t xml:space="preserve">13.3 Management score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Dimension</w:t>
            </w:r>
          </w:p>
        </w:tc>
        <w:tc>
          <w:tcPr/>
          <w:p>
            <w:pPr>
              <w:pStyle w:val="Compact"/>
              <w:jc w:val="right"/>
            </w:pPr>
            <w:r>
              <w:t xml:space="preserve">Score</w:t>
            </w:r>
          </w:p>
        </w:tc>
      </w:tr>
      <w:tr>
        <w:tc>
          <w:tcPr/>
          <w:p>
            <w:pPr>
              <w:pStyle w:val="Compact"/>
            </w:pPr>
            <w:r>
              <w:t xml:space="preserve">Strategic vision</w:t>
            </w:r>
          </w:p>
        </w:tc>
        <w:tc>
          <w:tcPr/>
          <w:p>
            <w:pPr>
              <w:pStyle w:val="Compact"/>
              <w:jc w:val="right"/>
            </w:pPr>
            <w:r>
              <w:t xml:space="preserve">4.0/5</w:t>
            </w:r>
          </w:p>
        </w:tc>
      </w:tr>
      <w:tr>
        <w:tc>
          <w:tcPr/>
          <w:p>
            <w:pPr>
              <w:pStyle w:val="Compact"/>
            </w:pPr>
            <w:r>
              <w:t xml:space="preserve">Operating execution</w:t>
            </w:r>
          </w:p>
        </w:tc>
        <w:tc>
          <w:tcPr/>
          <w:p>
            <w:pPr>
              <w:pStyle w:val="Compact"/>
              <w:jc w:val="right"/>
            </w:pPr>
            <w:r>
              <w:t xml:space="preserve">4.0/5</w:t>
            </w:r>
          </w:p>
        </w:tc>
      </w:tr>
      <w:tr>
        <w:tc>
          <w:tcPr/>
          <w:p>
            <w:pPr>
              <w:pStyle w:val="Compact"/>
            </w:pPr>
            <w:r>
              <w:t xml:space="preserve">Risk management</w:t>
            </w:r>
          </w:p>
        </w:tc>
        <w:tc>
          <w:tcPr/>
          <w:p>
            <w:pPr>
              <w:pStyle w:val="Compact"/>
              <w:jc w:val="right"/>
            </w:pPr>
            <w:r>
              <w:t xml:space="preserve">3.5/5</w:t>
            </w:r>
          </w:p>
        </w:tc>
      </w:tr>
      <w:tr>
        <w:tc>
          <w:tcPr/>
          <w:p>
            <w:pPr>
              <w:pStyle w:val="Compact"/>
            </w:pPr>
            <w:r>
              <w:t xml:space="preserve">Capital allocation</w:t>
            </w:r>
          </w:p>
        </w:tc>
        <w:tc>
          <w:tcPr/>
          <w:p>
            <w:pPr>
              <w:pStyle w:val="Compact"/>
              <w:jc w:val="right"/>
            </w:pPr>
            <w:r>
              <w:t xml:space="preserve">3.0/5</w:t>
            </w:r>
          </w:p>
        </w:tc>
      </w:tr>
      <w:tr>
        <w:tc>
          <w:tcPr/>
          <w:p>
            <w:pPr>
              <w:pStyle w:val="Compact"/>
            </w:pPr>
            <w:r>
              <w:t xml:space="preserve">Shareholder alignment</w:t>
            </w:r>
          </w:p>
        </w:tc>
        <w:tc>
          <w:tcPr/>
          <w:p>
            <w:pPr>
              <w:pStyle w:val="Compact"/>
              <w:jc w:val="right"/>
            </w:pPr>
            <w:r>
              <w:t xml:space="preserve">3.5/5</w:t>
            </w:r>
          </w:p>
        </w:tc>
      </w:tr>
      <w:tr>
        <w:tc>
          <w:tcPr/>
          <w:p>
            <w:pPr>
              <w:pStyle w:val="Compact"/>
            </w:pPr>
            <w:r>
              <w:t xml:space="preserve">Overall</w:t>
            </w:r>
          </w:p>
        </w:tc>
        <w:tc>
          <w:tcPr/>
          <w:p>
            <w:pPr>
              <w:pStyle w:val="Compact"/>
              <w:jc w:val="right"/>
            </w:pPr>
            <w:r>
              <w:rPr>
                <w:b/>
                <w:bCs/>
              </w:rPr>
              <w:t xml:space="preserve">3.6/5</w:t>
            </w:r>
          </w:p>
        </w:tc>
      </w:tr>
    </w:tbl>
    <w:p>
      <w:pPr>
        <w:pStyle w:val="BodyText"/>
      </w:pPr>
      <w:r>
        <w:rPr>
          <w:b/>
          <w:bCs/>
        </w:rPr>
        <w:t xml:space="preserve">Conclusion:</w:t>
      </w:r>
      <w:r>
        <w:t xml:space="preserve"> </w:t>
      </w:r>
      <w:r>
        <w:t xml:space="preserve">Management is a strong operator but not yet a fully proven capital allocator.</w:t>
      </w:r>
    </w:p>
    <w:p>
      <w:r>
        <w:pict>
          <v:rect style="width:0;height:1.5pt" o:hralign="center" o:hrstd="t" o:hr="t"/>
        </w:pict>
      </w:r>
    </w:p>
    <w:bookmarkEnd w:id="80"/>
    <w:bookmarkEnd w:id="81"/>
    <w:bookmarkStart w:id="86" w:name="X2152600e6295963de5b5dbb4cb68c4e1616f4d3"/>
    <w:p>
      <w:pPr>
        <w:pStyle w:val="Heading1"/>
      </w:pPr>
      <w:r>
        <w:t xml:space="preserve">14. Why the revised net margins are defensible</w:t>
      </w:r>
    </w:p>
    <w:bookmarkStart w:id="82" w:name="sofi-is-not-purely-saas"/>
    <w:p>
      <w:pPr>
        <w:pStyle w:val="Heading2"/>
      </w:pPr>
      <w:r>
        <w:t xml:space="preserve">14.1 SoFi is not purely SaaS</w:t>
      </w:r>
    </w:p>
    <w:p>
      <w:pPr>
        <w:pStyle w:val="FirstParagraph"/>
      </w:pPr>
      <w:r>
        <w:t xml:space="preserve">Technology Solutions represented a minority of consolidated revenue and was shrinking in Q1 2026.</w:t>
      </w:r>
    </w:p>
    <w:p>
      <w:pPr>
        <w:pStyle w:val="BodyText"/>
      </w:pPr>
      <w:r>
        <w:t xml:space="preserve">The correct argument is not that SoFi is primarily SaaS.</w:t>
      </w:r>
    </w:p>
    <w:p>
      <w:pPr>
        <w:pStyle w:val="BodyText"/>
      </w:pPr>
      <w:r>
        <w:t xml:space="preserve">The stronger argument is:</w:t>
      </w:r>
    </w:p>
    <w:p>
      <w:pPr>
        <w:pStyle w:val="BlockText"/>
      </w:pPr>
      <w:r>
        <w:t xml:space="preserve">SoFi has a growing collection of digitally scalable, capital-light and fee-based businesses alongside its bank.</w:t>
      </w:r>
    </w:p>
    <w:p>
      <w:pPr>
        <w:pStyle w:val="FirstParagraph"/>
      </w:pPr>
      <w:r>
        <w:t xml:space="preserve">Fee-based revenue includes:</w:t>
      </w:r>
    </w:p>
    <w:p>
      <w:pPr>
        <w:pStyle w:val="Compact"/>
        <w:numPr>
          <w:ilvl w:val="0"/>
          <w:numId w:val="1029"/>
        </w:numPr>
      </w:pPr>
      <w:r>
        <w:t xml:space="preserve">Loan Platform Business fees.</w:t>
      </w:r>
    </w:p>
    <w:p>
      <w:pPr>
        <w:pStyle w:val="Compact"/>
        <w:numPr>
          <w:ilvl w:val="0"/>
          <w:numId w:val="1029"/>
        </w:numPr>
      </w:pPr>
      <w:r>
        <w:t xml:space="preserve">Loan-origination fees.</w:t>
      </w:r>
    </w:p>
    <w:p>
      <w:pPr>
        <w:pStyle w:val="Compact"/>
        <w:numPr>
          <w:ilvl w:val="0"/>
          <w:numId w:val="1029"/>
        </w:numPr>
      </w:pPr>
      <w:r>
        <w:t xml:space="preserve">Referrals.</w:t>
      </w:r>
    </w:p>
    <w:p>
      <w:pPr>
        <w:pStyle w:val="Compact"/>
        <w:numPr>
          <w:ilvl w:val="0"/>
          <w:numId w:val="1029"/>
        </w:numPr>
      </w:pPr>
      <w:r>
        <w:t xml:space="preserve">Interchange.</w:t>
      </w:r>
    </w:p>
    <w:p>
      <w:pPr>
        <w:pStyle w:val="Compact"/>
        <w:numPr>
          <w:ilvl w:val="0"/>
          <w:numId w:val="1029"/>
        </w:numPr>
      </w:pPr>
      <w:r>
        <w:t xml:space="preserve">Brokerage.</w:t>
      </w:r>
    </w:p>
    <w:p>
      <w:pPr>
        <w:pStyle w:val="Compact"/>
        <w:numPr>
          <w:ilvl w:val="0"/>
          <w:numId w:val="1029"/>
        </w:numPr>
      </w:pPr>
      <w:r>
        <w:t xml:space="preserve">Technology services.</w:t>
      </w:r>
    </w:p>
    <w:p>
      <w:pPr>
        <w:pStyle w:val="Compact"/>
        <w:numPr>
          <w:ilvl w:val="0"/>
          <w:numId w:val="1029"/>
        </w:numPr>
      </w:pPr>
      <w:r>
        <w:t xml:space="preserve">Crypto transaction revenue.</w:t>
      </w:r>
    </w:p>
    <w:p>
      <w:pPr>
        <w:pStyle w:val="Compact"/>
        <w:numPr>
          <w:ilvl w:val="0"/>
          <w:numId w:val="1029"/>
        </w:numPr>
      </w:pPr>
      <w:r>
        <w:t xml:space="preserve">Other transactional revenue.</w:t>
      </w:r>
    </w:p>
    <w:p>
      <w:pPr>
        <w:pStyle w:val="FirstParagraph"/>
      </w:pPr>
      <w:r>
        <w:t xml:space="preserve">Q1 2026 fee-based revenue reached approximately $386.8 million.</w:t>
      </w:r>
    </w:p>
    <w:bookmarkEnd w:id="82"/>
    <w:bookmarkStart w:id="83" w:name="X298a8335aafab4f12e88080b8c8c5d715ceb6d2"/>
    <w:p>
      <w:pPr>
        <w:pStyle w:val="Heading2"/>
      </w:pPr>
      <w:r>
        <w:t xml:space="preserve">14.2 Segment economics support higher consolidated margins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Segment</w:t>
            </w:r>
          </w:p>
        </w:tc>
        <w:tc>
          <w:tcPr/>
          <w:p>
            <w:pPr>
              <w:pStyle w:val="Compact"/>
              <w:jc w:val="right"/>
            </w:pPr>
            <w:r>
              <w:t xml:space="preserve">Recent contribution margin</w:t>
            </w:r>
          </w:p>
        </w:tc>
      </w:tr>
      <w:tr>
        <w:tc>
          <w:tcPr/>
          <w:p>
            <w:pPr>
              <w:pStyle w:val="Compact"/>
            </w:pPr>
            <w:r>
              <w:t xml:space="preserve">Lending</w:t>
            </w:r>
          </w:p>
        </w:tc>
        <w:tc>
          <w:tcPr/>
          <w:p>
            <w:pPr>
              <w:pStyle w:val="Compact"/>
              <w:jc w:val="right"/>
            </w:pPr>
            <w:r>
              <w:t xml:space="preserve">Approximately 61%</w:t>
            </w:r>
          </w:p>
        </w:tc>
      </w:tr>
      <w:tr>
        <w:tc>
          <w:tcPr/>
          <w:p>
            <w:pPr>
              <w:pStyle w:val="Compact"/>
            </w:pPr>
            <w:r>
              <w:t xml:space="preserve">Financial Services</w:t>
            </w:r>
          </w:p>
        </w:tc>
        <w:tc>
          <w:tcPr/>
          <w:p>
            <w:pPr>
              <w:pStyle w:val="Compact"/>
              <w:jc w:val="right"/>
            </w:pPr>
            <w:r>
              <w:t xml:space="preserve">Approximately 46%</w:t>
            </w:r>
          </w:p>
        </w:tc>
      </w:tr>
      <w:tr>
        <w:tc>
          <w:tcPr/>
          <w:p>
            <w:pPr>
              <w:pStyle w:val="Compact"/>
            </w:pPr>
            <w:r>
              <w:t xml:space="preserve">Technology Solutions</w:t>
            </w:r>
          </w:p>
        </w:tc>
        <w:tc>
          <w:tcPr/>
          <w:p>
            <w:pPr>
              <w:pStyle w:val="Compact"/>
              <w:jc w:val="right"/>
            </w:pPr>
            <w:r>
              <w:t xml:space="preserve">Approximately 16%</w:t>
            </w:r>
          </w:p>
        </w:tc>
      </w:tr>
      <w:tr>
        <w:tc>
          <w:tcPr/>
          <w:p>
            <w:pPr>
              <w:pStyle w:val="Compact"/>
            </w:pPr>
            <w:r>
              <w:t xml:space="preserve">Technology normalized historical range</w:t>
            </w:r>
          </w:p>
        </w:tc>
        <w:tc>
          <w:tcPr/>
          <w:p>
            <w:pPr>
              <w:pStyle w:val="Compact"/>
              <w:jc w:val="right"/>
            </w:pPr>
            <w:r>
              <w:t xml:space="preserve">Approximately 28–35%</w:t>
            </w:r>
          </w:p>
        </w:tc>
      </w:tr>
    </w:tbl>
    <w:p>
      <w:pPr>
        <w:pStyle w:val="BodyText"/>
      </w:pPr>
      <w:r>
        <w:t xml:space="preserve">The consolidated margin remains lower because SoFi must absorb:</w:t>
      </w:r>
    </w:p>
    <w:p>
      <w:pPr>
        <w:pStyle w:val="Compact"/>
        <w:numPr>
          <w:ilvl w:val="0"/>
          <w:numId w:val="1030"/>
        </w:numPr>
      </w:pPr>
      <w:r>
        <w:t xml:space="preserve">Corporate expenses.</w:t>
      </w:r>
    </w:p>
    <w:p>
      <w:pPr>
        <w:pStyle w:val="Compact"/>
        <w:numPr>
          <w:ilvl w:val="0"/>
          <w:numId w:val="1030"/>
        </w:numPr>
      </w:pPr>
      <w:r>
        <w:t xml:space="preserve">Marketing.</w:t>
      </w:r>
    </w:p>
    <w:p>
      <w:pPr>
        <w:pStyle w:val="Compact"/>
        <w:numPr>
          <w:ilvl w:val="0"/>
          <w:numId w:val="1030"/>
        </w:numPr>
      </w:pPr>
      <w:r>
        <w:t xml:space="preserve">Product development.</w:t>
      </w:r>
    </w:p>
    <w:p>
      <w:pPr>
        <w:pStyle w:val="Compact"/>
        <w:numPr>
          <w:ilvl w:val="0"/>
          <w:numId w:val="1030"/>
        </w:numPr>
      </w:pPr>
      <w:r>
        <w:t xml:space="preserve">Stock compensation.</w:t>
      </w:r>
    </w:p>
    <w:p>
      <w:pPr>
        <w:pStyle w:val="Compact"/>
        <w:numPr>
          <w:ilvl w:val="0"/>
          <w:numId w:val="1030"/>
        </w:numPr>
      </w:pPr>
      <w:r>
        <w:t xml:space="preserve">Depreciation and amortization.</w:t>
      </w:r>
    </w:p>
    <w:p>
      <w:pPr>
        <w:pStyle w:val="Compact"/>
        <w:numPr>
          <w:ilvl w:val="0"/>
          <w:numId w:val="1030"/>
        </w:numPr>
      </w:pPr>
      <w:r>
        <w:t xml:space="preserve">Interest.</w:t>
      </w:r>
    </w:p>
    <w:p>
      <w:pPr>
        <w:pStyle w:val="Compact"/>
        <w:numPr>
          <w:ilvl w:val="0"/>
          <w:numId w:val="1030"/>
        </w:numPr>
      </w:pPr>
      <w:r>
        <w:t xml:space="preserve">Taxes.</w:t>
      </w:r>
    </w:p>
    <w:p>
      <w:pPr>
        <w:pStyle w:val="Compact"/>
        <w:numPr>
          <w:ilvl w:val="0"/>
          <w:numId w:val="1030"/>
        </w:numPr>
      </w:pPr>
      <w:r>
        <w:t xml:space="preserve">Unallocated costs.</w:t>
      </w:r>
    </w:p>
    <w:p>
      <w:pPr>
        <w:pStyle w:val="FirstParagraph"/>
      </w:pPr>
      <w:r>
        <w:t xml:space="preserve">As these costs grow more slowly than revenue, the net margin can move materially higher.</w:t>
      </w:r>
    </w:p>
    <w:bookmarkEnd w:id="83"/>
    <w:bookmarkStart w:id="84" w:name="X9f9cdc4a471a8e28d31738199e05e6b355ac338"/>
    <w:p>
      <w:pPr>
        <w:pStyle w:val="Heading2"/>
      </w:pPr>
      <w:r>
        <w:t xml:space="preserve">14.3 Management already guides to an 18% margin</w:t>
      </w:r>
    </w:p>
    <w:p>
      <w:pPr>
        <w:pStyle w:val="FirstParagraph"/>
      </w:pPr>
      <w:r>
        <w:t xml:space="preserve">Management’s 2026 guidance includes:</w:t>
      </w:r>
    </w:p>
    <w:p>
      <w:pPr>
        <w:pStyle w:val="Compact"/>
        <w:numPr>
          <w:ilvl w:val="0"/>
          <w:numId w:val="1031"/>
        </w:numPr>
      </w:pPr>
      <w:r>
        <w:t xml:space="preserve">Approximately $4.655 billion of adjusted net revenue.</w:t>
      </w:r>
    </w:p>
    <w:p>
      <w:pPr>
        <w:pStyle w:val="Compact"/>
        <w:numPr>
          <w:ilvl w:val="0"/>
          <w:numId w:val="1031"/>
        </w:numPr>
      </w:pPr>
      <w:r>
        <w:t xml:space="preserve">Approximately $1.6 billion of adjusted EBITDA.</w:t>
      </w:r>
    </w:p>
    <w:p>
      <w:pPr>
        <w:pStyle w:val="Compact"/>
        <w:numPr>
          <w:ilvl w:val="0"/>
          <w:numId w:val="1031"/>
        </w:numPr>
      </w:pPr>
      <w:r>
        <w:t xml:space="preserve">Approximately 34% adjusted EBITDA margin.</w:t>
      </w:r>
    </w:p>
    <w:p>
      <w:pPr>
        <w:pStyle w:val="Compact"/>
        <w:numPr>
          <w:ilvl w:val="0"/>
          <w:numId w:val="1031"/>
        </w:numPr>
      </w:pPr>
      <w:r>
        <w:t xml:space="preserve">Approximately $825 million of adjusted net income.</w:t>
      </w:r>
    </w:p>
    <w:p>
      <w:pPr>
        <w:pStyle w:val="Compact"/>
        <w:numPr>
          <w:ilvl w:val="0"/>
          <w:numId w:val="1031"/>
        </w:numPr>
      </w:pPr>
      <w:r>
        <w:t xml:space="preserve">Approximately 18% adjusted net income margin.</w:t>
      </w:r>
    </w:p>
    <w:p>
      <w:pPr>
        <w:pStyle w:val="Compact"/>
        <w:numPr>
          <w:ilvl w:val="0"/>
          <w:numId w:val="1031"/>
        </w:numPr>
      </w:pPr>
      <w:r>
        <w:t xml:space="preserve">Approximately $0.60 adjusted EPS.</w:t>
      </w:r>
    </w:p>
    <w:p>
      <w:pPr>
        <w:pStyle w:val="FirstParagraph"/>
      </w:pPr>
      <w:r>
        <w:t xml:space="preserve">Management also expects at least 30% adjusted-revenue CAGR from 2025 to 2028 and 38–42% adjusted-EPS CAGR.</w:t>
      </w:r>
    </w:p>
    <w:p>
      <w:pPr>
        <w:pStyle w:val="BodyText"/>
      </w:pPr>
      <w:r>
        <w:t xml:space="preserve">Therefore, an 18% margin in 2028 represents minimal improvement after 2026 and is appropriate as an operating bear case.</w:t>
      </w:r>
    </w:p>
    <w:bookmarkEnd w:id="84"/>
    <w:bookmarkStart w:id="85" w:name="margin-requirements"/>
    <w:p>
      <w:pPr>
        <w:pStyle w:val="Heading2"/>
      </w:pPr>
      <w:r>
        <w:t xml:space="preserve">14.4 Margin requirements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Scenario</w:t>
            </w:r>
          </w:p>
        </w:tc>
        <w:tc>
          <w:tcPr/>
          <w:p>
            <w:pPr>
              <w:pStyle w:val="Compact"/>
              <w:jc w:val="right"/>
            </w:pPr>
            <w:r>
              <w:t xml:space="preserve">Net margin</w:t>
            </w:r>
          </w:p>
        </w:tc>
        <w:tc>
          <w:tcPr/>
          <w:p>
            <w:pPr>
              <w:pStyle w:val="Compact"/>
              <w:jc w:val="right"/>
            </w:pPr>
            <w:r>
              <w:t xml:space="preserve">Approximate EBITDA margin required</w:t>
            </w:r>
          </w:p>
        </w:tc>
      </w:tr>
      <w:tr>
        <w:tc>
          <w:tcPr/>
          <w:p>
            <w:pPr>
              <w:pStyle w:val="Compact"/>
            </w:pPr>
            <w:r>
              <w:t xml:space="preserve">Bear</w:t>
            </w:r>
          </w:p>
        </w:tc>
        <w:tc>
          <w:tcPr/>
          <w:p>
            <w:pPr>
              <w:pStyle w:val="Compact"/>
              <w:jc w:val="right"/>
            </w:pPr>
            <w:r>
              <w:t xml:space="preserve">18%</w:t>
            </w:r>
          </w:p>
        </w:tc>
        <w:tc>
          <w:tcPr/>
          <w:p>
            <w:pPr>
              <w:pStyle w:val="Compact"/>
              <w:jc w:val="right"/>
            </w:pPr>
            <w:r>
              <w:t xml:space="preserve">34–36%</w:t>
            </w:r>
          </w:p>
        </w:tc>
      </w:tr>
      <w:tr>
        <w:tc>
          <w:tcPr/>
          <w:p>
            <w:pPr>
              <w:pStyle w:val="Compact"/>
            </w:pPr>
            <w:r>
              <w:t xml:space="preserve">Base</w:t>
            </w:r>
          </w:p>
        </w:tc>
        <w:tc>
          <w:tcPr/>
          <w:p>
            <w:pPr>
              <w:pStyle w:val="Compact"/>
              <w:jc w:val="right"/>
            </w:pPr>
            <w:r>
              <w:t xml:space="preserve">25%</w:t>
            </w:r>
          </w:p>
        </w:tc>
        <w:tc>
          <w:tcPr/>
          <w:p>
            <w:pPr>
              <w:pStyle w:val="Compact"/>
              <w:jc w:val="right"/>
            </w:pPr>
            <w:r>
              <w:t xml:space="preserve">40–42%</w:t>
            </w:r>
          </w:p>
        </w:tc>
      </w:tr>
      <w:tr>
        <w:tc>
          <w:tcPr/>
          <w:p>
            <w:pPr>
              <w:pStyle w:val="Compact"/>
            </w:pPr>
            <w:r>
              <w:t xml:space="preserve">Bull</w:t>
            </w:r>
          </w:p>
        </w:tc>
        <w:tc>
          <w:tcPr/>
          <w:p>
            <w:pPr>
              <w:pStyle w:val="Compact"/>
              <w:jc w:val="right"/>
            </w:pPr>
            <w:r>
              <w:t xml:space="preserve">30%</w:t>
            </w:r>
          </w:p>
        </w:tc>
        <w:tc>
          <w:tcPr/>
          <w:p>
            <w:pPr>
              <w:pStyle w:val="Compact"/>
              <w:jc w:val="right"/>
            </w:pPr>
            <w:r>
              <w:t xml:space="preserve">46–48%</w:t>
            </w:r>
          </w:p>
        </w:tc>
      </w:tr>
    </w:tbl>
    <w:p>
      <w:pPr>
        <w:pStyle w:val="BodyText"/>
      </w:pPr>
      <w:r>
        <w:t xml:space="preserve">The precise bridge depends on taxes, stock compensation, depreciation, amortization, interest and non-operating items.</w:t>
      </w:r>
    </w:p>
    <w:p>
      <w:r>
        <w:pict>
          <v:rect style="width:0;height:1.5pt" o:hralign="center" o:hrstd="t" o:hr="t"/>
        </w:pict>
      </w:r>
    </w:p>
    <w:bookmarkEnd w:id="85"/>
    <w:bookmarkEnd w:id="86"/>
    <w:bookmarkStart w:id="91" w:name="process-outcome-scenarios"/>
    <w:p>
      <w:pPr>
        <w:pStyle w:val="Heading1"/>
      </w:pPr>
      <w:r>
        <w:t xml:space="preserve">15. Process-outcome scenarios</w:t>
      </w:r>
    </w:p>
    <w:bookmarkStart w:id="87" w:name="operating-bear"/>
    <w:p>
      <w:pPr>
        <w:pStyle w:val="Heading2"/>
      </w:pPr>
      <w:r>
        <w:t xml:space="preserve">15.1 Operating bear</w:t>
      </w:r>
    </w:p>
    <w:p>
      <w:pPr>
        <w:pStyle w:val="Compact"/>
        <w:numPr>
          <w:ilvl w:val="0"/>
          <w:numId w:val="1032"/>
        </w:numPr>
      </w:pPr>
      <w:r>
        <w:t xml:space="preserve">Member growth falls below 20%.</w:t>
      </w:r>
    </w:p>
    <w:p>
      <w:pPr>
        <w:pStyle w:val="Compact"/>
        <w:numPr>
          <w:ilvl w:val="0"/>
          <w:numId w:val="1032"/>
        </w:numPr>
      </w:pPr>
      <w:r>
        <w:t xml:space="preserve">Cross-buy remains below 40%.</w:t>
      </w:r>
    </w:p>
    <w:p>
      <w:pPr>
        <w:pStyle w:val="Compact"/>
        <w:numPr>
          <w:ilvl w:val="0"/>
          <w:numId w:val="1032"/>
        </w:numPr>
      </w:pPr>
      <w:r>
        <w:t xml:space="preserve">Products per member stagnates.</w:t>
      </w:r>
    </w:p>
    <w:p>
      <w:pPr>
        <w:pStyle w:val="Compact"/>
        <w:numPr>
          <w:ilvl w:val="0"/>
          <w:numId w:val="1032"/>
        </w:numPr>
      </w:pPr>
      <w:r>
        <w:t xml:space="preserve">Technology Solutions remains weak.</w:t>
      </w:r>
    </w:p>
    <w:p>
      <w:pPr>
        <w:pStyle w:val="Compact"/>
        <w:numPr>
          <w:ilvl w:val="0"/>
          <w:numId w:val="1032"/>
        </w:numPr>
      </w:pPr>
      <w:r>
        <w:t xml:space="preserve">Financial Services contribution margin falls toward 40%.</w:t>
      </w:r>
    </w:p>
    <w:p>
      <w:pPr>
        <w:pStyle w:val="Compact"/>
        <w:numPr>
          <w:ilvl w:val="0"/>
          <w:numId w:val="1032"/>
        </w:numPr>
      </w:pPr>
      <w:r>
        <w:t xml:space="preserve">LPB originations slow.</w:t>
      </w:r>
    </w:p>
    <w:p>
      <w:pPr>
        <w:pStyle w:val="Compact"/>
        <w:numPr>
          <w:ilvl w:val="0"/>
          <w:numId w:val="1032"/>
        </w:numPr>
      </w:pPr>
      <w:r>
        <w:t xml:space="preserve">Net interest margin declines.</w:t>
      </w:r>
    </w:p>
    <w:p>
      <w:pPr>
        <w:pStyle w:val="Compact"/>
        <w:numPr>
          <w:ilvl w:val="0"/>
          <w:numId w:val="1032"/>
        </w:numPr>
      </w:pPr>
      <w:r>
        <w:t xml:space="preserve">Stock compensation remains elevated.</w:t>
      </w:r>
    </w:p>
    <w:p>
      <w:pPr>
        <w:pStyle w:val="Compact"/>
        <w:numPr>
          <w:ilvl w:val="0"/>
          <w:numId w:val="1032"/>
        </w:numPr>
      </w:pPr>
      <w:r>
        <w:t xml:space="preserve">Revenue still grows, but operating leverage stalls.</w:t>
      </w:r>
    </w:p>
    <w:p>
      <w:pPr>
        <w:pStyle w:val="FirstParagraph"/>
      </w:pPr>
      <w:r>
        <w:rPr>
          <w:b/>
          <w:bCs/>
        </w:rPr>
        <w:t xml:space="preserve">Adjusted net margin: 18%</w:t>
      </w:r>
    </w:p>
    <w:p>
      <w:pPr>
        <w:pStyle w:val="BodyText"/>
      </w:pPr>
      <w:r>
        <w:t xml:space="preserve">This is not a severe recession scenario. It represents operational disappointment while the company remains profitable and growing.</w:t>
      </w:r>
    </w:p>
    <w:bookmarkEnd w:id="87"/>
    <w:bookmarkStart w:id="88" w:name="base-case"/>
    <w:p>
      <w:pPr>
        <w:pStyle w:val="Heading2"/>
      </w:pPr>
      <w:r>
        <w:t xml:space="preserve">15.2 Base case</w:t>
      </w:r>
    </w:p>
    <w:p>
      <w:pPr>
        <w:pStyle w:val="Compact"/>
        <w:numPr>
          <w:ilvl w:val="0"/>
          <w:numId w:val="1033"/>
        </w:numPr>
      </w:pPr>
      <w:r>
        <w:t xml:space="preserve">Member growth remains approximately 25–30%.</w:t>
      </w:r>
    </w:p>
    <w:p>
      <w:pPr>
        <w:pStyle w:val="Compact"/>
        <w:numPr>
          <w:ilvl w:val="0"/>
          <w:numId w:val="1033"/>
        </w:numPr>
      </w:pPr>
      <w:r>
        <w:t xml:space="preserve">Cross-buy remains approximately 40–45%.</w:t>
      </w:r>
    </w:p>
    <w:p>
      <w:pPr>
        <w:pStyle w:val="Compact"/>
        <w:numPr>
          <w:ilvl w:val="0"/>
          <w:numId w:val="1033"/>
        </w:numPr>
      </w:pPr>
      <w:r>
        <w:t xml:space="preserve">Products per member continues rising.</w:t>
      </w:r>
    </w:p>
    <w:p>
      <w:pPr>
        <w:pStyle w:val="Compact"/>
        <w:numPr>
          <w:ilvl w:val="0"/>
          <w:numId w:val="1033"/>
        </w:numPr>
      </w:pPr>
      <w:r>
        <w:t xml:space="preserve">Financial Services contribution margin remains near 48–52%.</w:t>
      </w:r>
    </w:p>
    <w:p>
      <w:pPr>
        <w:pStyle w:val="Compact"/>
        <w:numPr>
          <w:ilvl w:val="0"/>
          <w:numId w:val="1033"/>
        </w:numPr>
      </w:pPr>
      <w:r>
        <w:t xml:space="preserve">Lending contribution margin remains near 55–60%.</w:t>
      </w:r>
    </w:p>
    <w:p>
      <w:pPr>
        <w:pStyle w:val="Compact"/>
        <w:numPr>
          <w:ilvl w:val="0"/>
          <w:numId w:val="1033"/>
        </w:numPr>
      </w:pPr>
      <w:r>
        <w:t xml:space="preserve">LPB continues expanding.</w:t>
      </w:r>
    </w:p>
    <w:p>
      <w:pPr>
        <w:pStyle w:val="Compact"/>
        <w:numPr>
          <w:ilvl w:val="0"/>
          <w:numId w:val="1033"/>
        </w:numPr>
      </w:pPr>
      <w:r>
        <w:t xml:space="preserve">Technology Solutions returns to positive growth.</w:t>
      </w:r>
    </w:p>
    <w:p>
      <w:pPr>
        <w:pStyle w:val="Compact"/>
        <w:numPr>
          <w:ilvl w:val="0"/>
          <w:numId w:val="1033"/>
        </w:numPr>
      </w:pPr>
      <w:r>
        <w:t xml:space="preserve">Corporate expenses grow slower than revenue.</w:t>
      </w:r>
    </w:p>
    <w:p>
      <w:pPr>
        <w:pStyle w:val="Compact"/>
        <w:numPr>
          <w:ilvl w:val="0"/>
          <w:numId w:val="1033"/>
        </w:numPr>
      </w:pPr>
      <w:r>
        <w:t xml:space="preserve">Stock compensation and D&amp;A decline as percentages of revenue.</w:t>
      </w:r>
    </w:p>
    <w:p>
      <w:pPr>
        <w:pStyle w:val="Compact"/>
        <w:numPr>
          <w:ilvl w:val="0"/>
          <w:numId w:val="1033"/>
        </w:numPr>
      </w:pPr>
      <w:r>
        <w:t xml:space="preserve">Credit remains controlled.</w:t>
      </w:r>
    </w:p>
    <w:p>
      <w:pPr>
        <w:pStyle w:val="FirstParagraph"/>
      </w:pPr>
      <w:r>
        <w:rPr>
          <w:b/>
          <w:bCs/>
        </w:rPr>
        <w:t xml:space="preserve">Adjusted net margin: 25%</w:t>
      </w:r>
    </w:p>
    <w:bookmarkEnd w:id="88"/>
    <w:bookmarkStart w:id="89" w:name="bull-case"/>
    <w:p>
      <w:pPr>
        <w:pStyle w:val="Heading2"/>
      </w:pPr>
      <w:r>
        <w:t xml:space="preserve">15.3 Bull case</w:t>
      </w:r>
    </w:p>
    <w:p>
      <w:pPr>
        <w:pStyle w:val="Compact"/>
        <w:numPr>
          <w:ilvl w:val="0"/>
          <w:numId w:val="1034"/>
        </w:numPr>
      </w:pPr>
      <w:r>
        <w:t xml:space="preserve">Member growth remains above 30%.</w:t>
      </w:r>
    </w:p>
    <w:p>
      <w:pPr>
        <w:pStyle w:val="Compact"/>
        <w:numPr>
          <w:ilvl w:val="0"/>
          <w:numId w:val="1034"/>
        </w:numPr>
      </w:pPr>
      <w:r>
        <w:t xml:space="preserve">Products per member rises above 1.60.</w:t>
      </w:r>
    </w:p>
    <w:p>
      <w:pPr>
        <w:pStyle w:val="Compact"/>
        <w:numPr>
          <w:ilvl w:val="0"/>
          <w:numId w:val="1034"/>
        </w:numPr>
      </w:pPr>
      <w:r>
        <w:t xml:space="preserve">Cross-buy exceeds 48%.</w:t>
      </w:r>
    </w:p>
    <w:p>
      <w:pPr>
        <w:pStyle w:val="Compact"/>
        <w:numPr>
          <w:ilvl w:val="0"/>
          <w:numId w:val="1034"/>
        </w:numPr>
      </w:pPr>
      <w:r>
        <w:t xml:space="preserve">Fee-based revenue exceeds 50% of total revenue.</w:t>
      </w:r>
    </w:p>
    <w:p>
      <w:pPr>
        <w:pStyle w:val="Compact"/>
        <w:numPr>
          <w:ilvl w:val="0"/>
          <w:numId w:val="1034"/>
        </w:numPr>
      </w:pPr>
      <w:r>
        <w:t xml:space="preserve">Financial Services contribution margin exceeds 52%.</w:t>
      </w:r>
    </w:p>
    <w:p>
      <w:pPr>
        <w:pStyle w:val="Compact"/>
        <w:numPr>
          <w:ilvl w:val="0"/>
          <w:numId w:val="1034"/>
        </w:numPr>
      </w:pPr>
      <w:r>
        <w:t xml:space="preserve">Technology Solutions returns to more than 20% growth.</w:t>
      </w:r>
    </w:p>
    <w:p>
      <w:pPr>
        <w:pStyle w:val="Compact"/>
        <w:numPr>
          <w:ilvl w:val="0"/>
          <w:numId w:val="1034"/>
        </w:numPr>
      </w:pPr>
      <w:r>
        <w:t xml:space="preserve">Technology margin reaches 35–40%.</w:t>
      </w:r>
    </w:p>
    <w:p>
      <w:pPr>
        <w:pStyle w:val="Compact"/>
        <w:numPr>
          <w:ilvl w:val="0"/>
          <w:numId w:val="1034"/>
        </w:numPr>
      </w:pPr>
      <w:r>
        <w:t xml:space="preserve">LPB volume exceeds $4 billion quarterly.</w:t>
      </w:r>
    </w:p>
    <w:p>
      <w:pPr>
        <w:pStyle w:val="Compact"/>
        <w:numPr>
          <w:ilvl w:val="0"/>
          <w:numId w:val="1034"/>
        </w:numPr>
      </w:pPr>
      <w:r>
        <w:t xml:space="preserve">Business banking and digital assets become material.</w:t>
      </w:r>
    </w:p>
    <w:p>
      <w:pPr>
        <w:pStyle w:val="Compact"/>
        <w:numPr>
          <w:ilvl w:val="0"/>
          <w:numId w:val="1034"/>
        </w:numPr>
      </w:pPr>
      <w:r>
        <w:t xml:space="preserve">Stock compensation declines toward 2–3% of revenue.</w:t>
      </w:r>
    </w:p>
    <w:p>
      <w:pPr>
        <w:pStyle w:val="Compact"/>
        <w:numPr>
          <w:ilvl w:val="0"/>
          <w:numId w:val="1034"/>
        </w:numPr>
      </w:pPr>
      <w:r>
        <w:t xml:space="preserve">Credit remains benign.</w:t>
      </w:r>
    </w:p>
    <w:p>
      <w:pPr>
        <w:pStyle w:val="FirstParagraph"/>
      </w:pPr>
      <w:r>
        <w:rPr>
          <w:b/>
          <w:bCs/>
        </w:rPr>
        <w:t xml:space="preserve">Adjusted net margin: 30%</w:t>
      </w:r>
    </w:p>
    <w:bookmarkEnd w:id="89"/>
    <w:bookmarkStart w:id="90" w:name="credit-stress-overlay"/>
    <w:p>
      <w:pPr>
        <w:pStyle w:val="Heading2"/>
      </w:pPr>
      <w:r>
        <w:t xml:space="preserve">15.4 Credit-stress overlay</w:t>
      </w:r>
    </w:p>
    <w:p>
      <w:pPr>
        <w:pStyle w:val="FirstParagraph"/>
      </w:pPr>
      <w:r>
        <w:t xml:space="preserve">A severe downside would include:</w:t>
      </w:r>
    </w:p>
    <w:p>
      <w:pPr>
        <w:pStyle w:val="Compact"/>
        <w:numPr>
          <w:ilvl w:val="0"/>
          <w:numId w:val="1035"/>
        </w:numPr>
      </w:pPr>
      <w:r>
        <w:t xml:space="preserve">Rising unemployment.</w:t>
      </w:r>
    </w:p>
    <w:p>
      <w:pPr>
        <w:pStyle w:val="Compact"/>
        <w:numPr>
          <w:ilvl w:val="0"/>
          <w:numId w:val="1035"/>
        </w:numPr>
      </w:pPr>
      <w:r>
        <w:t xml:space="preserve">All-in personal-loan losses above 6%.</w:t>
      </w:r>
    </w:p>
    <w:p>
      <w:pPr>
        <w:pStyle w:val="Compact"/>
        <w:numPr>
          <w:ilvl w:val="0"/>
          <w:numId w:val="1035"/>
        </w:numPr>
      </w:pPr>
      <w:r>
        <w:t xml:space="preserve">Reduced institutional partner demand.</w:t>
      </w:r>
    </w:p>
    <w:p>
      <w:pPr>
        <w:pStyle w:val="Compact"/>
        <w:numPr>
          <w:ilvl w:val="0"/>
          <w:numId w:val="1035"/>
        </w:numPr>
      </w:pPr>
      <w:r>
        <w:t xml:space="preserve">Lower loan-sale prices.</w:t>
      </w:r>
    </w:p>
    <w:p>
      <w:pPr>
        <w:pStyle w:val="Compact"/>
        <w:numPr>
          <w:ilvl w:val="0"/>
          <w:numId w:val="1035"/>
        </w:numPr>
      </w:pPr>
      <w:r>
        <w:t xml:space="preserve">Greater balance-sheet retention.</w:t>
      </w:r>
    </w:p>
    <w:p>
      <w:pPr>
        <w:pStyle w:val="Compact"/>
        <w:numPr>
          <w:ilvl w:val="0"/>
          <w:numId w:val="1035"/>
        </w:numPr>
      </w:pPr>
      <w:r>
        <w:t xml:space="preserve">NIM below 5%.</w:t>
      </w:r>
    </w:p>
    <w:p>
      <w:pPr>
        <w:pStyle w:val="Compact"/>
        <w:numPr>
          <w:ilvl w:val="0"/>
          <w:numId w:val="1035"/>
        </w:numPr>
      </w:pPr>
      <w:r>
        <w:t xml:space="preserve">Slower deposits.</w:t>
      </w:r>
    </w:p>
    <w:p>
      <w:pPr>
        <w:pStyle w:val="Compact"/>
        <w:numPr>
          <w:ilvl w:val="0"/>
          <w:numId w:val="1035"/>
        </w:numPr>
      </w:pPr>
      <w:r>
        <w:t xml:space="preserve">Higher provisions.</w:t>
      </w:r>
    </w:p>
    <w:p>
      <w:pPr>
        <w:pStyle w:val="Compact"/>
        <w:numPr>
          <w:ilvl w:val="0"/>
          <w:numId w:val="1035"/>
        </w:numPr>
      </w:pPr>
      <w:r>
        <w:t xml:space="preserve">More conservative lending.</w:t>
      </w:r>
    </w:p>
    <w:p>
      <w:pPr>
        <w:pStyle w:val="FirstParagraph"/>
      </w:pPr>
      <w:r>
        <w:t xml:space="preserve">Under this stress overlay, adjusted net margin could fall to approximately</w:t>
      </w:r>
      <w:r>
        <w:t xml:space="preserve"> </w:t>
      </w:r>
      <w:r>
        <w:rPr>
          <w:b/>
          <w:bCs/>
        </w:rPr>
        <w:t xml:space="preserve">12–15%</w:t>
      </w:r>
      <w:r>
        <w:t xml:space="preserve">, below the formal operating bear case.</w:t>
      </w:r>
    </w:p>
    <w:p>
      <w:r>
        <w:pict>
          <v:rect style="width:0;height:1.5pt" o:hralign="center" o:hrstd="t" o:hr="t"/>
        </w:pict>
      </w:r>
    </w:p>
    <w:bookmarkEnd w:id="90"/>
    <w:bookmarkEnd w:id="91"/>
    <w:bookmarkStart w:id="92" w:name="revised-2028-operating-build"/>
    <w:p>
      <w:pPr>
        <w:pStyle w:val="Heading1"/>
      </w:pPr>
      <w:r>
        <w:t xml:space="preserve">16. Revised 2028 operating build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2028 metric</w:t>
            </w:r>
          </w:p>
        </w:tc>
        <w:tc>
          <w:tcPr/>
          <w:p>
            <w:pPr>
              <w:pStyle w:val="Compact"/>
              <w:jc w:val="right"/>
            </w:pPr>
            <w:r>
              <w:t xml:space="preserve">Bear</w:t>
            </w:r>
          </w:p>
        </w:tc>
        <w:tc>
          <w:tcPr/>
          <w:p>
            <w:pPr>
              <w:pStyle w:val="Compact"/>
              <w:jc w:val="right"/>
            </w:pPr>
            <w:r>
              <w:t xml:space="preserve">Base</w:t>
            </w:r>
          </w:p>
        </w:tc>
        <w:tc>
          <w:tcPr/>
          <w:p>
            <w:pPr>
              <w:pStyle w:val="Compact"/>
              <w:jc w:val="right"/>
            </w:pPr>
            <w:r>
              <w:t xml:space="preserve">Bull</w:t>
            </w:r>
          </w:p>
        </w:tc>
      </w:tr>
      <w:tr>
        <w:tc>
          <w:tcPr/>
          <w:p>
            <w:pPr>
              <w:pStyle w:val="Compact"/>
            </w:pPr>
            <w:r>
              <w:t xml:space="preserve">Adjusted revenue</w:t>
            </w:r>
          </w:p>
        </w:tc>
        <w:tc>
          <w:tcPr/>
          <w:p>
            <w:pPr>
              <w:pStyle w:val="Compact"/>
              <w:jc w:val="right"/>
            </w:pPr>
            <w:r>
              <w:t xml:space="preserve">$6.0B</w:t>
            </w:r>
          </w:p>
        </w:tc>
        <w:tc>
          <w:tcPr/>
          <w:p>
            <w:pPr>
              <w:pStyle w:val="Compact"/>
              <w:jc w:val="right"/>
            </w:pPr>
            <w:r>
              <w:t xml:space="preserve">$7.9B</w:t>
            </w:r>
          </w:p>
        </w:tc>
        <w:tc>
          <w:tcPr/>
          <w:p>
            <w:pPr>
              <w:pStyle w:val="Compact"/>
              <w:jc w:val="right"/>
            </w:pPr>
            <w:r>
              <w:t xml:space="preserve">$9.0B</w:t>
            </w:r>
          </w:p>
        </w:tc>
      </w:tr>
      <w:tr>
        <w:tc>
          <w:tcPr/>
          <w:p>
            <w:pPr>
              <w:pStyle w:val="Compact"/>
            </w:pPr>
            <w:r>
              <w:t xml:space="preserve">Revenue CAGR from 2025</w:t>
            </w:r>
          </w:p>
        </w:tc>
        <w:tc>
          <w:tcPr/>
          <w:p>
            <w:pPr>
              <w:pStyle w:val="Compact"/>
              <w:jc w:val="right"/>
            </w:pPr>
            <w:r>
              <w:t xml:space="preserve">18.7%</w:t>
            </w:r>
          </w:p>
        </w:tc>
        <w:tc>
          <w:tcPr/>
          <w:p>
            <w:pPr>
              <w:pStyle w:val="Compact"/>
              <w:jc w:val="right"/>
            </w:pPr>
            <w:r>
              <w:t xml:space="preserve">30.1%</w:t>
            </w:r>
          </w:p>
        </w:tc>
        <w:tc>
          <w:tcPr/>
          <w:p>
            <w:pPr>
              <w:pStyle w:val="Compact"/>
              <w:jc w:val="right"/>
            </w:pPr>
            <w:r>
              <w:t xml:space="preserve">35.9%</w:t>
            </w:r>
          </w:p>
        </w:tc>
      </w:tr>
      <w:tr>
        <w:tc>
          <w:tcPr/>
          <w:p>
            <w:pPr>
              <w:pStyle w:val="Compact"/>
            </w:pPr>
            <w:r>
              <w:t xml:space="preserve">Adjusted net margin</w:t>
            </w:r>
          </w:p>
        </w:tc>
        <w:tc>
          <w:tcPr/>
          <w:p>
            <w:pPr>
              <w:pStyle w:val="Compact"/>
              <w:jc w:val="right"/>
            </w:pPr>
            <w:r>
              <w:rPr>
                <w:b/>
                <w:bCs/>
              </w:rPr>
              <w:t xml:space="preserve">18%</w:t>
            </w:r>
          </w:p>
        </w:tc>
        <w:tc>
          <w:tcPr/>
          <w:p>
            <w:pPr>
              <w:pStyle w:val="Compact"/>
              <w:jc w:val="right"/>
            </w:pPr>
            <w:r>
              <w:rPr>
                <w:b/>
                <w:bCs/>
              </w:rPr>
              <w:t xml:space="preserve">25%</w:t>
            </w:r>
          </w:p>
        </w:tc>
        <w:tc>
          <w:tcPr/>
          <w:p>
            <w:pPr>
              <w:pStyle w:val="Compact"/>
              <w:jc w:val="right"/>
            </w:pPr>
            <w:r>
              <w:rPr>
                <w:b/>
                <w:bCs/>
              </w:rPr>
              <w:t xml:space="preserve">30%</w:t>
            </w:r>
          </w:p>
        </w:tc>
      </w:tr>
      <w:tr>
        <w:tc>
          <w:tcPr/>
          <w:p>
            <w:pPr>
              <w:pStyle w:val="Compact"/>
            </w:pPr>
            <w:r>
              <w:t xml:space="preserve">Adjusted net income</w:t>
            </w:r>
          </w:p>
        </w:tc>
        <w:tc>
          <w:tcPr/>
          <w:p>
            <w:pPr>
              <w:pStyle w:val="Compact"/>
              <w:jc w:val="right"/>
            </w:pPr>
            <w:r>
              <w:rPr>
                <w:b/>
                <w:bCs/>
              </w:rPr>
              <w:t xml:space="preserve">$1.08B</w:t>
            </w:r>
          </w:p>
        </w:tc>
        <w:tc>
          <w:tcPr/>
          <w:p>
            <w:pPr>
              <w:pStyle w:val="Compact"/>
              <w:jc w:val="right"/>
            </w:pPr>
            <w:r>
              <w:rPr>
                <w:b/>
                <w:bCs/>
              </w:rPr>
              <w:t xml:space="preserve">$1.98B</w:t>
            </w:r>
          </w:p>
        </w:tc>
        <w:tc>
          <w:tcPr/>
          <w:p>
            <w:pPr>
              <w:pStyle w:val="Compact"/>
              <w:jc w:val="right"/>
            </w:pPr>
            <w:r>
              <w:rPr>
                <w:b/>
                <w:bCs/>
              </w:rPr>
              <w:t xml:space="preserve">$2.70B</w:t>
            </w:r>
          </w:p>
        </w:tc>
      </w:tr>
      <w:tr>
        <w:tc>
          <w:tcPr/>
          <w:p>
            <w:pPr>
              <w:pStyle w:val="Compact"/>
            </w:pPr>
            <w:r>
              <w:t xml:space="preserve">Diluted shares</w:t>
            </w:r>
          </w:p>
        </w:tc>
        <w:tc>
          <w:tcPr/>
          <w:p>
            <w:pPr>
              <w:pStyle w:val="Compact"/>
              <w:jc w:val="right"/>
            </w:pPr>
            <w:r>
              <w:t xml:space="preserve">1.38B</w:t>
            </w:r>
          </w:p>
        </w:tc>
        <w:tc>
          <w:tcPr/>
          <w:p>
            <w:pPr>
              <w:pStyle w:val="Compact"/>
              <w:jc w:val="right"/>
            </w:pPr>
            <w:r>
              <w:t xml:space="preserve">1.43B</w:t>
            </w:r>
          </w:p>
        </w:tc>
        <w:tc>
          <w:tcPr/>
          <w:p>
            <w:pPr>
              <w:pStyle w:val="Compact"/>
              <w:jc w:val="right"/>
            </w:pPr>
            <w:r>
              <w:t xml:space="preserve">1.43B</w:t>
            </w:r>
          </w:p>
        </w:tc>
      </w:tr>
      <w:tr>
        <w:tc>
          <w:tcPr/>
          <w:p>
            <w:pPr>
              <w:pStyle w:val="Compact"/>
            </w:pPr>
            <w:r>
              <w:t xml:space="preserve">Adjusted EPS</w:t>
            </w:r>
          </w:p>
        </w:tc>
        <w:tc>
          <w:tcPr/>
          <w:p>
            <w:pPr>
              <w:pStyle w:val="Compact"/>
              <w:jc w:val="right"/>
            </w:pPr>
            <w:r>
              <w:rPr>
                <w:b/>
                <w:bCs/>
              </w:rPr>
              <w:t xml:space="preserve">$0.78</w:t>
            </w:r>
          </w:p>
        </w:tc>
        <w:tc>
          <w:tcPr/>
          <w:p>
            <w:pPr>
              <w:pStyle w:val="Compact"/>
              <w:jc w:val="right"/>
            </w:pPr>
            <w:r>
              <w:rPr>
                <w:b/>
                <w:bCs/>
              </w:rPr>
              <w:t xml:space="preserve">$1.38</w:t>
            </w:r>
          </w:p>
        </w:tc>
        <w:tc>
          <w:tcPr/>
          <w:p>
            <w:pPr>
              <w:pStyle w:val="Compact"/>
              <w:jc w:val="right"/>
            </w:pPr>
            <w:r>
              <w:rPr>
                <w:b/>
                <w:bCs/>
              </w:rPr>
              <w:t xml:space="preserve">$1.89</w:t>
            </w:r>
          </w:p>
        </w:tc>
      </w:tr>
    </w:tbl>
    <w:p>
      <w:pPr>
        <w:pStyle w:val="BodyText"/>
      </w:pPr>
      <w:r>
        <w:t xml:space="preserve">The base-case revenue is broadly consistent with management’s target of at least 30% adjusted-revenue CAGR from 2025 through 2028.</w:t>
      </w:r>
    </w:p>
    <w:p>
      <w:pPr>
        <w:pStyle w:val="BodyText"/>
      </w:pPr>
      <w:r>
        <w:t xml:space="preserve">The base-case EPS exceeds management’s implied medium-term range because it assumes stronger operating leverage.</w:t>
      </w:r>
    </w:p>
    <w:p>
      <w:pPr>
        <w:pStyle w:val="BodyText"/>
      </w:pPr>
      <w:r>
        <w:t xml:space="preserve">Management’s 38–42% adjusted-EPS CAGR from a 2025 base of approximately $0.39 implies 2028 adjusted EPS of roughly:</w:t>
      </w:r>
    </w:p>
    <w:p>
      <w:pPr>
        <w:pStyle w:val="SourceCode"/>
      </w:pPr>
      <w:r>
        <w:rPr>
          <w:rStyle w:val="VerbatimChar"/>
        </w:rPr>
        <w:t xml:space="preserve">$1.03–$1.12</w:t>
      </w:r>
    </w:p>
    <w:p>
      <w:pPr>
        <w:pStyle w:val="FirstParagraph"/>
      </w:pPr>
      <w:r>
        <w:t xml:space="preserve">The revised base case of $1.38 assumes management is materially understating margin expansion or maintaining deliberate conservatism.</w:t>
      </w:r>
    </w:p>
    <w:p>
      <w:r>
        <w:pict>
          <v:rect style="width:0;height:1.5pt" o:hralign="center" o:hrstd="t" o:hr="t"/>
        </w:pict>
      </w:r>
    </w:p>
    <w:bookmarkEnd w:id="92"/>
    <w:bookmarkStart w:id="96" w:name="top-down-and-bottom-up-reconciliation"/>
    <w:p>
      <w:pPr>
        <w:pStyle w:val="Heading1"/>
      </w:pPr>
      <w:r>
        <w:t xml:space="preserve">17. Top-down and bottom-up reconciliation</w:t>
      </w:r>
    </w:p>
    <w:bookmarkStart w:id="93" w:name="bottom-up-base-case"/>
    <w:p>
      <w:pPr>
        <w:pStyle w:val="Heading2"/>
      </w:pPr>
      <w:r>
        <w:t xml:space="preserve">17.1 Bottom-up base case</w:t>
      </w:r>
    </w:p>
    <w:p>
      <w:pPr>
        <w:pStyle w:val="FirstParagraph"/>
      </w:pPr>
      <w:r>
        <w:t xml:space="preserve">A plausible 2028 composition is: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Revenue source</w:t>
            </w:r>
          </w:p>
        </w:tc>
        <w:tc>
          <w:tcPr/>
          <w:p>
            <w:pPr>
              <w:pStyle w:val="Compact"/>
              <w:jc w:val="right"/>
            </w:pPr>
            <w:r>
              <w:t xml:space="preserve">Base-case contribution</w:t>
            </w:r>
          </w:p>
        </w:tc>
      </w:tr>
      <w:tr>
        <w:tc>
          <w:tcPr/>
          <w:p>
            <w:pPr>
              <w:pStyle w:val="Compact"/>
            </w:pPr>
            <w:r>
              <w:t xml:space="preserve">Lending and net interest economics</w:t>
            </w:r>
          </w:p>
        </w:tc>
        <w:tc>
          <w:tcPr/>
          <w:p>
            <w:pPr>
              <w:pStyle w:val="Compact"/>
              <w:jc w:val="right"/>
            </w:pPr>
            <w:r>
              <w:t xml:space="preserve">$3.7–$4.0B</w:t>
            </w:r>
          </w:p>
        </w:tc>
      </w:tr>
      <w:tr>
        <w:tc>
          <w:tcPr/>
          <w:p>
            <w:pPr>
              <w:pStyle w:val="Compact"/>
            </w:pPr>
            <w:r>
              <w:t xml:space="preserve">Financial Services</w:t>
            </w:r>
          </w:p>
        </w:tc>
        <w:tc>
          <w:tcPr/>
          <w:p>
            <w:pPr>
              <w:pStyle w:val="Compact"/>
              <w:jc w:val="right"/>
            </w:pPr>
            <w:r>
              <w:t xml:space="preserve">$2.4–$2.7B</w:t>
            </w:r>
          </w:p>
        </w:tc>
      </w:tr>
      <w:tr>
        <w:tc>
          <w:tcPr/>
          <w:p>
            <w:pPr>
              <w:pStyle w:val="Compact"/>
            </w:pPr>
            <w:r>
              <w:t xml:space="preserve">Technology Solutions</w:t>
            </w:r>
          </w:p>
        </w:tc>
        <w:tc>
          <w:tcPr/>
          <w:p>
            <w:pPr>
              <w:pStyle w:val="Compact"/>
              <w:jc w:val="right"/>
            </w:pPr>
            <w:r>
              <w:t xml:space="preserve">$0.6–$0.8B</w:t>
            </w:r>
          </w:p>
        </w:tc>
      </w:tr>
      <w:tr>
        <w:tc>
          <w:tcPr/>
          <w:p>
            <w:pPr>
              <w:pStyle w:val="Compact"/>
            </w:pPr>
            <w:r>
              <w:t xml:space="preserve">Corporate eliminations and other</w:t>
            </w:r>
          </w:p>
        </w:tc>
        <w:tc>
          <w:tcPr/>
          <w:p>
            <w:pPr>
              <w:pStyle w:val="Compact"/>
              <w:jc w:val="right"/>
            </w:pPr>
            <w:r>
              <w:t xml:space="preserve">Balancing adjustment</w:t>
            </w:r>
          </w:p>
        </w:tc>
      </w:tr>
      <w:tr>
        <w:tc>
          <w:tcPr/>
          <w:p>
            <w:pPr>
              <w:pStyle w:val="Compact"/>
            </w:pPr>
            <w:r>
              <w:t xml:space="preserve">Total</w:t>
            </w:r>
          </w:p>
        </w:tc>
        <w:tc>
          <w:tcPr/>
          <w:p>
            <w:pPr>
              <w:pStyle w:val="Compact"/>
              <w:jc w:val="right"/>
            </w:pPr>
            <w:r>
              <w:t xml:space="preserve">Approximately $7.9B</w:t>
            </w:r>
          </w:p>
        </w:tc>
      </w:tr>
    </w:tbl>
    <w:p>
      <w:pPr>
        <w:pStyle w:val="BodyText"/>
      </w:pPr>
      <w:r>
        <w:t xml:space="preserve">This does not require Technology Solutions to become the dominant business.</w:t>
      </w:r>
    </w:p>
    <w:p>
      <w:pPr>
        <w:pStyle w:val="BodyText"/>
      </w:pPr>
      <w:r>
        <w:t xml:space="preserve">It requires:</w:t>
      </w:r>
    </w:p>
    <w:p>
      <w:pPr>
        <w:pStyle w:val="Compact"/>
        <w:numPr>
          <w:ilvl w:val="0"/>
          <w:numId w:val="1036"/>
        </w:numPr>
      </w:pPr>
      <w:r>
        <w:t xml:space="preserve">Continued deposit growth.</w:t>
      </w:r>
    </w:p>
    <w:p>
      <w:pPr>
        <w:pStyle w:val="Compact"/>
        <w:numPr>
          <w:ilvl w:val="0"/>
          <w:numId w:val="1036"/>
        </w:numPr>
      </w:pPr>
      <w:r>
        <w:t xml:space="preserve">Continued loan demand.</w:t>
      </w:r>
    </w:p>
    <w:p>
      <w:pPr>
        <w:pStyle w:val="Compact"/>
        <w:numPr>
          <w:ilvl w:val="0"/>
          <w:numId w:val="1036"/>
        </w:numPr>
      </w:pPr>
      <w:r>
        <w:t xml:space="preserve">Stable credit.</w:t>
      </w:r>
    </w:p>
    <w:p>
      <w:pPr>
        <w:pStyle w:val="Compact"/>
        <w:numPr>
          <w:ilvl w:val="0"/>
          <w:numId w:val="1036"/>
        </w:numPr>
      </w:pPr>
      <w:r>
        <w:t xml:space="preserve">LPB expansion.</w:t>
      </w:r>
    </w:p>
    <w:p>
      <w:pPr>
        <w:pStyle w:val="Compact"/>
        <w:numPr>
          <w:ilvl w:val="0"/>
          <w:numId w:val="1036"/>
        </w:numPr>
      </w:pPr>
      <w:r>
        <w:t xml:space="preserve">Financial Services monetization.</w:t>
      </w:r>
    </w:p>
    <w:p>
      <w:pPr>
        <w:pStyle w:val="Compact"/>
        <w:numPr>
          <w:ilvl w:val="0"/>
          <w:numId w:val="1036"/>
        </w:numPr>
      </w:pPr>
      <w:r>
        <w:t xml:space="preserve">Technology stabilization.</w:t>
      </w:r>
    </w:p>
    <w:bookmarkEnd w:id="93"/>
    <w:bookmarkStart w:id="94" w:name="member-level-reconciliation"/>
    <w:p>
      <w:pPr>
        <w:pStyle w:val="Heading2"/>
      </w:pPr>
      <w:r>
        <w:t xml:space="preserve">17.2 Member-level reconciliation</w:t>
      </w:r>
    </w:p>
    <w:p>
      <w:pPr>
        <w:pStyle w:val="FirstParagraph"/>
      </w:pPr>
      <w:r>
        <w:t xml:space="preserve">A $7.9 billion revenue base could be supported by approximately:</w:t>
      </w:r>
    </w:p>
    <w:p>
      <w:pPr>
        <w:pStyle w:val="Compact"/>
        <w:numPr>
          <w:ilvl w:val="0"/>
          <w:numId w:val="1037"/>
        </w:numPr>
      </w:pPr>
      <w:r>
        <w:t xml:space="preserve">25–28 million members.</w:t>
      </w:r>
    </w:p>
    <w:p>
      <w:pPr>
        <w:pStyle w:val="Compact"/>
        <w:numPr>
          <w:ilvl w:val="0"/>
          <w:numId w:val="1037"/>
        </w:numPr>
      </w:pPr>
      <w:r>
        <w:t xml:space="preserve">Revenue per member of approximately $280–$315.</w:t>
      </w:r>
    </w:p>
    <w:p>
      <w:pPr>
        <w:pStyle w:val="Compact"/>
        <w:numPr>
          <w:ilvl w:val="0"/>
          <w:numId w:val="1037"/>
        </w:numPr>
      </w:pPr>
      <w:r>
        <w:t xml:space="preserve">Increasing products per member.</w:t>
      </w:r>
    </w:p>
    <w:p>
      <w:pPr>
        <w:pStyle w:val="Compact"/>
        <w:numPr>
          <w:ilvl w:val="0"/>
          <w:numId w:val="1037"/>
        </w:numPr>
      </w:pPr>
      <w:r>
        <w:t xml:space="preserve">Higher transaction and deposit activity.</w:t>
      </w:r>
    </w:p>
    <w:p>
      <w:pPr>
        <w:pStyle w:val="Compact"/>
        <w:numPr>
          <w:ilvl w:val="0"/>
          <w:numId w:val="1037"/>
        </w:numPr>
      </w:pPr>
      <w:r>
        <w:t xml:space="preserve">Material institutional fee revenue that is not directly attributable to individual members.</w:t>
      </w:r>
    </w:p>
    <w:p>
      <w:pPr>
        <w:pStyle w:val="FirstParagraph"/>
      </w:pPr>
      <w:r>
        <w:t xml:space="preserve">This is not a pure consumer-revenue calculation because LPB and Technology Solutions also contribute revenue.</w:t>
      </w:r>
    </w:p>
    <w:bookmarkEnd w:id="94"/>
    <w:bookmarkStart w:id="95" w:name="capital-reconciliation"/>
    <w:p>
      <w:pPr>
        <w:pStyle w:val="Heading2"/>
      </w:pPr>
      <w:r>
        <w:t xml:space="preserve">17.3 Capital reconciliation</w:t>
      </w:r>
    </w:p>
    <w:p>
      <w:pPr>
        <w:pStyle w:val="FirstParagraph"/>
      </w:pPr>
      <w:r>
        <w:t xml:space="preserve">The base case assumes that SoFi does not retain every originated loan.</w:t>
      </w:r>
    </w:p>
    <w:p>
      <w:pPr>
        <w:pStyle w:val="BodyText"/>
      </w:pPr>
      <w:r>
        <w:t xml:space="preserve">Growth must increasingly come from:</w:t>
      </w:r>
    </w:p>
    <w:p>
      <w:pPr>
        <w:pStyle w:val="Compact"/>
        <w:numPr>
          <w:ilvl w:val="0"/>
          <w:numId w:val="1038"/>
        </w:numPr>
      </w:pPr>
      <w:r>
        <w:t xml:space="preserve">Partner-funded originations.</w:t>
      </w:r>
    </w:p>
    <w:p>
      <w:pPr>
        <w:pStyle w:val="Compact"/>
        <w:numPr>
          <w:ilvl w:val="0"/>
          <w:numId w:val="1038"/>
        </w:numPr>
      </w:pPr>
      <w:r>
        <w:t xml:space="preserve">Loan sales.</w:t>
      </w:r>
    </w:p>
    <w:p>
      <w:pPr>
        <w:pStyle w:val="Compact"/>
        <w:numPr>
          <w:ilvl w:val="0"/>
          <w:numId w:val="1038"/>
        </w:numPr>
      </w:pPr>
      <w:r>
        <w:t xml:space="preserve">Securitization.</w:t>
      </w:r>
    </w:p>
    <w:p>
      <w:pPr>
        <w:pStyle w:val="Compact"/>
        <w:numPr>
          <w:ilvl w:val="0"/>
          <w:numId w:val="1038"/>
        </w:numPr>
      </w:pPr>
      <w:r>
        <w:t xml:space="preserve">Servicing.</w:t>
      </w:r>
    </w:p>
    <w:p>
      <w:pPr>
        <w:pStyle w:val="Compact"/>
        <w:numPr>
          <w:ilvl w:val="0"/>
          <w:numId w:val="1038"/>
        </w:numPr>
      </w:pPr>
      <w:r>
        <w:t xml:space="preserve">Fee-based products.</w:t>
      </w:r>
    </w:p>
    <w:p>
      <w:pPr>
        <w:pStyle w:val="Compact"/>
        <w:numPr>
          <w:ilvl w:val="0"/>
          <w:numId w:val="1038"/>
        </w:numPr>
      </w:pPr>
      <w:r>
        <w:t xml:space="preserve">Deposit growth.</w:t>
      </w:r>
    </w:p>
    <w:p>
      <w:pPr>
        <w:pStyle w:val="Compact"/>
        <w:numPr>
          <w:ilvl w:val="0"/>
          <w:numId w:val="1038"/>
        </w:numPr>
      </w:pPr>
      <w:r>
        <w:t xml:space="preserve">Capital recycling.</w:t>
      </w:r>
    </w:p>
    <w:p>
      <w:pPr>
        <w:pStyle w:val="FirstParagraph"/>
      </w:pPr>
      <w:r>
        <w:t xml:space="preserve">Otherwise, balance-sheet and regulatory-capital needs could force additional dilution.</w:t>
      </w:r>
    </w:p>
    <w:p>
      <w:r>
        <w:pict>
          <v:rect style="width:0;height:1.5pt" o:hralign="center" o:hrstd="t" o:hr="t"/>
        </w:pict>
      </w:r>
    </w:p>
    <w:bookmarkEnd w:id="95"/>
    <w:bookmarkEnd w:id="96"/>
    <w:bookmarkStart w:id="100" w:name="valuation"/>
    <w:p>
      <w:pPr>
        <w:pStyle w:val="Heading1"/>
      </w:pPr>
      <w:r>
        <w:t xml:space="preserve">18. Valuation</w:t>
      </w:r>
    </w:p>
    <w:bookmarkStart w:id="97" w:name="current-multiples"/>
    <w:p>
      <w:pPr>
        <w:pStyle w:val="Heading2"/>
      </w:pPr>
      <w:r>
        <w:t xml:space="preserve">18.1 Current multiples</w:t>
      </w:r>
    </w:p>
    <w:p>
      <w:pPr>
        <w:pStyle w:val="FirstParagraph"/>
      </w:pPr>
      <w:r>
        <w:t xml:space="preserve">At $17.32:</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jc w:val="right"/>
            </w:pPr>
            <w:r>
              <w:t xml:space="preserve">Current multiple</w:t>
            </w:r>
          </w:p>
        </w:tc>
      </w:tr>
      <w:tr>
        <w:tc>
          <w:tcPr/>
          <w:p>
            <w:pPr>
              <w:pStyle w:val="Compact"/>
            </w:pPr>
            <w:r>
              <w:t xml:space="preserve">Tangible book value per share: $7.21</w:t>
            </w:r>
          </w:p>
        </w:tc>
        <w:tc>
          <w:tcPr/>
          <w:p>
            <w:pPr>
              <w:pStyle w:val="Compact"/>
              <w:jc w:val="right"/>
            </w:pPr>
            <w:r>
              <w:t xml:space="preserve">2.40×</w:t>
            </w:r>
          </w:p>
        </w:tc>
      </w:tr>
      <w:tr>
        <w:tc>
          <w:tcPr/>
          <w:p>
            <w:pPr>
              <w:pStyle w:val="Compact"/>
            </w:pPr>
            <w:r>
              <w:t xml:space="preserve">Book value per share: $8.44</w:t>
            </w:r>
          </w:p>
        </w:tc>
        <w:tc>
          <w:tcPr/>
          <w:p>
            <w:pPr>
              <w:pStyle w:val="Compact"/>
              <w:jc w:val="right"/>
            </w:pPr>
            <w:r>
              <w:t xml:space="preserve">2.05×</w:t>
            </w:r>
          </w:p>
        </w:tc>
      </w:tr>
      <w:tr>
        <w:tc>
          <w:tcPr/>
          <w:p>
            <w:pPr>
              <w:pStyle w:val="Compact"/>
            </w:pPr>
            <w:r>
              <w:t xml:space="preserve">2026 adjusted EPS guidance: $0.60</w:t>
            </w:r>
          </w:p>
        </w:tc>
        <w:tc>
          <w:tcPr/>
          <w:p>
            <w:pPr>
              <w:pStyle w:val="Compact"/>
              <w:jc w:val="right"/>
            </w:pPr>
            <w:r>
              <w:t xml:space="preserve">28.9×</w:t>
            </w:r>
          </w:p>
        </w:tc>
      </w:tr>
      <w:tr>
        <w:tc>
          <w:tcPr/>
          <w:p>
            <w:pPr>
              <w:pStyle w:val="Compact"/>
            </w:pPr>
            <w:r>
              <w:t xml:space="preserve">2028 bear EPS: $0.78</w:t>
            </w:r>
          </w:p>
        </w:tc>
        <w:tc>
          <w:tcPr/>
          <w:p>
            <w:pPr>
              <w:pStyle w:val="Compact"/>
              <w:jc w:val="right"/>
            </w:pPr>
            <w:r>
              <w:t xml:space="preserve">22.1×</w:t>
            </w:r>
          </w:p>
        </w:tc>
      </w:tr>
      <w:tr>
        <w:tc>
          <w:tcPr/>
          <w:p>
            <w:pPr>
              <w:pStyle w:val="Compact"/>
            </w:pPr>
            <w:r>
              <w:t xml:space="preserve">2028 base EPS: $1.38</w:t>
            </w:r>
          </w:p>
        </w:tc>
        <w:tc>
          <w:tcPr/>
          <w:p>
            <w:pPr>
              <w:pStyle w:val="Compact"/>
              <w:jc w:val="right"/>
            </w:pPr>
            <w:r>
              <w:t xml:space="preserve">12.5×</w:t>
            </w:r>
          </w:p>
        </w:tc>
      </w:tr>
      <w:tr>
        <w:tc>
          <w:tcPr/>
          <w:p>
            <w:pPr>
              <w:pStyle w:val="Compact"/>
            </w:pPr>
            <w:r>
              <w:t xml:space="preserve">2028 bull EPS: $1.89</w:t>
            </w:r>
          </w:p>
        </w:tc>
        <w:tc>
          <w:tcPr/>
          <w:p>
            <w:pPr>
              <w:pStyle w:val="Compact"/>
              <w:jc w:val="right"/>
            </w:pPr>
            <w:r>
              <w:t xml:space="preserve">9.2×</w:t>
            </w:r>
          </w:p>
        </w:tc>
      </w:tr>
    </w:tbl>
    <w:bookmarkEnd w:id="97"/>
    <w:bookmarkStart w:id="98" w:name="valuation-matrix"/>
    <w:p>
      <w:pPr>
        <w:pStyle w:val="Heading2"/>
      </w:pPr>
      <w:r>
        <w:t xml:space="preserve">18.2 2028 valuation matrix</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Operating case</w:t>
            </w:r>
          </w:p>
        </w:tc>
        <w:tc>
          <w:tcPr/>
          <w:p>
            <w:pPr>
              <w:pStyle w:val="Compact"/>
              <w:jc w:val="right"/>
            </w:pPr>
            <w:r>
              <w:t xml:space="preserve">16× P/E</w:t>
            </w:r>
          </w:p>
        </w:tc>
        <w:tc>
          <w:tcPr/>
          <w:p>
            <w:pPr>
              <w:pStyle w:val="Compact"/>
              <w:jc w:val="right"/>
            </w:pPr>
            <w:r>
              <w:t xml:space="preserve">21× P/E</w:t>
            </w:r>
          </w:p>
        </w:tc>
        <w:tc>
          <w:tcPr/>
          <w:p>
            <w:pPr>
              <w:pStyle w:val="Compact"/>
              <w:jc w:val="right"/>
            </w:pPr>
            <w:r>
              <w:t xml:space="preserve">26× P/E</w:t>
            </w:r>
          </w:p>
        </w:tc>
      </w:tr>
      <w:tr>
        <w:tc>
          <w:tcPr/>
          <w:p>
            <w:pPr>
              <w:pStyle w:val="Compact"/>
            </w:pPr>
            <w:r>
              <w:t xml:space="preserve">Bear: $0.78 EPS</w:t>
            </w:r>
          </w:p>
        </w:tc>
        <w:tc>
          <w:tcPr/>
          <w:p>
            <w:pPr>
              <w:pStyle w:val="Compact"/>
              <w:jc w:val="right"/>
            </w:pPr>
            <w:r>
              <w:t xml:space="preserve">$12.52</w:t>
            </w:r>
          </w:p>
        </w:tc>
        <w:tc>
          <w:tcPr/>
          <w:p>
            <w:pPr>
              <w:pStyle w:val="Compact"/>
              <w:jc w:val="right"/>
            </w:pPr>
            <w:r>
              <w:t xml:space="preserve">$16.43</w:t>
            </w:r>
          </w:p>
        </w:tc>
        <w:tc>
          <w:tcPr/>
          <w:p>
            <w:pPr>
              <w:pStyle w:val="Compact"/>
              <w:jc w:val="right"/>
            </w:pPr>
            <w:r>
              <w:t xml:space="preserve">$20.35</w:t>
            </w:r>
          </w:p>
        </w:tc>
      </w:tr>
      <w:tr>
        <w:tc>
          <w:tcPr/>
          <w:p>
            <w:pPr>
              <w:pStyle w:val="Compact"/>
            </w:pPr>
            <w:r>
              <w:t xml:space="preserve">Base: $1.38 EPS</w:t>
            </w:r>
          </w:p>
        </w:tc>
        <w:tc>
          <w:tcPr/>
          <w:p>
            <w:pPr>
              <w:pStyle w:val="Compact"/>
              <w:jc w:val="right"/>
            </w:pPr>
            <w:r>
              <w:t xml:space="preserve">$22.10</w:t>
            </w:r>
          </w:p>
        </w:tc>
        <w:tc>
          <w:tcPr/>
          <w:p>
            <w:pPr>
              <w:pStyle w:val="Compact"/>
              <w:jc w:val="right"/>
            </w:pPr>
            <w:r>
              <w:rPr>
                <w:b/>
                <w:bCs/>
              </w:rPr>
              <w:t xml:space="preserve">$29.00</w:t>
            </w:r>
          </w:p>
        </w:tc>
        <w:tc>
          <w:tcPr/>
          <w:p>
            <w:pPr>
              <w:pStyle w:val="Compact"/>
              <w:jc w:val="right"/>
            </w:pPr>
            <w:r>
              <w:t xml:space="preserve">$35.91</w:t>
            </w:r>
          </w:p>
        </w:tc>
      </w:tr>
      <w:tr>
        <w:tc>
          <w:tcPr/>
          <w:p>
            <w:pPr>
              <w:pStyle w:val="Compact"/>
            </w:pPr>
            <w:r>
              <w:t xml:space="preserve">Bull: $1.89 EPS</w:t>
            </w:r>
          </w:p>
        </w:tc>
        <w:tc>
          <w:tcPr/>
          <w:p>
            <w:pPr>
              <w:pStyle w:val="Compact"/>
              <w:jc w:val="right"/>
            </w:pPr>
            <w:r>
              <w:t xml:space="preserve">$30.21</w:t>
            </w:r>
          </w:p>
        </w:tc>
        <w:tc>
          <w:tcPr/>
          <w:p>
            <w:pPr>
              <w:pStyle w:val="Compact"/>
              <w:jc w:val="right"/>
            </w:pPr>
            <w:r>
              <w:t xml:space="preserve">$39.65</w:t>
            </w:r>
          </w:p>
        </w:tc>
        <w:tc>
          <w:tcPr/>
          <w:p>
            <w:pPr>
              <w:pStyle w:val="Compact"/>
              <w:jc w:val="right"/>
            </w:pPr>
            <w:r>
              <w:t xml:space="preserve">$49.09</w:t>
            </w:r>
          </w:p>
        </w:tc>
      </w:tr>
    </w:tbl>
    <w:bookmarkEnd w:id="98"/>
    <w:bookmarkStart w:id="99" w:name="approximate-annualized-returns"/>
    <w:p>
      <w:pPr>
        <w:pStyle w:val="Heading2"/>
      </w:pPr>
      <w:r>
        <w:t xml:space="preserve">18.3 Approximate annualized returns</w:t>
      </w:r>
    </w:p>
    <w:p>
      <w:pPr>
        <w:pStyle w:val="FirstParagraph"/>
      </w:pPr>
      <w:r>
        <w:t xml:space="preserve">Using approximately 2.46 years through the end of 2028:</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Operating case</w:t>
            </w:r>
          </w:p>
        </w:tc>
        <w:tc>
          <w:tcPr/>
          <w:p>
            <w:pPr>
              <w:pStyle w:val="Compact"/>
              <w:jc w:val="right"/>
            </w:pPr>
            <w:r>
              <w:t xml:space="preserve">16× exit</w:t>
            </w:r>
          </w:p>
        </w:tc>
        <w:tc>
          <w:tcPr/>
          <w:p>
            <w:pPr>
              <w:pStyle w:val="Compact"/>
              <w:jc w:val="right"/>
            </w:pPr>
            <w:r>
              <w:t xml:space="preserve">21× exit</w:t>
            </w:r>
          </w:p>
        </w:tc>
        <w:tc>
          <w:tcPr/>
          <w:p>
            <w:pPr>
              <w:pStyle w:val="Compact"/>
              <w:jc w:val="right"/>
            </w:pPr>
            <w:r>
              <w:t xml:space="preserve">26× exit</w:t>
            </w:r>
          </w:p>
        </w:tc>
      </w:tr>
      <w:tr>
        <w:tc>
          <w:tcPr/>
          <w:p>
            <w:pPr>
              <w:pStyle w:val="Compact"/>
            </w:pPr>
            <w:r>
              <w:t xml:space="preserve">Bear</w:t>
            </w:r>
          </w:p>
        </w:tc>
        <w:tc>
          <w:tcPr/>
          <w:p>
            <w:pPr>
              <w:pStyle w:val="Compact"/>
              <w:jc w:val="right"/>
            </w:pPr>
            <w:r>
              <w:t xml:space="preserve">-12.3%</w:t>
            </w:r>
          </w:p>
        </w:tc>
        <w:tc>
          <w:tcPr/>
          <w:p>
            <w:pPr>
              <w:pStyle w:val="Compact"/>
              <w:jc w:val="right"/>
            </w:pPr>
            <w:r>
              <w:t xml:space="preserve">-2.1%</w:t>
            </w:r>
          </w:p>
        </w:tc>
        <w:tc>
          <w:tcPr/>
          <w:p>
            <w:pPr>
              <w:pStyle w:val="Compact"/>
              <w:jc w:val="right"/>
            </w:pPr>
            <w:r>
              <w:t xml:space="preserve">6.8%</w:t>
            </w:r>
          </w:p>
        </w:tc>
      </w:tr>
      <w:tr>
        <w:tc>
          <w:tcPr/>
          <w:p>
            <w:pPr>
              <w:pStyle w:val="Compact"/>
            </w:pPr>
            <w:r>
              <w:t xml:space="preserve">Base</w:t>
            </w:r>
          </w:p>
        </w:tc>
        <w:tc>
          <w:tcPr/>
          <w:p>
            <w:pPr>
              <w:pStyle w:val="Compact"/>
              <w:jc w:val="right"/>
            </w:pPr>
            <w:r>
              <w:t xml:space="preserve">10.4%</w:t>
            </w:r>
          </w:p>
        </w:tc>
        <w:tc>
          <w:tcPr/>
          <w:p>
            <w:pPr>
              <w:pStyle w:val="Compact"/>
              <w:jc w:val="right"/>
            </w:pPr>
            <w:r>
              <w:rPr>
                <w:b/>
                <w:bCs/>
              </w:rPr>
              <w:t xml:space="preserve">23.3%</w:t>
            </w:r>
          </w:p>
        </w:tc>
        <w:tc>
          <w:tcPr/>
          <w:p>
            <w:pPr>
              <w:pStyle w:val="Compact"/>
              <w:jc w:val="right"/>
            </w:pPr>
            <w:r>
              <w:t xml:space="preserve">34.5%</w:t>
            </w:r>
          </w:p>
        </w:tc>
      </w:tr>
      <w:tr>
        <w:tc>
          <w:tcPr/>
          <w:p>
            <w:pPr>
              <w:pStyle w:val="Compact"/>
            </w:pPr>
            <w:r>
              <w:t xml:space="preserve">Bull</w:t>
            </w:r>
          </w:p>
        </w:tc>
        <w:tc>
          <w:tcPr/>
          <w:p>
            <w:pPr>
              <w:pStyle w:val="Compact"/>
              <w:jc w:val="right"/>
            </w:pPr>
            <w:r>
              <w:t xml:space="preserve">25.3%</w:t>
            </w:r>
          </w:p>
        </w:tc>
        <w:tc>
          <w:tcPr/>
          <w:p>
            <w:pPr>
              <w:pStyle w:val="Compact"/>
              <w:jc w:val="right"/>
            </w:pPr>
            <w:r>
              <w:t xml:space="preserve">43.1%</w:t>
            </w:r>
          </w:p>
        </w:tc>
        <w:tc>
          <w:tcPr/>
          <w:p>
            <w:pPr>
              <w:pStyle w:val="Compact"/>
              <w:jc w:val="right"/>
            </w:pPr>
            <w:r>
              <w:t xml:space="preserve">53.4%</w:t>
            </w:r>
          </w:p>
        </w:tc>
      </w:tr>
    </w:tbl>
    <w:p>
      <w:pPr>
        <w:pStyle w:val="BodyText"/>
      </w:pPr>
      <w:r>
        <w:t xml:space="preserve">The valuation is highly sensitive to both margin execution and the exit multiple.</w:t>
      </w:r>
    </w:p>
    <w:p>
      <w:r>
        <w:pict>
          <v:rect style="width:0;height:1.5pt" o:hralign="center" o:hrstd="t" o:hr="t"/>
        </w:pict>
      </w:r>
    </w:p>
    <w:bookmarkEnd w:id="99"/>
    <w:bookmarkEnd w:id="100"/>
    <w:bookmarkStart w:id="103" w:name="reverse-valuation"/>
    <w:p>
      <w:pPr>
        <w:pStyle w:val="Heading1"/>
      </w:pPr>
      <w:r>
        <w:t xml:space="preserve">19. Reverse valuation</w:t>
      </w:r>
    </w:p>
    <w:bookmarkStart w:id="101" w:name="earnings-expectations"/>
    <w:p>
      <w:pPr>
        <w:pStyle w:val="Heading2"/>
      </w:pPr>
      <w:r>
        <w:t xml:space="preserve">19.1 Earnings expectations</w:t>
      </w:r>
    </w:p>
    <w:p>
      <w:pPr>
        <w:pStyle w:val="FirstParagraph"/>
      </w:pPr>
      <w:r>
        <w:t xml:space="preserve">To earn a 12% annualized return through the end of 2028, the stock must reach approximately:</w:t>
      </w:r>
    </w:p>
    <w:p>
      <w:pPr>
        <w:pStyle w:val="SourceCode"/>
      </w:pPr>
      <w:r>
        <w:rPr>
          <w:rStyle w:val="VerbatimChar"/>
        </w:rPr>
        <w:t xml:space="preserve">$22.89</w:t>
      </w:r>
    </w:p>
    <w:p>
      <w:pPr>
        <w:pStyle w:val="FirstParagraph"/>
      </w:pPr>
      <w:r>
        <w:t xml:space="preserve">Under the revised base EPS of $1.38, that requires an exit P/E of only approximately:</w:t>
      </w:r>
    </w:p>
    <w:p>
      <w:pPr>
        <w:pStyle w:val="SourceCode"/>
      </w:pPr>
      <w:r>
        <w:rPr>
          <w:rStyle w:val="VerbatimChar"/>
        </w:rPr>
        <w:t xml:space="preserve">16.6×</w:t>
      </w:r>
    </w:p>
    <w:p>
      <w:pPr>
        <w:pStyle w:val="FirstParagraph"/>
      </w:pPr>
      <w:r>
        <w:t xml:space="preserve">This means the revised base operating case does not require SoFi to retain its current near-29× forward multiple.</w:t>
      </w:r>
    </w:p>
    <w:bookmarkEnd w:id="101"/>
    <w:bookmarkStart w:id="102" w:name="tangible-equity-expectations"/>
    <w:p>
      <w:pPr>
        <w:pStyle w:val="Heading2"/>
      </w:pPr>
      <w:r>
        <w:t xml:space="preserve">19.2 Tangible-equity expectations</w:t>
      </w:r>
    </w:p>
    <w:p>
      <w:pPr>
        <w:pStyle w:val="FirstParagraph"/>
      </w:pPr>
      <w:r>
        <w:t xml:space="preserve">At 2.40× tangible book value, the market is pricing SoFi as a future high-return financial institution.</w:t>
      </w:r>
    </w:p>
    <w:p>
      <w:pPr>
        <w:pStyle w:val="BodyText"/>
      </w:pPr>
      <w:r>
        <w:t xml:space="preserve">Using a simplified excess-return relationship and 4% long-term growth, a 2.40× P/TBV multiple broadly requires: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Cost of equity</w:t>
            </w:r>
          </w:p>
        </w:tc>
        <w:tc>
          <w:tcPr/>
          <w:p>
            <w:pPr>
              <w:pStyle w:val="Compact"/>
              <w:jc w:val="right"/>
            </w:pPr>
            <w:r>
              <w:t xml:space="preserve">Required sustainable ROTCE</w:t>
            </w:r>
          </w:p>
        </w:tc>
      </w:tr>
      <w:tr>
        <w:tc>
          <w:tcPr/>
          <w:p>
            <w:pPr>
              <w:pStyle w:val="Compact"/>
            </w:pPr>
            <w:r>
              <w:t xml:space="preserve">10%</w:t>
            </w:r>
          </w:p>
        </w:tc>
        <w:tc>
          <w:tcPr/>
          <w:p>
            <w:pPr>
              <w:pStyle w:val="Compact"/>
              <w:jc w:val="right"/>
            </w:pPr>
            <w:r>
              <w:t xml:space="preserve">Approximately 18%</w:t>
            </w:r>
          </w:p>
        </w:tc>
      </w:tr>
      <w:tr>
        <w:tc>
          <w:tcPr/>
          <w:p>
            <w:pPr>
              <w:pStyle w:val="Compact"/>
            </w:pPr>
            <w:r>
              <w:t xml:space="preserve">11%</w:t>
            </w:r>
          </w:p>
        </w:tc>
        <w:tc>
          <w:tcPr/>
          <w:p>
            <w:pPr>
              <w:pStyle w:val="Compact"/>
              <w:jc w:val="right"/>
            </w:pPr>
            <w:r>
              <w:t xml:space="preserve">Approximately 21%</w:t>
            </w:r>
          </w:p>
        </w:tc>
      </w:tr>
    </w:tbl>
    <w:p>
      <w:pPr>
        <w:pStyle w:val="BodyText"/>
      </w:pPr>
      <w:r>
        <w:t xml:space="preserve">SoFi’s present return on tangible equity is below that range.</w:t>
      </w:r>
    </w:p>
    <w:p>
      <w:pPr>
        <w:pStyle w:val="BodyText"/>
      </w:pPr>
      <w:r>
        <w:t xml:space="preserve">The valuation therefore assumes that:</w:t>
      </w:r>
    </w:p>
    <w:p>
      <w:pPr>
        <w:pStyle w:val="Compact"/>
        <w:numPr>
          <w:ilvl w:val="0"/>
          <w:numId w:val="1039"/>
        </w:numPr>
      </w:pPr>
      <w:r>
        <w:t xml:space="preserve">Earnings scale materially.</w:t>
      </w:r>
    </w:p>
    <w:p>
      <w:pPr>
        <w:pStyle w:val="Compact"/>
        <w:numPr>
          <w:ilvl w:val="0"/>
          <w:numId w:val="1039"/>
        </w:numPr>
      </w:pPr>
      <w:r>
        <w:t xml:space="preserve">Tangible book compounds.</w:t>
      </w:r>
    </w:p>
    <w:p>
      <w:pPr>
        <w:pStyle w:val="Compact"/>
        <w:numPr>
          <w:ilvl w:val="0"/>
          <w:numId w:val="1039"/>
        </w:numPr>
      </w:pPr>
      <w:r>
        <w:t xml:space="preserve">Dilution slows.</w:t>
      </w:r>
    </w:p>
    <w:p>
      <w:pPr>
        <w:pStyle w:val="Compact"/>
        <w:numPr>
          <w:ilvl w:val="0"/>
          <w:numId w:val="1039"/>
        </w:numPr>
      </w:pPr>
      <w:r>
        <w:t xml:space="preserve">Returns on tangible equity move toward the high teens or above.</w:t>
      </w:r>
    </w:p>
    <w:p>
      <w:pPr>
        <w:pStyle w:val="FirstParagraph"/>
      </w:pPr>
      <w:r>
        <w:t xml:space="preserve">The revised 25% net-margin base case is consistent with that outcome, but the historical record has not yet demonstrated it.</w:t>
      </w:r>
    </w:p>
    <w:p>
      <w:r>
        <w:pict>
          <v:rect style="width:0;height:1.5pt" o:hralign="center" o:hrstd="t" o:hr="t"/>
        </w:pict>
      </w:r>
    </w:p>
    <w:bookmarkEnd w:id="102"/>
    <w:bookmarkEnd w:id="103"/>
    <w:bookmarkStart w:id="106" w:name="expected-return"/>
    <w:p>
      <w:pPr>
        <w:pStyle w:val="Heading1"/>
      </w:pPr>
      <w:r>
        <w:t xml:space="preserve">20. Expected return</w:t>
      </w:r>
    </w:p>
    <w:p>
      <w:pPr>
        <w:pStyle w:val="FirstParagraph"/>
      </w:pPr>
      <w:r>
        <w:t xml:space="preserve">Assume:</w:t>
      </w:r>
    </w:p>
    <w:bookmarkStart w:id="104" w:name="operating-probabilities"/>
    <w:p>
      <w:pPr>
        <w:pStyle w:val="Heading3"/>
      </w:pPr>
      <w:r>
        <w:t xml:space="preserve">Operating probabilities</w:t>
      </w:r>
    </w:p>
    <w:p>
      <w:pPr>
        <w:pStyle w:val="Compact"/>
        <w:numPr>
          <w:ilvl w:val="0"/>
          <w:numId w:val="1040"/>
        </w:numPr>
      </w:pPr>
      <w:r>
        <w:t xml:space="preserve">Bear: 25%</w:t>
      </w:r>
    </w:p>
    <w:p>
      <w:pPr>
        <w:pStyle w:val="Compact"/>
        <w:numPr>
          <w:ilvl w:val="0"/>
          <w:numId w:val="1040"/>
        </w:numPr>
      </w:pPr>
      <w:r>
        <w:t xml:space="preserve">Base: 50%</w:t>
      </w:r>
    </w:p>
    <w:p>
      <w:pPr>
        <w:pStyle w:val="Compact"/>
        <w:numPr>
          <w:ilvl w:val="0"/>
          <w:numId w:val="1040"/>
        </w:numPr>
      </w:pPr>
      <w:r>
        <w:t xml:space="preserve">Bull: 25%</w:t>
      </w:r>
    </w:p>
    <w:bookmarkEnd w:id="104"/>
    <w:bookmarkStart w:id="105" w:name="valuation-probabilities"/>
    <w:p>
      <w:pPr>
        <w:pStyle w:val="Heading3"/>
      </w:pPr>
      <w:r>
        <w:t xml:space="preserve">Valuation probabilities</w:t>
      </w:r>
    </w:p>
    <w:p>
      <w:pPr>
        <w:pStyle w:val="Compact"/>
        <w:numPr>
          <w:ilvl w:val="0"/>
          <w:numId w:val="1041"/>
        </w:numPr>
      </w:pPr>
      <w:r>
        <w:t xml:space="preserve">16×: 25%</w:t>
      </w:r>
    </w:p>
    <w:p>
      <w:pPr>
        <w:pStyle w:val="Compact"/>
        <w:numPr>
          <w:ilvl w:val="0"/>
          <w:numId w:val="1041"/>
        </w:numPr>
      </w:pPr>
      <w:r>
        <w:t xml:space="preserve">21×: 55%</w:t>
      </w:r>
    </w:p>
    <w:p>
      <w:pPr>
        <w:pStyle w:val="Compact"/>
        <w:numPr>
          <w:ilvl w:val="0"/>
          <w:numId w:val="1041"/>
        </w:numPr>
      </w:pPr>
      <w:r>
        <w:t xml:space="preserve">26×: 20%</w:t>
      </w:r>
    </w:p>
    <w:p>
      <w:pPr>
        <w:pStyle w:val="FirstParagraph"/>
      </w:pPr>
      <w:r>
        <w:t xml:space="preserve">The probability-weighted 2028 value is approximately:</w:t>
      </w:r>
    </w:p>
    <w:p>
      <w:pPr>
        <w:pStyle w:val="SourceCode"/>
      </w:pPr>
      <w:r>
        <w:rPr>
          <w:rStyle w:val="VerbatimChar"/>
        </w:rPr>
        <w:t xml:space="preserve">$28.18 per share</w:t>
      </w:r>
    </w:p>
    <w:p>
      <w:pPr>
        <w:pStyle w:val="FirstParagraph"/>
      </w:pPr>
      <w:r>
        <w:t xml:space="preserve">The implied annualized return from $17.32 is approximately:</w:t>
      </w:r>
    </w:p>
    <w:p>
      <w:pPr>
        <w:pStyle w:val="SourceCode"/>
      </w:pPr>
      <w:r>
        <w:rPr>
          <w:rStyle w:val="VerbatimChar"/>
        </w:rPr>
        <w:t xml:space="preserve">21.9%</w:t>
      </w:r>
    </w:p>
    <w:p>
      <w:pPr>
        <w:pStyle w:val="FirstParagraph"/>
      </w:pPr>
      <w:r>
        <w:t xml:space="preserve">This excludes dividends and does not separately assign probability to the severe credit-stress overlay.</w:t>
      </w:r>
    </w:p>
    <w:p>
      <w:pPr>
        <w:pStyle w:val="BodyText"/>
      </w:pPr>
      <w:r>
        <w:t xml:space="preserve">A reasonable risk adjustment would reduce the practical expected-return estimate to approximately</w:t>
      </w:r>
      <w:r>
        <w:t xml:space="preserve"> </w:t>
      </w:r>
      <w:r>
        <w:rPr>
          <w:b/>
          <w:bCs/>
        </w:rPr>
        <w:t xml:space="preserve">18–20%</w:t>
      </w:r>
      <w:r>
        <w:t xml:space="preserve">, reflecting the possibility of an outcome below the formal operating bear case.</w:t>
      </w:r>
    </w:p>
    <w:p>
      <w:r>
        <w:pict>
          <v:rect style="width:0;height:1.5pt" o:hralign="center" o:hrstd="t" o:hr="t"/>
        </w:pict>
      </w:r>
    </w:p>
    <w:bookmarkEnd w:id="105"/>
    <w:bookmarkEnd w:id="106"/>
    <w:bookmarkStart w:id="110" w:name="strong-business-weak-stock-cases"/>
    <w:p>
      <w:pPr>
        <w:pStyle w:val="Heading1"/>
      </w:pPr>
      <w:r>
        <w:t xml:space="preserve">21. Strong-business, weak-stock cases</w:t>
      </w:r>
    </w:p>
    <w:bookmarkStart w:id="107" w:name="base-operations-low-exit-multiple"/>
    <w:p>
      <w:pPr>
        <w:pStyle w:val="Heading2"/>
      </w:pPr>
      <w:r>
        <w:t xml:space="preserve">21.1 Base operations, low exit multiple</w:t>
      </w:r>
    </w:p>
    <w:p>
      <w:pPr>
        <w:pStyle w:val="SourceCode"/>
      </w:pPr>
      <w:r>
        <w:rPr>
          <w:rStyle w:val="VerbatimChar"/>
        </w:rPr>
        <w:t xml:space="preserve">$1.38 EPS × 16× = $22.10</w:t>
      </w:r>
    </w:p>
    <w:p>
      <w:pPr>
        <w:pStyle w:val="FirstParagraph"/>
      </w:pPr>
      <w:r>
        <w:t xml:space="preserve">Even with substantial earnings growth, multiple compression limits the return to approximately 10% annually.</w:t>
      </w:r>
    </w:p>
    <w:bookmarkEnd w:id="107"/>
    <w:bookmarkStart w:id="108" w:name="revenue-grows-but-margins-disappoint"/>
    <w:p>
      <w:pPr>
        <w:pStyle w:val="Heading2"/>
      </w:pPr>
      <w:r>
        <w:t xml:space="preserve">21.2 Revenue grows but margins disappoint</w:t>
      </w:r>
    </w:p>
    <w:p>
      <w:pPr>
        <w:pStyle w:val="FirstParagraph"/>
      </w:pPr>
      <w:r>
        <w:t xml:space="preserve">Assume:</w:t>
      </w:r>
    </w:p>
    <w:p>
      <w:pPr>
        <w:pStyle w:val="Compact"/>
        <w:numPr>
          <w:ilvl w:val="0"/>
          <w:numId w:val="1042"/>
        </w:numPr>
      </w:pPr>
      <w:r>
        <w:t xml:space="preserve">$7.5 billion revenue.</w:t>
      </w:r>
    </w:p>
    <w:p>
      <w:pPr>
        <w:pStyle w:val="Compact"/>
        <w:numPr>
          <w:ilvl w:val="0"/>
          <w:numId w:val="1042"/>
        </w:numPr>
      </w:pPr>
      <w:r>
        <w:t xml:space="preserve">18% net margin.</w:t>
      </w:r>
    </w:p>
    <w:p>
      <w:pPr>
        <w:pStyle w:val="Compact"/>
        <w:numPr>
          <w:ilvl w:val="0"/>
          <w:numId w:val="1042"/>
        </w:numPr>
      </w:pPr>
      <w:r>
        <w:t xml:space="preserve">1.43 billion shares.</w:t>
      </w:r>
    </w:p>
    <w:p>
      <w:pPr>
        <w:pStyle w:val="FirstParagraph"/>
      </w:pPr>
      <w:r>
        <w:t xml:space="preserve">This produces:</w:t>
      </w:r>
    </w:p>
    <w:p>
      <w:pPr>
        <w:pStyle w:val="SourceCode"/>
      </w:pPr>
      <w:r>
        <w:rPr>
          <w:rStyle w:val="VerbatimChar"/>
        </w:rPr>
        <w:t xml:space="preserve">Adjusted net income = $1.35B</w:t>
      </w:r>
      <w:r>
        <w:br/>
      </w:r>
      <w:r>
        <w:rPr>
          <w:rStyle w:val="VerbatimChar"/>
        </w:rPr>
        <w:t xml:space="preserve">Adjusted EPS = approximately $0.94</w:t>
      </w:r>
      <w:r>
        <w:br/>
      </w:r>
      <w:r>
        <w:rPr>
          <w:rStyle w:val="VerbatimChar"/>
        </w:rPr>
        <w:t xml:space="preserve">Value at 16× = approximately $15.10</w:t>
      </w:r>
    </w:p>
    <w:p>
      <w:pPr>
        <w:pStyle w:val="FirstParagraph"/>
      </w:pPr>
      <w:r>
        <w:t xml:space="preserve">Revenue growth alone does not guarantee a successful investment.</w:t>
      </w:r>
    </w:p>
    <w:bookmarkEnd w:id="108"/>
    <w:bookmarkStart w:id="109" w:name="guidance-level-earnings"/>
    <w:p>
      <w:pPr>
        <w:pStyle w:val="Heading2"/>
      </w:pPr>
      <w:r>
        <w:t xml:space="preserve">21.3 Guidance-level earnings</w:t>
      </w:r>
    </w:p>
    <w:p>
      <w:pPr>
        <w:pStyle w:val="FirstParagraph"/>
      </w:pPr>
      <w:r>
        <w:t xml:space="preserve">If 2028 EPS reaches only approximately $1.08 and the exit multiple is 16×:</w:t>
      </w:r>
    </w:p>
    <w:p>
      <w:pPr>
        <w:pStyle w:val="SourceCode"/>
      </w:pPr>
      <w:r>
        <w:rPr>
          <w:rStyle w:val="VerbatimChar"/>
        </w:rPr>
        <w:t xml:space="preserve">Value = approximately $17.30</w:t>
      </w:r>
    </w:p>
    <w:p>
      <w:pPr>
        <w:pStyle w:val="FirstParagraph"/>
      </w:pPr>
      <w:r>
        <w:t xml:space="preserve">The stock would be approximately flat despite SoFi meeting management’s medium-term EPS objective.</w:t>
      </w:r>
    </w:p>
    <w:p>
      <w:pPr>
        <w:pStyle w:val="BodyText"/>
      </w:pPr>
      <w:r>
        <w:t xml:space="preserve">This demonstrates why the revised thesis depends on SoFi</w:t>
      </w:r>
      <w:r>
        <w:t xml:space="preserve"> </w:t>
      </w:r>
      <w:r>
        <w:rPr>
          <w:b/>
          <w:bCs/>
        </w:rPr>
        <w:t xml:space="preserve">exceeding guidance-level margins</w:t>
      </w:r>
      <w:r>
        <w:t xml:space="preserve">, not simply meeting guidance.</w:t>
      </w:r>
    </w:p>
    <w:p>
      <w:r>
        <w:pict>
          <v:rect style="width:0;height:1.5pt" o:hralign="center" o:hrstd="t" o:hr="t"/>
        </w:pict>
      </w:r>
    </w:p>
    <w:bookmarkEnd w:id="109"/>
    <w:bookmarkEnd w:id="110"/>
    <w:bookmarkStart w:id="111" w:name="thesis-breakers"/>
    <w:p>
      <w:pPr>
        <w:pStyle w:val="Heading1"/>
      </w:pPr>
      <w:r>
        <w:t xml:space="preserve">22. Thesis breakers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Thesis breaker</w:t>
            </w:r>
          </w:p>
        </w:tc>
        <w:tc>
          <w:tcPr/>
          <w:p>
            <w:pPr>
              <w:pStyle w:val="Compact"/>
            </w:pPr>
            <w:r>
              <w:t xml:space="preserve">Failure threshold</w:t>
            </w:r>
          </w:p>
        </w:tc>
        <w:tc>
          <w:tcPr/>
          <w:p>
            <w:pPr>
              <w:pStyle w:val="Compact"/>
            </w:pPr>
            <w:r>
              <w:t xml:space="preserve">Financial impact</w:t>
            </w:r>
          </w:p>
        </w:tc>
      </w:tr>
      <w:tr>
        <w:tc>
          <w:tcPr/>
          <w:p>
            <w:pPr>
              <w:pStyle w:val="Compact"/>
            </w:pPr>
            <w:r>
              <w:t xml:space="preserve">Personal-loan deterioration</w:t>
            </w:r>
          </w:p>
        </w:tc>
        <w:tc>
          <w:tcPr/>
          <w:p>
            <w:pPr>
              <w:pStyle w:val="Compact"/>
            </w:pPr>
            <w:r>
              <w:t xml:space="preserve">All-in annualized losses above 5.5–6%</w:t>
            </w:r>
          </w:p>
        </w:tc>
        <w:tc>
          <w:tcPr/>
          <w:p>
            <w:pPr>
              <w:pStyle w:val="Compact"/>
            </w:pPr>
            <w:r>
              <w:t xml:space="preserve">Lower loan values, partner demand and earnings</w:t>
            </w:r>
          </w:p>
        </w:tc>
      </w:tr>
      <w:tr>
        <w:tc>
          <w:tcPr/>
          <w:p>
            <w:pPr>
              <w:pStyle w:val="Compact"/>
            </w:pPr>
            <w:r>
              <w:t xml:space="preserve">NIM compression</w:t>
            </w:r>
          </w:p>
        </w:tc>
        <w:tc>
          <w:tcPr/>
          <w:p>
            <w:pPr>
              <w:pStyle w:val="Compact"/>
            </w:pPr>
            <w:r>
              <w:t xml:space="preserve">NIM below 5.3% for two quarters</w:t>
            </w:r>
          </w:p>
        </w:tc>
        <w:tc>
          <w:tcPr/>
          <w:p>
            <w:pPr>
              <w:pStyle w:val="Compact"/>
            </w:pPr>
            <w:r>
              <w:t xml:space="preserve">Lower retained-lending profitability</w:t>
            </w:r>
          </w:p>
        </w:tc>
      </w:tr>
      <w:tr>
        <w:tc>
          <w:tcPr/>
          <w:p>
            <w:pPr>
              <w:pStyle w:val="Compact"/>
            </w:pPr>
            <w:r>
              <w:t xml:space="preserve">LPB slowdown</w:t>
            </w:r>
          </w:p>
        </w:tc>
        <w:tc>
          <w:tcPr/>
          <w:p>
            <w:pPr>
              <w:pStyle w:val="Compact"/>
            </w:pPr>
            <w:r>
              <w:t xml:space="preserve">Originations below $2.5B quarterly</w:t>
            </w:r>
          </w:p>
        </w:tc>
        <w:tc>
          <w:tcPr/>
          <w:p>
            <w:pPr>
              <w:pStyle w:val="Compact"/>
            </w:pPr>
            <w:r>
              <w:t xml:space="preserve">Lower capital-light revenue</w:t>
            </w:r>
          </w:p>
        </w:tc>
      </w:tr>
      <w:tr>
        <w:tc>
          <w:tcPr/>
          <w:p>
            <w:pPr>
              <w:pStyle w:val="Compact"/>
            </w:pPr>
            <w:r>
              <w:t xml:space="preserve">Cross-buy deterioration</w:t>
            </w:r>
          </w:p>
        </w:tc>
        <w:tc>
          <w:tcPr/>
          <w:p>
            <w:pPr>
              <w:pStyle w:val="Compact"/>
            </w:pPr>
            <w:r>
              <w:t xml:space="preserve">Below 35%</w:t>
            </w:r>
          </w:p>
        </w:tc>
        <w:tc>
          <w:tcPr/>
          <w:p>
            <w:pPr>
              <w:pStyle w:val="Compact"/>
            </w:pPr>
            <w:r>
              <w:t xml:space="preserve">Lower customer lifetime value</w:t>
            </w:r>
          </w:p>
        </w:tc>
      </w:tr>
      <w:tr>
        <w:tc>
          <w:tcPr/>
          <w:p>
            <w:pPr>
              <w:pStyle w:val="Compact"/>
            </w:pPr>
            <w:r>
              <w:t xml:space="preserve">Products/member stagnation</w:t>
            </w:r>
          </w:p>
        </w:tc>
        <w:tc>
          <w:tcPr/>
          <w:p>
            <w:pPr>
              <w:pStyle w:val="Compact"/>
            </w:pPr>
            <w:r>
              <w:t xml:space="preserve">Below 1.50 through 2027</w:t>
            </w:r>
          </w:p>
        </w:tc>
        <w:tc>
          <w:tcPr/>
          <w:p>
            <w:pPr>
              <w:pStyle w:val="Compact"/>
            </w:pPr>
            <w:r>
              <w:t xml:space="preserve">Weak ecosystem evidence</w:t>
            </w:r>
          </w:p>
        </w:tc>
      </w:tr>
      <w:tr>
        <w:tc>
          <w:tcPr/>
          <w:p>
            <w:pPr>
              <w:pStyle w:val="Compact"/>
            </w:pPr>
            <w:r>
              <w:t xml:space="preserve">Financial Services margin decline</w:t>
            </w:r>
          </w:p>
        </w:tc>
        <w:tc>
          <w:tcPr/>
          <w:p>
            <w:pPr>
              <w:pStyle w:val="Compact"/>
            </w:pPr>
            <w:r>
              <w:t xml:space="preserve">Below 40% for two quarters</w:t>
            </w:r>
          </w:p>
        </w:tc>
        <w:tc>
          <w:tcPr/>
          <w:p>
            <w:pPr>
              <w:pStyle w:val="Compact"/>
            </w:pPr>
            <w:r>
              <w:t xml:space="preserve">Lower operating leverage</w:t>
            </w:r>
          </w:p>
        </w:tc>
      </w:tr>
      <w:tr>
        <w:tc>
          <w:tcPr/>
          <w:p>
            <w:pPr>
              <w:pStyle w:val="Compact"/>
            </w:pPr>
            <w:r>
              <w:t xml:space="preserve">Technology failure</w:t>
            </w:r>
          </w:p>
        </w:tc>
        <w:tc>
          <w:tcPr/>
          <w:p>
            <w:pPr>
              <w:pStyle w:val="Compact"/>
            </w:pPr>
            <w:r>
              <w:t xml:space="preserve">Revenue still declining in 2027</w:t>
            </w:r>
          </w:p>
        </w:tc>
        <w:tc>
          <w:tcPr/>
          <w:p>
            <w:pPr>
              <w:pStyle w:val="Compact"/>
            </w:pPr>
            <w:r>
              <w:t xml:space="preserve">Remove technology premium</w:t>
            </w:r>
          </w:p>
        </w:tc>
      </w:tr>
      <w:tr>
        <w:tc>
          <w:tcPr/>
          <w:p>
            <w:pPr>
              <w:pStyle w:val="Compact"/>
            </w:pPr>
            <w:r>
              <w:t xml:space="preserve">Technology margin weakness</w:t>
            </w:r>
          </w:p>
        </w:tc>
        <w:tc>
          <w:tcPr/>
          <w:p>
            <w:pPr>
              <w:pStyle w:val="Compact"/>
            </w:pPr>
            <w:r>
              <w:t xml:space="preserve">Below 20%</w:t>
            </w:r>
          </w:p>
        </w:tc>
        <w:tc>
          <w:tcPr/>
          <w:p>
            <w:pPr>
              <w:pStyle w:val="Compact"/>
            </w:pPr>
            <w:r>
              <w:t xml:space="preserve">Lower consolidated margin</w:t>
            </w:r>
          </w:p>
        </w:tc>
      </w:tr>
      <w:tr>
        <w:tc>
          <w:tcPr/>
          <w:p>
            <w:pPr>
              <w:pStyle w:val="Compact"/>
            </w:pPr>
            <w:r>
              <w:t xml:space="preserve">Persistent dilution</w:t>
            </w:r>
          </w:p>
        </w:tc>
        <w:tc>
          <w:tcPr/>
          <w:p>
            <w:pPr>
              <w:pStyle w:val="Compact"/>
            </w:pPr>
            <w:r>
              <w:t xml:space="preserve">More than 5% annually</w:t>
            </w:r>
          </w:p>
        </w:tc>
        <w:tc>
          <w:tcPr/>
          <w:p>
            <w:pPr>
              <w:pStyle w:val="Compact"/>
            </w:pPr>
            <w:r>
              <w:t xml:space="preserve">Lower per-share compounding</w:t>
            </w:r>
          </w:p>
        </w:tc>
      </w:tr>
      <w:tr>
        <w:tc>
          <w:tcPr/>
          <w:p>
            <w:pPr>
              <w:pStyle w:val="Compact"/>
            </w:pPr>
            <w:r>
              <w:t xml:space="preserve">Margin path failure</w:t>
            </w:r>
          </w:p>
        </w:tc>
        <w:tc>
          <w:tcPr/>
          <w:p>
            <w:pPr>
              <w:pStyle w:val="Compact"/>
            </w:pPr>
            <w:r>
              <w:t xml:space="preserve">EBITDA margin below 36% during 2027</w:t>
            </w:r>
          </w:p>
        </w:tc>
        <w:tc>
          <w:tcPr/>
          <w:p>
            <w:pPr>
              <w:pStyle w:val="Compact"/>
            </w:pPr>
            <w:r>
              <w:t xml:space="preserve">Reduce base net margin</w:t>
            </w:r>
          </w:p>
        </w:tc>
      </w:tr>
      <w:tr>
        <w:tc>
          <w:tcPr/>
          <w:p>
            <w:pPr>
              <w:pStyle w:val="Compact"/>
            </w:pPr>
            <w:r>
              <w:t xml:space="preserve">Credit-partner retreat</w:t>
            </w:r>
          </w:p>
        </w:tc>
        <w:tc>
          <w:tcPr/>
          <w:p>
            <w:pPr>
              <w:pStyle w:val="Compact"/>
            </w:pPr>
            <w:r>
              <w:t xml:space="preserve">Major LPB commitment reductions</w:t>
            </w:r>
          </w:p>
        </w:tc>
        <w:tc>
          <w:tcPr/>
          <w:p>
            <w:pPr>
              <w:pStyle w:val="Compact"/>
            </w:pPr>
            <w:r>
              <w:t xml:space="preserve">Lower fees and higher balance-sheet needs</w:t>
            </w:r>
          </w:p>
        </w:tc>
      </w:tr>
      <w:tr>
        <w:tc>
          <w:tcPr/>
          <w:p>
            <w:pPr>
              <w:pStyle w:val="Compact"/>
            </w:pPr>
            <w:r>
              <w:t xml:space="preserve">Capital misallocation</w:t>
            </w:r>
          </w:p>
        </w:tc>
        <w:tc>
          <w:tcPr/>
          <w:p>
            <w:pPr>
              <w:pStyle w:val="Compact"/>
            </w:pPr>
            <w:r>
              <w:t xml:space="preserve">Large acquisition or issuance without per-share return</w:t>
            </w:r>
          </w:p>
        </w:tc>
        <w:tc>
          <w:tcPr/>
          <w:p>
            <w:pPr>
              <w:pStyle w:val="Compact"/>
            </w:pPr>
            <w:r>
              <w:t xml:space="preserve">Lower valuation</w:t>
            </w:r>
          </w:p>
        </w:tc>
      </w:tr>
    </w:tbl>
    <w:p>
      <w:r>
        <w:pict>
          <v:rect style="width:0;height:1.5pt" o:hralign="center" o:hrstd="t" o:hr="t"/>
        </w:pict>
      </w:r>
    </w:p>
    <w:bookmarkEnd w:id="111"/>
    <w:bookmarkStart w:id="112" w:name="monitoring-dashboard"/>
    <w:p>
      <w:pPr>
        <w:pStyle w:val="Heading1"/>
      </w:pPr>
      <w:r>
        <w:t xml:space="preserve">23. Monitoring dashboard</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KPI</w:t>
            </w:r>
          </w:p>
        </w:tc>
        <w:tc>
          <w:tcPr/>
          <w:p>
            <w:pPr>
              <w:pStyle w:val="Compact"/>
              <w:jc w:val="right"/>
            </w:pPr>
            <w:r>
              <w:t xml:space="preserve">Current level</w:t>
            </w:r>
          </w:p>
        </w:tc>
        <w:tc>
          <w:tcPr/>
          <w:p>
            <w:pPr>
              <w:pStyle w:val="Compact"/>
              <w:jc w:val="right"/>
            </w:pPr>
            <w:r>
              <w:t xml:space="preserve">Bear threshold</w:t>
            </w:r>
          </w:p>
        </w:tc>
        <w:tc>
          <w:tcPr/>
          <w:p>
            <w:pPr>
              <w:pStyle w:val="Compact"/>
              <w:jc w:val="right"/>
            </w:pPr>
            <w:r>
              <w:t xml:space="preserve">Base range</w:t>
            </w:r>
          </w:p>
        </w:tc>
        <w:tc>
          <w:tcPr/>
          <w:p>
            <w:pPr>
              <w:pStyle w:val="Compact"/>
              <w:jc w:val="right"/>
            </w:pPr>
            <w:r>
              <w:t xml:space="preserve">Bull threshold</w:t>
            </w:r>
          </w:p>
        </w:tc>
      </w:tr>
      <w:tr>
        <w:tc>
          <w:tcPr/>
          <w:p>
            <w:pPr>
              <w:pStyle w:val="Compact"/>
            </w:pPr>
            <w:r>
              <w:t xml:space="preserve">Member growth</w:t>
            </w:r>
          </w:p>
        </w:tc>
        <w:tc>
          <w:tcPr/>
          <w:p>
            <w:pPr>
              <w:pStyle w:val="Compact"/>
              <w:jc w:val="right"/>
            </w:pPr>
            <w:r>
              <w:t xml:space="preserve">35%</w:t>
            </w:r>
          </w:p>
        </w:tc>
        <w:tc>
          <w:tcPr/>
          <w:p>
            <w:pPr>
              <w:pStyle w:val="Compact"/>
              <w:jc w:val="right"/>
            </w:pPr>
            <w:r>
              <w:t xml:space="preserve">&lt;20%</w:t>
            </w:r>
          </w:p>
        </w:tc>
        <w:tc>
          <w:tcPr/>
          <w:p>
            <w:pPr>
              <w:pStyle w:val="Compact"/>
              <w:jc w:val="right"/>
            </w:pPr>
            <w:r>
              <w:t xml:space="preserve">25–32%</w:t>
            </w:r>
          </w:p>
        </w:tc>
        <w:tc>
          <w:tcPr/>
          <w:p>
            <w:pPr>
              <w:pStyle w:val="Compact"/>
              <w:jc w:val="right"/>
            </w:pPr>
            <w:r>
              <w:t xml:space="preserve">&gt;32%</w:t>
            </w:r>
          </w:p>
        </w:tc>
      </w:tr>
      <w:tr>
        <w:tc>
          <w:tcPr/>
          <w:p>
            <w:pPr>
              <w:pStyle w:val="Compact"/>
            </w:pPr>
            <w:r>
              <w:t xml:space="preserve">Products per member</w:t>
            </w:r>
          </w:p>
        </w:tc>
        <w:tc>
          <w:tcPr/>
          <w:p>
            <w:pPr>
              <w:pStyle w:val="Compact"/>
              <w:jc w:val="right"/>
            </w:pPr>
            <w:r>
              <w:t xml:space="preserve">1.51</w:t>
            </w:r>
          </w:p>
        </w:tc>
        <w:tc>
          <w:tcPr/>
          <w:p>
            <w:pPr>
              <w:pStyle w:val="Compact"/>
              <w:jc w:val="right"/>
            </w:pPr>
            <w:r>
              <w:t xml:space="preserve">&lt;1.48</w:t>
            </w:r>
          </w:p>
        </w:tc>
        <w:tc>
          <w:tcPr/>
          <w:p>
            <w:pPr>
              <w:pStyle w:val="Compact"/>
              <w:jc w:val="right"/>
            </w:pPr>
            <w:r>
              <w:t xml:space="preserve">1.52–1.60</w:t>
            </w:r>
          </w:p>
        </w:tc>
        <w:tc>
          <w:tcPr/>
          <w:p>
            <w:pPr>
              <w:pStyle w:val="Compact"/>
              <w:jc w:val="right"/>
            </w:pPr>
            <w:r>
              <w:t xml:space="preserve">&gt;1.60</w:t>
            </w:r>
          </w:p>
        </w:tc>
      </w:tr>
      <w:tr>
        <w:tc>
          <w:tcPr/>
          <w:p>
            <w:pPr>
              <w:pStyle w:val="Compact"/>
            </w:pPr>
            <w:r>
              <w:t xml:space="preserve">Cross-buy</w:t>
            </w:r>
          </w:p>
        </w:tc>
        <w:tc>
          <w:tcPr/>
          <w:p>
            <w:pPr>
              <w:pStyle w:val="Compact"/>
              <w:jc w:val="right"/>
            </w:pPr>
            <w:r>
              <w:t xml:space="preserve">Approximately 43%</w:t>
            </w:r>
          </w:p>
        </w:tc>
        <w:tc>
          <w:tcPr/>
          <w:p>
            <w:pPr>
              <w:pStyle w:val="Compact"/>
              <w:jc w:val="right"/>
            </w:pPr>
            <w:r>
              <w:t xml:space="preserve">&lt;35%</w:t>
            </w:r>
          </w:p>
        </w:tc>
        <w:tc>
          <w:tcPr/>
          <w:p>
            <w:pPr>
              <w:pStyle w:val="Compact"/>
              <w:jc w:val="right"/>
            </w:pPr>
            <w:r>
              <w:t xml:space="preserve">40–45%</w:t>
            </w:r>
          </w:p>
        </w:tc>
        <w:tc>
          <w:tcPr/>
          <w:p>
            <w:pPr>
              <w:pStyle w:val="Compact"/>
              <w:jc w:val="right"/>
            </w:pPr>
            <w:r>
              <w:t xml:space="preserve">&gt;48%</w:t>
            </w:r>
          </w:p>
        </w:tc>
      </w:tr>
      <w:tr>
        <w:tc>
          <w:tcPr/>
          <w:p>
            <w:pPr>
              <w:pStyle w:val="Compact"/>
            </w:pPr>
            <w:r>
              <w:t xml:space="preserve">Deposits</w:t>
            </w:r>
          </w:p>
        </w:tc>
        <w:tc>
          <w:tcPr/>
          <w:p>
            <w:pPr>
              <w:pStyle w:val="Compact"/>
              <w:jc w:val="right"/>
            </w:pPr>
            <w:r>
              <w:t xml:space="preserve">$40.2B</w:t>
            </w:r>
          </w:p>
        </w:tc>
        <w:tc>
          <w:tcPr/>
          <w:p>
            <w:pPr>
              <w:pStyle w:val="Compact"/>
              <w:jc w:val="right"/>
            </w:pPr>
            <w:r>
              <w:t xml:space="preserve">&lt;15% growth</w:t>
            </w:r>
          </w:p>
        </w:tc>
        <w:tc>
          <w:tcPr/>
          <w:p>
            <w:pPr>
              <w:pStyle w:val="Compact"/>
              <w:jc w:val="right"/>
            </w:pPr>
            <w:r>
              <w:t xml:space="preserve">20–30%</w:t>
            </w:r>
          </w:p>
        </w:tc>
        <w:tc>
          <w:tcPr/>
          <w:p>
            <w:pPr>
              <w:pStyle w:val="Compact"/>
              <w:jc w:val="right"/>
            </w:pPr>
            <w:r>
              <w:t xml:space="preserve">&gt;30%</w:t>
            </w:r>
          </w:p>
        </w:tc>
      </w:tr>
      <w:tr>
        <w:tc>
          <w:tcPr/>
          <w:p>
            <w:pPr>
              <w:pStyle w:val="Compact"/>
            </w:pPr>
            <w:r>
              <w:t xml:space="preserve">Net interest margin</w:t>
            </w:r>
          </w:p>
        </w:tc>
        <w:tc>
          <w:tcPr/>
          <w:p>
            <w:pPr>
              <w:pStyle w:val="Compact"/>
              <w:jc w:val="right"/>
            </w:pPr>
            <w:r>
              <w:t xml:space="preserve">5.94%</w:t>
            </w:r>
          </w:p>
        </w:tc>
        <w:tc>
          <w:tcPr/>
          <w:p>
            <w:pPr>
              <w:pStyle w:val="Compact"/>
              <w:jc w:val="right"/>
            </w:pPr>
            <w:r>
              <w:t xml:space="preserve">&lt;5.3%</w:t>
            </w:r>
          </w:p>
        </w:tc>
        <w:tc>
          <w:tcPr/>
          <w:p>
            <w:pPr>
              <w:pStyle w:val="Compact"/>
              <w:jc w:val="right"/>
            </w:pPr>
            <w:r>
              <w:t xml:space="preserve">5.6–6.0%</w:t>
            </w:r>
          </w:p>
        </w:tc>
        <w:tc>
          <w:tcPr/>
          <w:p>
            <w:pPr>
              <w:pStyle w:val="Compact"/>
              <w:jc w:val="right"/>
            </w:pPr>
            <w:r>
              <w:t xml:space="preserve">&gt;6.0%</w:t>
            </w:r>
          </w:p>
        </w:tc>
      </w:tr>
      <w:tr>
        <w:tc>
          <w:tcPr/>
          <w:p>
            <w:pPr>
              <w:pStyle w:val="Compact"/>
            </w:pPr>
            <w:r>
              <w:t xml:space="preserve">Personal-loan all-in losses</w:t>
            </w:r>
          </w:p>
        </w:tc>
        <w:tc>
          <w:tcPr/>
          <w:p>
            <w:pPr>
              <w:pStyle w:val="Compact"/>
              <w:jc w:val="right"/>
            </w:pPr>
            <w:r>
              <w:t xml:space="preserve">4.4%</w:t>
            </w:r>
          </w:p>
        </w:tc>
        <w:tc>
          <w:tcPr/>
          <w:p>
            <w:pPr>
              <w:pStyle w:val="Compact"/>
              <w:jc w:val="right"/>
            </w:pPr>
            <w:r>
              <w:t xml:space="preserve">&gt;5.5%</w:t>
            </w:r>
          </w:p>
        </w:tc>
        <w:tc>
          <w:tcPr/>
          <w:p>
            <w:pPr>
              <w:pStyle w:val="Compact"/>
              <w:jc w:val="right"/>
            </w:pPr>
            <w:r>
              <w:t xml:space="preserve">4–5%</w:t>
            </w:r>
          </w:p>
        </w:tc>
        <w:tc>
          <w:tcPr/>
          <w:p>
            <w:pPr>
              <w:pStyle w:val="Compact"/>
              <w:jc w:val="right"/>
            </w:pPr>
            <w:r>
              <w:t xml:space="preserve">&lt;4%</w:t>
            </w:r>
          </w:p>
        </w:tc>
      </w:tr>
      <w:tr>
        <w:tc>
          <w:tcPr/>
          <w:p>
            <w:pPr>
              <w:pStyle w:val="Compact"/>
            </w:pPr>
            <w:r>
              <w:t xml:space="preserve">LPB originations</w:t>
            </w:r>
          </w:p>
        </w:tc>
        <w:tc>
          <w:tcPr/>
          <w:p>
            <w:pPr>
              <w:pStyle w:val="Compact"/>
              <w:jc w:val="right"/>
            </w:pPr>
            <w:r>
              <w:t xml:space="preserve">$3.0B</w:t>
            </w:r>
          </w:p>
        </w:tc>
        <w:tc>
          <w:tcPr/>
          <w:p>
            <w:pPr>
              <w:pStyle w:val="Compact"/>
              <w:jc w:val="right"/>
            </w:pPr>
            <w:r>
              <w:t xml:space="preserve">&lt;$2.5B</w:t>
            </w:r>
          </w:p>
        </w:tc>
        <w:tc>
          <w:tcPr/>
          <w:p>
            <w:pPr>
              <w:pStyle w:val="Compact"/>
              <w:jc w:val="right"/>
            </w:pPr>
            <w:r>
              <w:t xml:space="preserve">$3–4B</w:t>
            </w:r>
          </w:p>
        </w:tc>
        <w:tc>
          <w:tcPr/>
          <w:p>
            <w:pPr>
              <w:pStyle w:val="Compact"/>
              <w:jc w:val="right"/>
            </w:pPr>
            <w:r>
              <w:t xml:space="preserve">&gt;$4B</w:t>
            </w:r>
          </w:p>
        </w:tc>
      </w:tr>
      <w:tr>
        <w:tc>
          <w:tcPr/>
          <w:p>
            <w:pPr>
              <w:pStyle w:val="Compact"/>
            </w:pPr>
            <w:r>
              <w:t xml:space="preserve">Financial Services margin</w:t>
            </w:r>
          </w:p>
        </w:tc>
        <w:tc>
          <w:tcPr/>
          <w:p>
            <w:pPr>
              <w:pStyle w:val="Compact"/>
              <w:jc w:val="right"/>
            </w:pPr>
            <w:r>
              <w:t xml:space="preserve">46%</w:t>
            </w:r>
          </w:p>
        </w:tc>
        <w:tc>
          <w:tcPr/>
          <w:p>
            <w:pPr>
              <w:pStyle w:val="Compact"/>
              <w:jc w:val="right"/>
            </w:pPr>
            <w:r>
              <w:t xml:space="preserve">&lt;40%</w:t>
            </w:r>
          </w:p>
        </w:tc>
        <w:tc>
          <w:tcPr/>
          <w:p>
            <w:pPr>
              <w:pStyle w:val="Compact"/>
              <w:jc w:val="right"/>
            </w:pPr>
            <w:r>
              <w:t xml:space="preserve">45–52%</w:t>
            </w:r>
          </w:p>
        </w:tc>
        <w:tc>
          <w:tcPr/>
          <w:p>
            <w:pPr>
              <w:pStyle w:val="Compact"/>
              <w:jc w:val="right"/>
            </w:pPr>
            <w:r>
              <w:t xml:space="preserve">&gt;52%</w:t>
            </w:r>
          </w:p>
        </w:tc>
      </w:tr>
      <w:tr>
        <w:tc>
          <w:tcPr/>
          <w:p>
            <w:pPr>
              <w:pStyle w:val="Compact"/>
            </w:pPr>
            <w:r>
              <w:t xml:space="preserve">Technology revenue growth</w:t>
            </w:r>
          </w:p>
        </w:tc>
        <w:tc>
          <w:tcPr/>
          <w:p>
            <w:pPr>
              <w:pStyle w:val="Compact"/>
              <w:jc w:val="right"/>
            </w:pPr>
            <w:r>
              <w:t xml:space="preserve">-27%</w:t>
            </w:r>
          </w:p>
        </w:tc>
        <w:tc>
          <w:tcPr/>
          <w:p>
            <w:pPr>
              <w:pStyle w:val="Compact"/>
              <w:jc w:val="right"/>
            </w:pPr>
            <w:r>
              <w:t xml:space="preserve">≤0% through 2027</w:t>
            </w:r>
          </w:p>
        </w:tc>
        <w:tc>
          <w:tcPr/>
          <w:p>
            <w:pPr>
              <w:pStyle w:val="Compact"/>
              <w:jc w:val="right"/>
            </w:pPr>
            <w:r>
              <w:t xml:space="preserve">10–20%</w:t>
            </w:r>
          </w:p>
        </w:tc>
        <w:tc>
          <w:tcPr/>
          <w:p>
            <w:pPr>
              <w:pStyle w:val="Compact"/>
              <w:jc w:val="right"/>
            </w:pPr>
            <w:r>
              <w:t xml:space="preserve">&gt;20%</w:t>
            </w:r>
          </w:p>
        </w:tc>
      </w:tr>
      <w:tr>
        <w:tc>
          <w:tcPr/>
          <w:p>
            <w:pPr>
              <w:pStyle w:val="Compact"/>
            </w:pPr>
            <w:r>
              <w:t xml:space="preserve">Technology margin</w:t>
            </w:r>
          </w:p>
        </w:tc>
        <w:tc>
          <w:tcPr/>
          <w:p>
            <w:pPr>
              <w:pStyle w:val="Compact"/>
              <w:jc w:val="right"/>
            </w:pPr>
            <w:r>
              <w:t xml:space="preserve">16%</w:t>
            </w:r>
          </w:p>
        </w:tc>
        <w:tc>
          <w:tcPr/>
          <w:p>
            <w:pPr>
              <w:pStyle w:val="Compact"/>
              <w:jc w:val="right"/>
            </w:pPr>
            <w:r>
              <w:t xml:space="preserve">&lt;20%</w:t>
            </w:r>
          </w:p>
        </w:tc>
        <w:tc>
          <w:tcPr/>
          <w:p>
            <w:pPr>
              <w:pStyle w:val="Compact"/>
              <w:jc w:val="right"/>
            </w:pPr>
            <w:r>
              <w:t xml:space="preserve">25–32%</w:t>
            </w:r>
          </w:p>
        </w:tc>
        <w:tc>
          <w:tcPr/>
          <w:p>
            <w:pPr>
              <w:pStyle w:val="Compact"/>
              <w:jc w:val="right"/>
            </w:pPr>
            <w:r>
              <w:t xml:space="preserve">&gt;35%</w:t>
            </w:r>
          </w:p>
        </w:tc>
      </w:tr>
      <w:tr>
        <w:tc>
          <w:tcPr/>
          <w:p>
            <w:pPr>
              <w:pStyle w:val="Compact"/>
            </w:pPr>
            <w:r>
              <w:t xml:space="preserve">Adjusted EBITDA margin</w:t>
            </w:r>
          </w:p>
        </w:tc>
        <w:tc>
          <w:tcPr/>
          <w:p>
            <w:pPr>
              <w:pStyle w:val="Compact"/>
              <w:jc w:val="right"/>
            </w:pPr>
            <w:r>
              <w:t xml:space="preserve">31% Q1; 34% FY guide</w:t>
            </w:r>
          </w:p>
        </w:tc>
        <w:tc>
          <w:tcPr/>
          <w:p>
            <w:pPr>
              <w:pStyle w:val="Compact"/>
              <w:jc w:val="right"/>
            </w:pPr>
            <w:r>
              <w:t xml:space="preserve">&lt;34% in 2027</w:t>
            </w:r>
          </w:p>
        </w:tc>
        <w:tc>
          <w:tcPr/>
          <w:p>
            <w:pPr>
              <w:pStyle w:val="Compact"/>
              <w:jc w:val="right"/>
            </w:pPr>
            <w:r>
              <w:t xml:space="preserve">38–42%</w:t>
            </w:r>
          </w:p>
        </w:tc>
        <w:tc>
          <w:tcPr/>
          <w:p>
            <w:pPr>
              <w:pStyle w:val="Compact"/>
              <w:jc w:val="right"/>
            </w:pPr>
            <w:r>
              <w:t xml:space="preserve">&gt;45%</w:t>
            </w:r>
          </w:p>
        </w:tc>
      </w:tr>
      <w:tr>
        <w:tc>
          <w:tcPr/>
          <w:p>
            <w:pPr>
              <w:pStyle w:val="Compact"/>
            </w:pPr>
            <w:r>
              <w:t xml:space="preserve">Adjusted net margin</w:t>
            </w:r>
          </w:p>
        </w:tc>
        <w:tc>
          <w:tcPr/>
          <w:p>
            <w:pPr>
              <w:pStyle w:val="Compact"/>
              <w:jc w:val="right"/>
            </w:pPr>
            <w:r>
              <w:t xml:space="preserve">15% Q1; 18% FY guide</w:t>
            </w:r>
          </w:p>
        </w:tc>
        <w:tc>
          <w:tcPr/>
          <w:p>
            <w:pPr>
              <w:pStyle w:val="Compact"/>
              <w:jc w:val="right"/>
            </w:pPr>
            <w:r>
              <w:t xml:space="preserve">&lt;18% in 2027</w:t>
            </w:r>
          </w:p>
        </w:tc>
        <w:tc>
          <w:tcPr/>
          <w:p>
            <w:pPr>
              <w:pStyle w:val="Compact"/>
              <w:jc w:val="right"/>
            </w:pPr>
            <w:r>
              <w:t xml:space="preserve">22–27%</w:t>
            </w:r>
          </w:p>
        </w:tc>
        <w:tc>
          <w:tcPr/>
          <w:p>
            <w:pPr>
              <w:pStyle w:val="Compact"/>
              <w:jc w:val="right"/>
            </w:pPr>
            <w:r>
              <w:t xml:space="preserve">&gt;28%</w:t>
            </w:r>
          </w:p>
        </w:tc>
      </w:tr>
      <w:tr>
        <w:tc>
          <w:tcPr/>
          <w:p>
            <w:pPr>
              <w:pStyle w:val="Compact"/>
            </w:pPr>
            <w:r>
              <w:t xml:space="preserve">Efficiency ratio</w:t>
            </w:r>
          </w:p>
        </w:tc>
        <w:tc>
          <w:tcPr/>
          <w:p>
            <w:pPr>
              <w:pStyle w:val="Compact"/>
              <w:jc w:val="right"/>
            </w:pPr>
            <w:r>
              <w:t xml:space="preserve">Approximately 81%</w:t>
            </w:r>
          </w:p>
        </w:tc>
        <w:tc>
          <w:tcPr/>
          <w:p>
            <w:pPr>
              <w:pStyle w:val="Compact"/>
              <w:jc w:val="right"/>
            </w:pPr>
            <w:r>
              <w:t xml:space="preserve">&gt;82%</w:t>
            </w:r>
          </w:p>
        </w:tc>
        <w:tc>
          <w:tcPr/>
          <w:p>
            <w:pPr>
              <w:pStyle w:val="Compact"/>
              <w:jc w:val="right"/>
            </w:pPr>
            <w:r>
              <w:t xml:space="preserve">65–75%</w:t>
            </w:r>
          </w:p>
        </w:tc>
        <w:tc>
          <w:tcPr/>
          <w:p>
            <w:pPr>
              <w:pStyle w:val="Compact"/>
              <w:jc w:val="right"/>
            </w:pPr>
            <w:r>
              <w:t xml:space="preserve">&lt;62%</w:t>
            </w:r>
          </w:p>
        </w:tc>
      </w:tr>
      <w:tr>
        <w:tc>
          <w:tcPr/>
          <w:p>
            <w:pPr>
              <w:pStyle w:val="Compact"/>
            </w:pPr>
            <w:r>
              <w:t xml:space="preserve">Annual dilution</w:t>
            </w:r>
          </w:p>
        </w:tc>
        <w:tc>
          <w:tcPr/>
          <w:p>
            <w:pPr>
              <w:pStyle w:val="Compact"/>
              <w:jc w:val="right"/>
            </w:pPr>
            <w:r>
              <w:t xml:space="preserve">Elevated</w:t>
            </w:r>
          </w:p>
        </w:tc>
        <w:tc>
          <w:tcPr/>
          <w:p>
            <w:pPr>
              <w:pStyle w:val="Compact"/>
              <w:jc w:val="right"/>
            </w:pPr>
            <w:r>
              <w:t xml:space="preserve">&gt;5%</w:t>
            </w:r>
          </w:p>
        </w:tc>
        <w:tc>
          <w:tcPr/>
          <w:p>
            <w:pPr>
              <w:pStyle w:val="Compact"/>
              <w:jc w:val="right"/>
            </w:pPr>
            <w:r>
              <w:t xml:space="preserve">2–5%</w:t>
            </w:r>
          </w:p>
        </w:tc>
        <w:tc>
          <w:tcPr/>
          <w:p>
            <w:pPr>
              <w:pStyle w:val="Compact"/>
              <w:jc w:val="right"/>
            </w:pPr>
            <w:r>
              <w:t xml:space="preserve">&lt;2%</w:t>
            </w:r>
          </w:p>
        </w:tc>
      </w:tr>
      <w:tr>
        <w:tc>
          <w:tcPr/>
          <w:p>
            <w:pPr>
              <w:pStyle w:val="Compact"/>
            </w:pPr>
            <w:r>
              <w:t xml:space="preserve">Tangible book per share</w:t>
            </w:r>
          </w:p>
        </w:tc>
        <w:tc>
          <w:tcPr/>
          <w:p>
            <w:pPr>
              <w:pStyle w:val="Compact"/>
              <w:jc w:val="right"/>
            </w:pPr>
            <w:r>
              <w:t xml:space="preserve">$7.21</w:t>
            </w:r>
          </w:p>
        </w:tc>
        <w:tc>
          <w:tcPr/>
          <w:p>
            <w:pPr>
              <w:pStyle w:val="Compact"/>
              <w:jc w:val="right"/>
            </w:pPr>
            <w:r>
              <w:t xml:space="preserve">&lt;8% organic growth</w:t>
            </w:r>
          </w:p>
        </w:tc>
        <w:tc>
          <w:tcPr/>
          <w:p>
            <w:pPr>
              <w:pStyle w:val="Compact"/>
              <w:jc w:val="right"/>
            </w:pPr>
            <w:r>
              <w:t xml:space="preserve">10–15%</w:t>
            </w:r>
          </w:p>
        </w:tc>
        <w:tc>
          <w:tcPr/>
          <w:p>
            <w:pPr>
              <w:pStyle w:val="Compact"/>
              <w:jc w:val="right"/>
            </w:pPr>
            <w:r>
              <w:t xml:space="preserve">&gt;15%</w:t>
            </w:r>
          </w:p>
        </w:tc>
      </w:tr>
    </w:tbl>
    <w:p>
      <w:r>
        <w:pict>
          <v:rect style="width:0;height:1.5pt" o:hralign="center" o:hrstd="t" o:hr="t"/>
        </w:pict>
      </w:r>
    </w:p>
    <w:bookmarkEnd w:id="112"/>
    <w:bookmarkStart w:id="113" w:name="confidence-assessment"/>
    <w:p>
      <w:pPr>
        <w:pStyle w:val="Heading1"/>
      </w:pPr>
      <w:r>
        <w:t xml:space="preserve">24. Confidence assessment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Area</w:t>
            </w:r>
          </w:p>
        </w:tc>
        <w:tc>
          <w:tcPr/>
          <w:p>
            <w:pPr>
              <w:pStyle w:val="Compact"/>
            </w:pPr>
            <w:r>
              <w:t xml:space="preserve">Confidence</w:t>
            </w:r>
          </w:p>
        </w:tc>
      </w:tr>
      <w:tr>
        <w:tc>
          <w:tcPr/>
          <w:p>
            <w:pPr>
              <w:pStyle w:val="Compact"/>
            </w:pPr>
            <w:r>
              <w:t xml:space="preserve">Official financial data</w:t>
            </w:r>
          </w:p>
        </w:tc>
        <w:tc>
          <w:tcPr/>
          <w:p>
            <w:pPr>
              <w:pStyle w:val="Compact"/>
            </w:pPr>
            <w:r>
              <w:t xml:space="preserve">High</w:t>
            </w:r>
          </w:p>
        </w:tc>
      </w:tr>
      <w:tr>
        <w:tc>
          <w:tcPr/>
          <w:p>
            <w:pPr>
              <w:pStyle w:val="Compact"/>
            </w:pPr>
            <w:r>
              <w:t xml:space="preserve">Historical revenue and segment record</w:t>
            </w:r>
          </w:p>
        </w:tc>
        <w:tc>
          <w:tcPr/>
          <w:p>
            <w:pPr>
              <w:pStyle w:val="Compact"/>
            </w:pPr>
            <w:r>
              <w:t xml:space="preserve">High</w:t>
            </w:r>
          </w:p>
        </w:tc>
      </w:tr>
      <w:tr>
        <w:tc>
          <w:tcPr/>
          <w:p>
            <w:pPr>
              <w:pStyle w:val="Compact"/>
            </w:pPr>
            <w:r>
              <w:t xml:space="preserve">Historical normalization</w:t>
            </w:r>
          </w:p>
        </w:tc>
        <w:tc>
          <w:tcPr/>
          <w:p>
            <w:pPr>
              <w:pStyle w:val="Compact"/>
            </w:pPr>
            <w:r>
              <w:t xml:space="preserve">Moderate</w:t>
            </w:r>
          </w:p>
        </w:tc>
      </w:tr>
      <w:tr>
        <w:tc>
          <w:tcPr/>
          <w:p>
            <w:pPr>
              <w:pStyle w:val="Compact"/>
            </w:pPr>
            <w:r>
              <w:t xml:space="preserve">Business-process understanding</w:t>
            </w:r>
          </w:p>
        </w:tc>
        <w:tc>
          <w:tcPr/>
          <w:p>
            <w:pPr>
              <w:pStyle w:val="Compact"/>
            </w:pPr>
            <w:r>
              <w:t xml:space="preserve">High</w:t>
            </w:r>
          </w:p>
        </w:tc>
      </w:tr>
      <w:tr>
        <w:tc>
          <w:tcPr/>
          <w:p>
            <w:pPr>
              <w:pStyle w:val="Compact"/>
            </w:pPr>
            <w:r>
              <w:t xml:space="preserve">Deposit moat</w:t>
            </w:r>
          </w:p>
        </w:tc>
        <w:tc>
          <w:tcPr/>
          <w:p>
            <w:pPr>
              <w:pStyle w:val="Compact"/>
            </w:pPr>
            <w:r>
              <w:t xml:space="preserve">High</w:t>
            </w:r>
          </w:p>
        </w:tc>
      </w:tr>
      <w:tr>
        <w:tc>
          <w:tcPr/>
          <w:p>
            <w:pPr>
              <w:pStyle w:val="Compact"/>
            </w:pPr>
            <w:r>
              <w:t xml:space="preserve">Consumer ecosystem moat</w:t>
            </w:r>
          </w:p>
        </w:tc>
        <w:tc>
          <w:tcPr/>
          <w:p>
            <w:pPr>
              <w:pStyle w:val="Compact"/>
            </w:pPr>
            <w:r>
              <w:t xml:space="preserve">Moderate</w:t>
            </w:r>
          </w:p>
        </w:tc>
      </w:tr>
      <w:tr>
        <w:tc>
          <w:tcPr/>
          <w:p>
            <w:pPr>
              <w:pStyle w:val="Compact"/>
            </w:pPr>
            <w:r>
              <w:t xml:space="preserve">LPB moat</w:t>
            </w:r>
          </w:p>
        </w:tc>
        <w:tc>
          <w:tcPr/>
          <w:p>
            <w:pPr>
              <w:pStyle w:val="Compact"/>
            </w:pPr>
            <w:r>
              <w:t xml:space="preserve">Moderate</w:t>
            </w:r>
          </w:p>
        </w:tc>
      </w:tr>
      <w:tr>
        <w:tc>
          <w:tcPr/>
          <w:p>
            <w:pPr>
              <w:pStyle w:val="Compact"/>
            </w:pPr>
            <w:r>
              <w:t xml:space="preserve">Technology moat</w:t>
            </w:r>
          </w:p>
        </w:tc>
        <w:tc>
          <w:tcPr/>
          <w:p>
            <w:pPr>
              <w:pStyle w:val="Compact"/>
            </w:pPr>
            <w:r>
              <w:t xml:space="preserve">Low-moderate</w:t>
            </w:r>
          </w:p>
        </w:tc>
      </w:tr>
      <w:tr>
        <w:tc>
          <w:tcPr/>
          <w:p>
            <w:pPr>
              <w:pStyle w:val="Compact"/>
            </w:pPr>
            <w:r>
              <w:t xml:space="preserve">Customer-growth forecast</w:t>
            </w:r>
          </w:p>
        </w:tc>
        <w:tc>
          <w:tcPr/>
          <w:p>
            <w:pPr>
              <w:pStyle w:val="Compact"/>
            </w:pPr>
            <w:r>
              <w:t xml:space="preserve">Moderate</w:t>
            </w:r>
          </w:p>
        </w:tc>
      </w:tr>
      <w:tr>
        <w:tc>
          <w:tcPr/>
          <w:p>
            <w:pPr>
              <w:pStyle w:val="Compact"/>
            </w:pPr>
            <w:r>
              <w:t xml:space="preserve">Credit forecast</w:t>
            </w:r>
          </w:p>
        </w:tc>
        <w:tc>
          <w:tcPr/>
          <w:p>
            <w:pPr>
              <w:pStyle w:val="Compact"/>
            </w:pPr>
            <w:r>
              <w:t xml:space="preserve">Moderate</w:t>
            </w:r>
          </w:p>
        </w:tc>
      </w:tr>
      <w:tr>
        <w:tc>
          <w:tcPr/>
          <w:p>
            <w:pPr>
              <w:pStyle w:val="Compact"/>
            </w:pPr>
            <w:r>
              <w:t xml:space="preserve">2028 revenue forecast</w:t>
            </w:r>
          </w:p>
        </w:tc>
        <w:tc>
          <w:tcPr/>
          <w:p>
            <w:pPr>
              <w:pStyle w:val="Compact"/>
            </w:pPr>
            <w:r>
              <w:t xml:space="preserve">Moderate</w:t>
            </w:r>
          </w:p>
        </w:tc>
      </w:tr>
      <w:tr>
        <w:tc>
          <w:tcPr/>
          <w:p>
            <w:pPr>
              <w:pStyle w:val="Compact"/>
            </w:pPr>
            <w:r>
              <w:t xml:space="preserve">25% base net-margin forecast</w:t>
            </w:r>
          </w:p>
        </w:tc>
        <w:tc>
          <w:tcPr/>
          <w:p>
            <w:pPr>
              <w:pStyle w:val="Compact"/>
            </w:pPr>
            <w:r>
              <w:t xml:space="preserve">Moderate-low</w:t>
            </w:r>
          </w:p>
        </w:tc>
      </w:tr>
      <w:tr>
        <w:tc>
          <w:tcPr/>
          <w:p>
            <w:pPr>
              <w:pStyle w:val="Compact"/>
            </w:pPr>
            <w:r>
              <w:t xml:space="preserve">30% bull net-margin forecast</w:t>
            </w:r>
          </w:p>
        </w:tc>
        <w:tc>
          <w:tcPr/>
          <w:p>
            <w:pPr>
              <w:pStyle w:val="Compact"/>
            </w:pPr>
            <w:r>
              <w:t xml:space="preserve">Low-moderate</w:t>
            </w:r>
          </w:p>
        </w:tc>
      </w:tr>
      <w:tr>
        <w:tc>
          <w:tcPr/>
          <w:p>
            <w:pPr>
              <w:pStyle w:val="Compact"/>
            </w:pPr>
            <w:r>
              <w:t xml:space="preserve">Valuation assumptions</w:t>
            </w:r>
          </w:p>
        </w:tc>
        <w:tc>
          <w:tcPr/>
          <w:p>
            <w:pPr>
              <w:pStyle w:val="Compact"/>
            </w:pPr>
            <w:r>
              <w:t xml:space="preserve">Moderate</w:t>
            </w:r>
          </w:p>
        </w:tc>
      </w:tr>
      <w:tr>
        <w:tc>
          <w:tcPr/>
          <w:p>
            <w:pPr>
              <w:pStyle w:val="Compact"/>
            </w:pPr>
            <w:r>
              <w:t xml:space="preserve">Downside estimate</w:t>
            </w:r>
          </w:p>
        </w:tc>
        <w:tc>
          <w:tcPr/>
          <w:p>
            <w:pPr>
              <w:pStyle w:val="Compact"/>
            </w:pPr>
            <w:r>
              <w:t xml:space="preserve">Moderate</w:t>
            </w:r>
          </w:p>
        </w:tc>
      </w:tr>
    </w:tbl>
    <w:p>
      <w:pPr>
        <w:pStyle w:val="BodyText"/>
      </w:pPr>
      <w:r>
        <w:t xml:space="preserve">The greatest uncertainty is not whether SoFi can continue growing.</w:t>
      </w:r>
    </w:p>
    <w:p>
      <w:pPr>
        <w:pStyle w:val="BodyText"/>
      </w:pPr>
      <w:r>
        <w:t xml:space="preserve">The greatest uncertainty is:</w:t>
      </w:r>
    </w:p>
    <w:p>
      <w:pPr>
        <w:pStyle w:val="BlockText"/>
      </w:pPr>
      <w:r>
        <w:t xml:space="preserve">How much of the incremental revenue ultimately becomes sustainable per-share earnings after credit costs, taxes, stock compensation, corporate investment and dilution?</w:t>
      </w:r>
    </w:p>
    <w:p>
      <w:r>
        <w:pict>
          <v:rect style="width:0;height:1.5pt" o:hralign="center" o:hrstd="t" o:hr="t"/>
        </w:pict>
      </w:r>
    </w:p>
    <w:bookmarkEnd w:id="113"/>
    <w:bookmarkStart w:id="114" w:name="completeness-gaps"/>
    <w:p>
      <w:pPr>
        <w:pStyle w:val="Heading1"/>
      </w:pPr>
      <w:r>
        <w:t xml:space="preserve">25. Completeness gaps</w:t>
      </w:r>
    </w:p>
    <w:p>
      <w:pPr>
        <w:pStyle w:val="FirstParagraph"/>
      </w:pPr>
      <w:r>
        <w:t xml:space="preserve">The report remains subject to several evidence limitations:</w:t>
      </w:r>
    </w:p>
    <w:p>
      <w:pPr>
        <w:pStyle w:val="Compact"/>
        <w:numPr>
          <w:ilvl w:val="0"/>
          <w:numId w:val="1043"/>
        </w:numPr>
      </w:pPr>
      <w:r>
        <w:t xml:space="preserve">A fully standardized twenty-quarter NIM history has not been reconstructed.</w:t>
      </w:r>
    </w:p>
    <w:p>
      <w:pPr>
        <w:pStyle w:val="Compact"/>
        <w:numPr>
          <w:ilvl w:val="0"/>
          <w:numId w:val="1043"/>
        </w:numPr>
      </w:pPr>
      <w:r>
        <w:t xml:space="preserve">Deposit beta is not consistently disclosed for every quarter.</w:t>
      </w:r>
    </w:p>
    <w:p>
      <w:pPr>
        <w:pStyle w:val="Compact"/>
        <w:numPr>
          <w:ilvl w:val="0"/>
          <w:numId w:val="1043"/>
        </w:numPr>
      </w:pPr>
      <w:r>
        <w:t xml:space="preserve">Full vintage-level credit curves are unavailable for every period.</w:t>
      </w:r>
    </w:p>
    <w:p>
      <w:pPr>
        <w:pStyle w:val="Compact"/>
        <w:numPr>
          <w:ilvl w:val="0"/>
          <w:numId w:val="1043"/>
        </w:numPr>
      </w:pPr>
      <w:r>
        <w:t xml:space="preserve">Technology customer concentration is incompletely disclosed.</w:t>
      </w:r>
    </w:p>
    <w:p>
      <w:pPr>
        <w:pStyle w:val="Compact"/>
        <w:numPr>
          <w:ilvl w:val="0"/>
          <w:numId w:val="1043"/>
        </w:numPr>
      </w:pPr>
      <w:r>
        <w:t xml:space="preserve">Galileo and Technisys renewal rates are not publicly available.</w:t>
      </w:r>
    </w:p>
    <w:p>
      <w:pPr>
        <w:pStyle w:val="Compact"/>
        <w:numPr>
          <w:ilvl w:val="0"/>
          <w:numId w:val="1043"/>
        </w:numPr>
      </w:pPr>
      <w:r>
        <w:t xml:space="preserve">Segment-level regulatory capital is not separately allocated.</w:t>
      </w:r>
    </w:p>
    <w:p>
      <w:pPr>
        <w:pStyle w:val="Compact"/>
        <w:numPr>
          <w:ilvl w:val="0"/>
          <w:numId w:val="1043"/>
        </w:numPr>
      </w:pPr>
      <w:r>
        <w:t xml:space="preserve">Maintenance versus growth technology spending is not fully disclosed.</w:t>
      </w:r>
    </w:p>
    <w:p>
      <w:pPr>
        <w:pStyle w:val="Compact"/>
        <w:numPr>
          <w:ilvl w:val="0"/>
          <w:numId w:val="1043"/>
        </w:numPr>
      </w:pPr>
      <w:r>
        <w:t xml:space="preserve">Enterprise-banking and SoFiUSD revenue are not yet measurable.</w:t>
      </w:r>
    </w:p>
    <w:p>
      <w:pPr>
        <w:pStyle w:val="Compact"/>
        <w:numPr>
          <w:ilvl w:val="0"/>
          <w:numId w:val="1043"/>
        </w:numPr>
      </w:pPr>
      <w:r>
        <w:t xml:space="preserve">Conventional industrial-company free cash flow is inappropriate because loan originations, deposits and loan sales are operating components of the banking model.</w:t>
      </w:r>
    </w:p>
    <w:p>
      <w:pPr>
        <w:pStyle w:val="FirstParagraph"/>
      </w:pPr>
      <w:r>
        <w:t xml:space="preserve">These limitations reduce confidence in the precision of the margin and intrinsic-value estimates.</w:t>
      </w:r>
    </w:p>
    <w:p>
      <w:r>
        <w:pict>
          <v:rect style="width:0;height:1.5pt" o:hralign="center" o:hrstd="t" o:hr="t"/>
        </w:pict>
      </w:r>
    </w:p>
    <w:bookmarkEnd w:id="114"/>
    <w:bookmarkStart w:id="120" w:name="final-decision"/>
    <w:p>
      <w:pPr>
        <w:pStyle w:val="Heading1"/>
      </w:pPr>
      <w:r>
        <w:t xml:space="preserve">26. Final decision</w:t>
      </w:r>
    </w:p>
    <w:bookmarkStart w:id="118" w:name="attractive-at-17.32"/>
    <w:p>
      <w:pPr>
        <w:pStyle w:val="Heading2"/>
      </w:pPr>
      <w:r>
        <w:t xml:space="preserve">Attractive at $17.32</w:t>
      </w:r>
    </w:p>
    <w:p>
      <w:pPr>
        <w:pStyle w:val="FirstParagraph"/>
      </w:pPr>
      <w:r>
        <w:t xml:space="preserve">The revised margin framework changes the investment conclusion from Watchlist to Attractive.</w:t>
      </w:r>
    </w:p>
    <w:bookmarkStart w:id="115" w:name="supporting-factors"/>
    <w:p>
      <w:pPr>
        <w:pStyle w:val="Heading3"/>
      </w:pPr>
      <w:r>
        <w:t xml:space="preserve">Supporting factors</w:t>
      </w:r>
    </w:p>
    <w:p>
      <w:pPr>
        <w:pStyle w:val="Compact"/>
        <w:numPr>
          <w:ilvl w:val="0"/>
          <w:numId w:val="1044"/>
        </w:numPr>
      </w:pPr>
      <w:r>
        <w:t xml:space="preserve">Member and product growth remain strong.</w:t>
      </w:r>
    </w:p>
    <w:p>
      <w:pPr>
        <w:pStyle w:val="Compact"/>
        <w:numPr>
          <w:ilvl w:val="0"/>
          <w:numId w:val="1044"/>
        </w:numPr>
      </w:pPr>
      <w:r>
        <w:t xml:space="preserve">Deposit funding provides a proven structural advantage.</w:t>
      </w:r>
    </w:p>
    <w:p>
      <w:pPr>
        <w:pStyle w:val="Compact"/>
        <w:numPr>
          <w:ilvl w:val="0"/>
          <w:numId w:val="1044"/>
        </w:numPr>
      </w:pPr>
      <w:r>
        <w:t xml:space="preserve">Financial Services has transitioned from a major loss center into a high-margin contributor.</w:t>
      </w:r>
    </w:p>
    <w:p>
      <w:pPr>
        <w:pStyle w:val="Compact"/>
        <w:numPr>
          <w:ilvl w:val="0"/>
          <w:numId w:val="1044"/>
        </w:numPr>
      </w:pPr>
      <w:r>
        <w:t xml:space="preserve">LPB creates capital-light lending economics.</w:t>
      </w:r>
    </w:p>
    <w:p>
      <w:pPr>
        <w:pStyle w:val="Compact"/>
        <w:numPr>
          <w:ilvl w:val="0"/>
          <w:numId w:val="1044"/>
        </w:numPr>
      </w:pPr>
      <w:r>
        <w:t xml:space="preserve">Incremental adjusted net income margin has reached approximately 30%.</w:t>
      </w:r>
    </w:p>
    <w:p>
      <w:pPr>
        <w:pStyle w:val="Compact"/>
        <w:numPr>
          <w:ilvl w:val="0"/>
          <w:numId w:val="1044"/>
        </w:numPr>
      </w:pPr>
      <w:r>
        <w:t xml:space="preserve">Management already guides to an 18% net margin in 2026.</w:t>
      </w:r>
    </w:p>
    <w:p>
      <w:pPr>
        <w:pStyle w:val="Compact"/>
        <w:numPr>
          <w:ilvl w:val="0"/>
          <w:numId w:val="1044"/>
        </w:numPr>
      </w:pPr>
      <w:r>
        <w:t xml:space="preserve">The base case requires only a 16.6× 2028 exit multiple to generate a 12% annual return.</w:t>
      </w:r>
    </w:p>
    <w:p>
      <w:pPr>
        <w:pStyle w:val="Compact"/>
        <w:numPr>
          <w:ilvl w:val="0"/>
          <w:numId w:val="1044"/>
        </w:numPr>
      </w:pPr>
      <w:r>
        <w:t xml:space="preserve">The revised probability-weighted return is above 20%.</w:t>
      </w:r>
    </w:p>
    <w:bookmarkEnd w:id="115"/>
    <w:bookmarkStart w:id="116" w:name="principal-risks"/>
    <w:p>
      <w:pPr>
        <w:pStyle w:val="Heading3"/>
      </w:pPr>
      <w:r>
        <w:t xml:space="preserve">Principal risks</w:t>
      </w:r>
    </w:p>
    <w:p>
      <w:pPr>
        <w:pStyle w:val="Compact"/>
        <w:numPr>
          <w:ilvl w:val="0"/>
          <w:numId w:val="1045"/>
        </w:numPr>
      </w:pPr>
      <w:r>
        <w:t xml:space="preserve">The base margin exceeds management’s implied 2028 outcome.</w:t>
      </w:r>
    </w:p>
    <w:p>
      <w:pPr>
        <w:pStyle w:val="Compact"/>
        <w:numPr>
          <w:ilvl w:val="0"/>
          <w:numId w:val="1045"/>
        </w:numPr>
      </w:pPr>
      <w:r>
        <w:t xml:space="preserve">Credit has not been tested through a severe post-charter recession.</w:t>
      </w:r>
    </w:p>
    <w:p>
      <w:pPr>
        <w:pStyle w:val="Compact"/>
        <w:numPr>
          <w:ilvl w:val="0"/>
          <w:numId w:val="1045"/>
        </w:numPr>
      </w:pPr>
      <w:r>
        <w:t xml:space="preserve">Technology Solutions remains weak.</w:t>
      </w:r>
    </w:p>
    <w:p>
      <w:pPr>
        <w:pStyle w:val="Compact"/>
        <w:numPr>
          <w:ilvl w:val="0"/>
          <w:numId w:val="1045"/>
        </w:numPr>
      </w:pPr>
      <w:r>
        <w:t xml:space="preserve">Dilution has been substantial.</w:t>
      </w:r>
    </w:p>
    <w:p>
      <w:pPr>
        <w:pStyle w:val="Compact"/>
        <w:numPr>
          <w:ilvl w:val="0"/>
          <w:numId w:val="1045"/>
        </w:numPr>
      </w:pPr>
      <w:r>
        <w:t xml:space="preserve">Consumers can multi-home.</w:t>
      </w:r>
    </w:p>
    <w:p>
      <w:pPr>
        <w:pStyle w:val="Compact"/>
        <w:numPr>
          <w:ilvl w:val="0"/>
          <w:numId w:val="1045"/>
        </w:numPr>
      </w:pPr>
      <w:r>
        <w:t xml:space="preserve">Institutional partners can reduce commitments.</w:t>
      </w:r>
    </w:p>
    <w:p>
      <w:pPr>
        <w:pStyle w:val="Compact"/>
        <w:numPr>
          <w:ilvl w:val="0"/>
          <w:numId w:val="1045"/>
        </w:numPr>
      </w:pPr>
      <w:r>
        <w:t xml:space="preserve">The no-moat value could be significantly below the current price.</w:t>
      </w:r>
    </w:p>
    <w:bookmarkEnd w:id="116"/>
    <w:bookmarkStart w:id="117" w:name="final-interpretation"/>
    <w:p>
      <w:pPr>
        <w:pStyle w:val="Heading3"/>
      </w:pPr>
      <w:r>
        <w:t xml:space="preserve">Final interpretation</w:t>
      </w:r>
    </w:p>
    <w:p>
      <w:pPr>
        <w:pStyle w:val="FirstParagraph"/>
      </w:pPr>
      <w:r>
        <w:t xml:space="preserve">SoFi does not yet possess an exceptional moat.</w:t>
      </w:r>
    </w:p>
    <w:p>
      <w:pPr>
        <w:pStyle w:val="BodyText"/>
      </w:pPr>
      <w:r>
        <w:t xml:space="preserve">It does possess:</w:t>
      </w:r>
    </w:p>
    <w:p>
      <w:pPr>
        <w:pStyle w:val="SourceCode"/>
      </w:pPr>
      <w:r>
        <w:rPr>
          <w:rStyle w:val="VerbatimChar"/>
        </w:rPr>
        <w:t xml:space="preserve">A strong funding advantage</w:t>
      </w:r>
      <w:r>
        <w:br/>
      </w:r>
      <w:r>
        <w:rPr>
          <w:rStyle w:val="VerbatimChar"/>
        </w:rPr>
        <w:t xml:space="preserve">+ rapid consumer growth</w:t>
      </w:r>
      <w:r>
        <w:br/>
      </w:r>
      <w:r>
        <w:rPr>
          <w:rStyle w:val="VerbatimChar"/>
        </w:rPr>
        <w:t xml:space="preserve">+ improving cross-buy</w:t>
      </w:r>
      <w:r>
        <w:br/>
      </w:r>
      <w:r>
        <w:rPr>
          <w:rStyle w:val="VerbatimChar"/>
        </w:rPr>
        <w:t xml:space="preserve">+ expanding fee revenue</w:t>
      </w:r>
      <w:r>
        <w:br/>
      </w:r>
      <w:r>
        <w:rPr>
          <w:rStyle w:val="VerbatimChar"/>
        </w:rPr>
        <w:t xml:space="preserve">+ a capital-light lending channel</w:t>
      </w:r>
      <w:r>
        <w:br/>
      </w:r>
      <w:r>
        <w:rPr>
          <w:rStyle w:val="VerbatimChar"/>
        </w:rPr>
        <w:t xml:space="preserve">+ demonstrated incremental operating leverage</w:t>
      </w:r>
    </w:p>
    <w:p>
      <w:pPr>
        <w:pStyle w:val="FirstParagraph"/>
      </w:pPr>
      <w:r>
        <w:t xml:space="preserve">The investment succeeds if SoFi becomes a financial platform capable of producing:</w:t>
      </w:r>
    </w:p>
    <w:p>
      <w:pPr>
        <w:pStyle w:val="SourceCode"/>
      </w:pPr>
      <w:r>
        <w:rPr>
          <w:rStyle w:val="VerbatimChar"/>
        </w:rPr>
        <w:t xml:space="preserve">High-teens to mid-20s net margins</w:t>
      </w:r>
      <w:r>
        <w:br/>
      </w:r>
      <w:r>
        <w:rPr>
          <w:rStyle w:val="VerbatimChar"/>
        </w:rPr>
        <w:t xml:space="preserve">+ mid-to-high-teens ROTCE</w:t>
      </w:r>
      <w:r>
        <w:br/>
      </w:r>
      <w:r>
        <w:rPr>
          <w:rStyle w:val="VerbatimChar"/>
        </w:rPr>
        <w:t xml:space="preserve">+ controlled credit losses</w:t>
      </w:r>
      <w:r>
        <w:br/>
      </w:r>
      <w:r>
        <w:rPr>
          <w:rStyle w:val="VerbatimChar"/>
        </w:rPr>
        <w:t xml:space="preserve">+ sustained tangible-book growth</w:t>
      </w:r>
      <w:r>
        <w:br/>
      </w:r>
      <w:r>
        <w:rPr>
          <w:rStyle w:val="VerbatimChar"/>
        </w:rPr>
        <w:t xml:space="preserve">+ limited future dilution</w:t>
      </w:r>
    </w:p>
    <w:p>
      <w:pPr>
        <w:pStyle w:val="FirstParagraph"/>
      </w:pPr>
      <w:r>
        <w:t xml:space="preserve">The revised base case assumes SoFi reaches the upper half of that range.</w:t>
      </w:r>
    </w:p>
    <w:p>
      <w:pPr>
        <w:pStyle w:val="BodyText"/>
      </w:pPr>
      <w:r>
        <w:t xml:space="preserve">At $17.32, the expected return appears sufficient to compensate for the execution risk, but the position should be monitored as a margin-expansion thesis rather than treated as a conventional inexpensive bank investment.</w:t>
      </w:r>
    </w:p>
    <w:bookmarkEnd w:id="117"/>
    <w:bookmarkEnd w:id="118"/>
    <w:bookmarkStart w:id="119" w:name="final-classification"/>
    <w:p>
      <w:pPr>
        <w:pStyle w:val="Heading2"/>
      </w:pPr>
      <w:r>
        <w:t xml:space="preserve">Final classification</w:t>
      </w:r>
    </w:p>
    <w:p>
      <w:pPr>
        <w:pStyle w:val="BlockText"/>
      </w:pPr>
      <w:r>
        <w:rPr>
          <w:b/>
          <w:bCs/>
        </w:rPr>
        <w:t xml:space="preserve">Attractive — moderate confidence, high execution sensitivity.</w:t>
      </w:r>
    </w:p>
    <w:bookmarkEnd w:id="119"/>
    <w:bookmarkEnd w:id="1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2026-07-17T07:28:56Z</dcterms:created>
  <dcterms:modified xsi:type="dcterms:W3CDTF">2026-07-17T07:28:56Z</dcterms:modified>
</cp:coreProperties>
</file>

<file path=docProps/custom.xml><?xml version="1.0" encoding="utf-8"?>
<Properties xmlns="http://schemas.openxmlformats.org/officeDocument/2006/custom-properties" xmlns:vt="http://schemas.openxmlformats.org/officeDocument/2006/docPropsVTypes"/>
</file>