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058c2d3c30e7f58d6802e814f2104d30488b7a"/>
    <w:p>
      <w:pPr>
        <w:pStyle w:val="Heading1"/>
      </w:pPr>
      <w:r>
        <w:t xml:space="preserve">Deckers Outdoor Corporation Investment Research Report</w:t>
      </w:r>
    </w:p>
    <w:bookmarkStart w:id="20" w:name="X76db90aaa15e4a2485726d0b76b3a84e8f08212"/>
    <w:p>
      <w:pPr>
        <w:pStyle w:val="Heading2"/>
      </w:pPr>
      <w:r>
        <w:t xml:space="preserve">Business Process, Historical Diagnostics, Moat Attack, Forecasting and Valuation</w:t>
      </w:r>
    </w:p>
    <w:p>
      <w:pPr>
        <w:pStyle w:val="FirstParagraph"/>
      </w:pPr>
      <w:r>
        <w:rPr>
          <w:b/>
          <w:bCs/>
        </w:rPr>
        <w:t xml:space="preserve">Ticker:</w:t>
      </w:r>
      <w:r>
        <w:t xml:space="preserve"> </w:t>
      </w:r>
      <w:r>
        <w:t xml:space="preserve">DECK</w:t>
      </w:r>
      <w:r>
        <w:br/>
      </w:r>
      <w:r>
        <w:rPr>
          <w:b/>
          <w:bCs/>
        </w:rPr>
        <w:t xml:space="preserve">Research date:</w:t>
      </w:r>
      <w:r>
        <w:t xml:space="preserve"> </w:t>
      </w:r>
      <w:r>
        <w:t xml:space="preserve">July 17, 2026</w:t>
      </w:r>
      <w:r>
        <w:br/>
      </w:r>
      <w:r>
        <w:rPr>
          <w:b/>
          <w:bCs/>
        </w:rPr>
        <w:t xml:space="preserve">Reference price:</w:t>
      </w:r>
      <w:r>
        <w:t xml:space="preserve"> </w:t>
      </w:r>
      <w:r>
        <w:t xml:space="preserve">$109.03</w:t>
      </w:r>
      <w:r>
        <w:br/>
      </w:r>
      <w:r>
        <w:rPr>
          <w:b/>
          <w:bCs/>
        </w:rPr>
        <w:t xml:space="preserve">Approximate market capitalization:</w:t>
      </w:r>
      <w:r>
        <w:t xml:space="preserve"> </w:t>
      </w:r>
      <w:r>
        <w:t xml:space="preserve">$15.73 billion</w:t>
      </w:r>
      <w:r>
        <w:br/>
      </w:r>
      <w:r>
        <w:rPr>
          <w:b/>
          <w:bCs/>
        </w:rPr>
        <w:t xml:space="preserve">Latest completed fiscal year:</w:t>
      </w:r>
      <w:r>
        <w:t xml:space="preserve"> </w:t>
      </w:r>
      <w:r>
        <w:t xml:space="preserve">FY2026, ended March 31, 2026</w:t>
      </w:r>
      <w:r>
        <w:br/>
      </w:r>
      <w:r>
        <w:rPr>
          <w:b/>
          <w:bCs/>
        </w:rPr>
        <w:t xml:space="preserve">Primary investment horizon:</w:t>
      </w:r>
      <w:r>
        <w:t xml:space="preserve"> </w:t>
      </w:r>
      <w:r>
        <w:t xml:space="preserve">FY2030</w:t>
      </w:r>
    </w:p>
    <w:p>
      <w:pPr>
        <w:pStyle w:val="BodyText"/>
      </w:pPr>
      <w:r>
        <w:t xml:space="preserve">This report applies the Asset Research Agent Framework, including its requirements for twenty-quarter historical analysis, business-process mapping, moat attacks, driver-based scenarios, reverse valuation and monitoring indicators.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xecutive-conclusion"/>
    <w:p>
      <w:pPr>
        <w:pStyle w:val="Heading1"/>
      </w:pPr>
      <w:r>
        <w:t xml:space="preserve">Executive conclusion</w:t>
      </w:r>
    </w:p>
    <w:bookmarkStart w:id="22" w:name="decision-attractive"/>
    <w:p>
      <w:pPr>
        <w:pStyle w:val="Heading2"/>
      </w:pPr>
      <w:r>
        <w:t xml:space="preserve">Decision: Attractive</w:t>
      </w:r>
    </w:p>
    <w:p>
      <w:pPr>
        <w:pStyle w:val="FirstParagraph"/>
      </w:pPr>
      <w:r>
        <w:t xml:space="preserve">Deckers is an unusually profitable, asset-light branded footwear company whose value is overwhelmingly concentrated in two brands: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HOKA:</w:t>
      </w:r>
      <w:r>
        <w:t xml:space="preserve"> </w:t>
      </w:r>
      <w:r>
        <w:t xml:space="preserve">a premium performance and lifestyle footwear franchise.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UGG:</w:t>
      </w:r>
      <w:r>
        <w:t xml:space="preserve"> </w:t>
      </w:r>
      <w:r>
        <w:t xml:space="preserve">an established premium lifestyle and fashion franchise.</w:t>
      </w:r>
    </w:p>
    <w:p>
      <w:pPr>
        <w:pStyle w:val="FirstParagraph"/>
      </w:pPr>
      <w:r>
        <w:t xml:space="preserve">At $109.03, Deckers trades at approximately: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15.1× trailing earnings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14.8× management’s FY2027 EPS-guidance midpoint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14.3× FY2026 free cash flow</w:t>
      </w:r>
    </w:p>
    <w:p>
      <w:pPr>
        <w:pStyle w:val="Compact"/>
        <w:numPr>
          <w:ilvl w:val="0"/>
          <w:numId w:val="1002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12.6× enterprise value to FY2026 free cash flow</w:t>
      </w:r>
    </w:p>
    <w:p>
      <w:pPr>
        <w:pStyle w:val="Compact"/>
        <w:numPr>
          <w:ilvl w:val="0"/>
          <w:numId w:val="1002"/>
        </w:numPr>
      </w:pPr>
      <w:r>
        <w:t xml:space="preserve">A free-cash-flow yield of approximately</w:t>
      </w:r>
      <w:r>
        <w:t xml:space="preserve"> </w:t>
      </w:r>
      <w:r>
        <w:rPr>
          <w:b/>
          <w:bCs/>
        </w:rPr>
        <w:t xml:space="preserve">7.0%</w:t>
      </w:r>
    </w:p>
    <w:p>
      <w:pPr>
        <w:pStyle w:val="Compact"/>
        <w:numPr>
          <w:ilvl w:val="0"/>
          <w:numId w:val="1002"/>
        </w:numPr>
      </w:pPr>
      <w:r>
        <w:t xml:space="preserve">An enterprise free-cash-flow yield approaching</w:t>
      </w:r>
      <w:r>
        <w:t xml:space="preserve"> </w:t>
      </w:r>
      <w:r>
        <w:rPr>
          <w:b/>
          <w:bCs/>
        </w:rPr>
        <w:t xml:space="preserve">8%</w:t>
      </w:r>
    </w:p>
    <w:p>
      <w:pPr>
        <w:pStyle w:val="FirstParagraph"/>
      </w:pPr>
      <w:r>
        <w:t xml:space="preserve">Deckers also holds approximately $1.91 billion of cash, has no outstanding debt, and repurchased roughly $1.08 billion of shares in FY2026.</w:t>
      </w:r>
    </w:p>
    <w:p>
      <w:pPr>
        <w:pStyle w:val="BodyText"/>
      </w:pPr>
      <w:r>
        <w:t xml:space="preserve">The valuation appears to assume that Deckers’ recent margin and growth achievements will meaningfully deteriorate. A reverse cash-flow model suggests that, depending on how excess cash is treated, the current enterprise value is consistent with free cash flow declining by approximately 1–3% annually for five years before returning to modest terminal growth.</w:t>
      </w:r>
    </w:p>
    <w:p>
      <w:pPr>
        <w:pStyle w:val="BodyText"/>
      </w:pPr>
      <w:r>
        <w:t xml:space="preserve">That expectation appears too pessimistic unless:</w:t>
      </w:r>
    </w:p>
    <w:p>
      <w:pPr>
        <w:pStyle w:val="Compact"/>
        <w:numPr>
          <w:ilvl w:val="0"/>
          <w:numId w:val="1003"/>
        </w:numPr>
      </w:pPr>
      <w:r>
        <w:t xml:space="preserve">HOKA loses relevance.</w:t>
      </w:r>
    </w:p>
    <w:p>
      <w:pPr>
        <w:pStyle w:val="Compact"/>
        <w:numPr>
          <w:ilvl w:val="0"/>
          <w:numId w:val="1003"/>
        </w:numPr>
      </w:pPr>
      <w:r>
        <w:t xml:space="preserve">UGG enters a significant fashion downturn.</w:t>
      </w:r>
    </w:p>
    <w:p>
      <w:pPr>
        <w:pStyle w:val="Compact"/>
        <w:numPr>
          <w:ilvl w:val="0"/>
          <w:numId w:val="1003"/>
        </w:numPr>
      </w:pPr>
      <w:r>
        <w:t xml:space="preserve">Tariffs permanently compress gross margin.</w:t>
      </w:r>
    </w:p>
    <w:p>
      <w:pPr>
        <w:pStyle w:val="Compact"/>
        <w:numPr>
          <w:ilvl w:val="0"/>
          <w:numId w:val="1003"/>
        </w:numPr>
      </w:pPr>
      <w:r>
        <w:t xml:space="preserve">Distribution becomes excessive and discounting rises.</w:t>
      </w:r>
    </w:p>
    <w:p>
      <w:pPr>
        <w:pStyle w:val="Compact"/>
        <w:numPr>
          <w:ilvl w:val="0"/>
          <w:numId w:val="1003"/>
        </w:numPr>
      </w:pPr>
      <w:r>
        <w:t xml:space="preserve">Management destroys value through poorly timed repurchases or acquisitions.</w:t>
      </w:r>
    </w:p>
    <w:p>
      <w:pPr>
        <w:pStyle w:val="FirstParagraph"/>
      </w:pPr>
      <w:r>
        <w:t xml:space="preserve">My FY2030 scenarios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FY2030 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$6.81B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$7.62B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$8.27B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$13.78</w:t>
            </w:r>
          </w:p>
        </w:tc>
      </w:tr>
    </w:tbl>
    <w:p>
      <w:pPr>
        <w:pStyle w:val="BodyText"/>
      </w:pPr>
      <w:r>
        <w:t xml:space="preserve">At an 18× exit multiple, these imply:</w:t>
      </w:r>
    </w:p>
    <w:p>
      <w:pPr>
        <w:pStyle w:val="Compact"/>
        <w:numPr>
          <w:ilvl w:val="0"/>
          <w:numId w:val="1004"/>
        </w:numPr>
      </w:pPr>
      <w:r>
        <w:t xml:space="preserve">Bear:</w:t>
      </w:r>
      <w:r>
        <w:t xml:space="preserve"> </w:t>
      </w:r>
      <w:r>
        <w:rPr>
          <w:b/>
          <w:bCs/>
        </w:rPr>
        <w:t xml:space="preserve">$145</w:t>
      </w:r>
    </w:p>
    <w:p>
      <w:pPr>
        <w:pStyle w:val="Compact"/>
        <w:numPr>
          <w:ilvl w:val="0"/>
          <w:numId w:val="1004"/>
        </w:numPr>
      </w:pPr>
      <w:r>
        <w:t xml:space="preserve">Base:</w:t>
      </w:r>
      <w:r>
        <w:t xml:space="preserve"> </w:t>
      </w:r>
      <w:r>
        <w:rPr>
          <w:b/>
          <w:bCs/>
        </w:rPr>
        <w:t xml:space="preserve">$200</w:t>
      </w:r>
    </w:p>
    <w:p>
      <w:pPr>
        <w:pStyle w:val="Compact"/>
        <w:numPr>
          <w:ilvl w:val="0"/>
          <w:numId w:val="1004"/>
        </w:numPr>
      </w:pPr>
      <w:r>
        <w:t xml:space="preserve">Bull:</w:t>
      </w:r>
      <w:r>
        <w:t xml:space="preserve"> </w:t>
      </w:r>
      <w:r>
        <w:rPr>
          <w:b/>
          <w:bCs/>
        </w:rPr>
        <w:t xml:space="preserve">$248</w:t>
      </w:r>
    </w:p>
    <w:p>
      <w:pPr>
        <w:pStyle w:val="FirstParagraph"/>
      </w:pPr>
      <w:r>
        <w:t xml:space="preserve">The probability-weighted FY2030 value is approximately</w:t>
      </w:r>
      <w:r>
        <w:t xml:space="preserve"> </w:t>
      </w:r>
      <w:r>
        <w:rPr>
          <w:b/>
          <w:bCs/>
        </w:rPr>
        <w:t xml:space="preserve">$198</w:t>
      </w:r>
      <w:r>
        <w:t xml:space="preserve">, implying an annualized return of roughly</w:t>
      </w:r>
      <w:r>
        <w:t xml:space="preserve"> </w:t>
      </w:r>
      <w:r>
        <w:rPr>
          <w:b/>
          <w:bCs/>
        </w:rPr>
        <w:t xml:space="preserve">17.5%</w:t>
      </w:r>
      <w:r>
        <w:t xml:space="preserve">.</w:t>
      </w:r>
    </w:p>
    <w:p>
      <w:pPr>
        <w:pStyle w:val="BodyText"/>
      </w:pPr>
      <w:r>
        <w:t xml:space="preserve">Deckers is not risk-free. It has low contractual switching costs, substantial fashion exposure, concentrated production in Southeast Asia and a margin structure currently above its long-term historical average. Nevertheless, its brand strength, full-price selling, high returns on capital, international runway, balance-sheet strength and current valuation provide an attractive risk-reward.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sset-definition"/>
    <w:p>
      <w:pPr>
        <w:pStyle w:val="Heading1"/>
      </w:pPr>
      <w:r>
        <w:t xml:space="preserve">1. Asset definition</w:t>
      </w:r>
    </w:p>
    <w:p>
      <w:pPr>
        <w:pStyle w:val="FirstParagraph"/>
      </w:pPr>
      <w:r>
        <w:t xml:space="preserve">A Deckers shareholder owns a residual claim on the future earnings and cash flows generated by a portfolio of branded footwear and apparel products.</w:t>
      </w:r>
    </w:p>
    <w:p>
      <w:pPr>
        <w:pStyle w:val="BodyText"/>
      </w:pPr>
      <w:r>
        <w:t xml:space="preserve">Deckers does not manufacture its own products. Its principal economic activities are:</w:t>
      </w:r>
    </w:p>
    <w:p>
      <w:pPr>
        <w:pStyle w:val="SourceCode"/>
      </w:pPr>
      <w:r>
        <w:rPr>
          <w:rStyle w:val="VerbatimChar"/>
        </w:rPr>
        <w:t xml:space="preserve">Consumer research</w:t>
      </w:r>
      <w:r>
        <w:br/>
      </w:r>
      <w:r>
        <w:rPr>
          <w:rStyle w:val="VerbatimChar"/>
        </w:rPr>
        <w:t xml:space="preserve">→ product design and innovation</w:t>
      </w:r>
      <w:r>
        <w:br/>
      </w:r>
      <w:r>
        <w:rPr>
          <w:rStyle w:val="VerbatimChar"/>
        </w:rPr>
        <w:t xml:space="preserve">→ brand creation and marketing</w:t>
      </w:r>
      <w:r>
        <w:br/>
      </w:r>
      <w:r>
        <w:rPr>
          <w:rStyle w:val="VerbatimChar"/>
        </w:rPr>
        <w:t xml:space="preserve">→ demand forecasting</w:t>
      </w:r>
      <w:r>
        <w:br/>
      </w:r>
      <w:r>
        <w:rPr>
          <w:rStyle w:val="VerbatimChar"/>
        </w:rPr>
        <w:t xml:space="preserve">→ outsourced manufacturing</w:t>
      </w:r>
      <w:r>
        <w:br/>
      </w:r>
      <w:r>
        <w:rPr>
          <w:rStyle w:val="VerbatimChar"/>
        </w:rPr>
        <w:t xml:space="preserve">→ distribution and marketplace allocation</w:t>
      </w:r>
      <w:r>
        <w:br/>
      </w:r>
      <w:r>
        <w:rPr>
          <w:rStyle w:val="VerbatimChar"/>
        </w:rPr>
        <w:t xml:space="preserve">→ wholesale and DTC sales</w:t>
      </w:r>
      <w:r>
        <w:br/>
      </w:r>
      <w:r>
        <w:rPr>
          <w:rStyle w:val="VerbatimChar"/>
        </w:rPr>
        <w:t xml:space="preserve">→ inventory management</w:t>
      </w:r>
      <w:r>
        <w:br/>
      </w:r>
      <w:r>
        <w:rPr>
          <w:rStyle w:val="VerbatimChar"/>
        </w:rPr>
        <w:t xml:space="preserve">→ cash generation</w:t>
      </w:r>
      <w:r>
        <w:br/>
      </w:r>
      <w:r>
        <w:rPr>
          <w:rStyle w:val="VerbatimChar"/>
        </w:rPr>
        <w:t xml:space="preserve">→ share repurchases</w:t>
      </w:r>
    </w:p>
    <w:p>
      <w:pPr>
        <w:pStyle w:val="FirstParagraph"/>
      </w:pPr>
      <w:r>
        <w:t xml:space="preserve">The company creates value by controlling:</w:t>
      </w:r>
    </w:p>
    <w:p>
      <w:pPr>
        <w:pStyle w:val="Compact"/>
        <w:numPr>
          <w:ilvl w:val="0"/>
          <w:numId w:val="1005"/>
        </w:numPr>
      </w:pPr>
      <w:r>
        <w:t xml:space="preserve">Brand identity.</w:t>
      </w:r>
    </w:p>
    <w:p>
      <w:pPr>
        <w:pStyle w:val="Compact"/>
        <w:numPr>
          <w:ilvl w:val="0"/>
          <w:numId w:val="1005"/>
        </w:numPr>
      </w:pPr>
      <w:r>
        <w:t xml:space="preserve">Product design.</w:t>
      </w:r>
    </w:p>
    <w:p>
      <w:pPr>
        <w:pStyle w:val="Compact"/>
        <w:numPr>
          <w:ilvl w:val="0"/>
          <w:numId w:val="1005"/>
        </w:numPr>
      </w:pPr>
      <w:r>
        <w:t xml:space="preserve">Product specifications.</w:t>
      </w:r>
    </w:p>
    <w:p>
      <w:pPr>
        <w:pStyle w:val="Compact"/>
        <w:numPr>
          <w:ilvl w:val="0"/>
          <w:numId w:val="1005"/>
        </w:numPr>
      </w:pPr>
      <w:r>
        <w:t xml:space="preserve">Marketing.</w:t>
      </w:r>
    </w:p>
    <w:p>
      <w:pPr>
        <w:pStyle w:val="Compact"/>
        <w:numPr>
          <w:ilvl w:val="0"/>
          <w:numId w:val="1005"/>
        </w:numPr>
      </w:pPr>
      <w:r>
        <w:t xml:space="preserve">Distribution.</w:t>
      </w:r>
    </w:p>
    <w:p>
      <w:pPr>
        <w:pStyle w:val="Compact"/>
        <w:numPr>
          <w:ilvl w:val="0"/>
          <w:numId w:val="1005"/>
        </w:numPr>
      </w:pPr>
      <w:r>
        <w:t xml:space="preserve">Pricing.</w:t>
      </w:r>
    </w:p>
    <w:p>
      <w:pPr>
        <w:pStyle w:val="Compact"/>
        <w:numPr>
          <w:ilvl w:val="0"/>
          <w:numId w:val="1005"/>
        </w:numPr>
      </w:pPr>
      <w:r>
        <w:t xml:space="preserve">Inventory allocation.</w:t>
      </w:r>
    </w:p>
    <w:p>
      <w:pPr>
        <w:pStyle w:val="Compact"/>
        <w:numPr>
          <w:ilvl w:val="0"/>
          <w:numId w:val="1005"/>
        </w:numPr>
      </w:pPr>
      <w:r>
        <w:t xml:space="preserve">Consumer relationships.</w:t>
      </w:r>
    </w:p>
    <w:p>
      <w:pPr>
        <w:pStyle w:val="Compact"/>
        <w:numPr>
          <w:ilvl w:val="0"/>
          <w:numId w:val="1005"/>
        </w:numPr>
      </w:pPr>
      <w:r>
        <w:t xml:space="preserve">Retailer relationships.</w:t>
      </w:r>
    </w:p>
    <w:p>
      <w:pPr>
        <w:pStyle w:val="FirstParagraph"/>
      </w:pPr>
      <w:r>
        <w:t xml:space="preserve">Manufacturing is outsourced to independent suppliers, primarily in Southeast Asia and particularly Vietnam. This reduces fixed manufacturing capital but creates supply-chain and geopolitical dependencies.</w:t>
      </w:r>
    </w:p>
    <w:bookmarkStart w:id="24" w:name="what-the-investor-ultimately-owns"/>
    <w:p>
      <w:pPr>
        <w:pStyle w:val="Heading2"/>
      </w:pPr>
      <w:r>
        <w:t xml:space="preserve">What the investor ultimately owns</w:t>
      </w:r>
    </w:p>
    <w:p>
      <w:pPr>
        <w:pStyle w:val="FirstParagraph"/>
      </w:pPr>
      <w:r>
        <w:t xml:space="preserve">The economic claim is approximately:</w:t>
      </w:r>
    </w:p>
    <w:p>
      <w:pPr>
        <w:pStyle w:val="SourceCode"/>
      </w:pPr>
      <w:r>
        <w:rPr>
          <w:rStyle w:val="VerbatimChar"/>
        </w:rPr>
        <w:t xml:space="preserve">Brand demand</w:t>
      </w:r>
      <w:r>
        <w:br/>
      </w:r>
      <w:r>
        <w:rPr>
          <w:rStyle w:val="VerbatimChar"/>
        </w:rPr>
        <w:t xml:space="preserve">× units sold</w:t>
      </w:r>
      <w:r>
        <w:br/>
      </w:r>
      <w:r>
        <w:rPr>
          <w:rStyle w:val="VerbatimChar"/>
        </w:rPr>
        <w:t xml:space="preserve">× average selling price</w:t>
      </w:r>
      <w:r>
        <w:br/>
      </w:r>
      <w:r>
        <w:rPr>
          <w:rStyle w:val="VerbatimChar"/>
        </w:rPr>
        <w:t xml:space="preserve">× gross margin</w:t>
      </w:r>
      <w:r>
        <w:br/>
      </w:r>
      <w:r>
        <w:rPr>
          <w:rStyle w:val="VerbatimChar"/>
        </w:rPr>
        <w:t xml:space="preserve">− brand investment</w:t>
      </w:r>
      <w:r>
        <w:br/>
      </w:r>
      <w:r>
        <w:rPr>
          <w:rStyle w:val="VerbatimChar"/>
        </w:rPr>
        <w:t xml:space="preserve">− corporate infrastructure</w:t>
      </w:r>
      <w:r>
        <w:br/>
      </w:r>
      <w:r>
        <w:rPr>
          <w:rStyle w:val="VerbatimChar"/>
        </w:rPr>
        <w:t xml:space="preserve">− taxes</w:t>
      </w:r>
      <w:r>
        <w:br/>
      </w:r>
      <w:r>
        <w:rPr>
          <w:rStyle w:val="VerbatimChar"/>
        </w:rPr>
        <w:t xml:space="preserve">− working-capital investment</w:t>
      </w:r>
      <w:r>
        <w:br/>
      </w:r>
      <w:r>
        <w:rPr>
          <w:rStyle w:val="VerbatimChar"/>
        </w:rPr>
        <w:t xml:space="preserve">− capital expenditure</w:t>
      </w:r>
      <w:r>
        <w:br/>
      </w:r>
      <w:r>
        <w:rPr>
          <w:rStyle w:val="VerbatimChar"/>
        </w:rPr>
        <w:t xml:space="preserve">= free cash flow available for reinvestment or repurchases</w:t>
      </w:r>
    </w:p>
    <w:p>
      <w:pPr>
        <w:pStyle w:val="FirstParagraph"/>
      </w:pPr>
      <w:r>
        <w:t xml:space="preserve">Deckers’ internally created brands are not fully represented as balance-sheet assets. Consequently, conventional book-value and tangible-ROIC calculations understate the economic capital invested in building HOKA and UGG.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vidence-map"/>
    <w:p>
      <w:pPr>
        <w:pStyle w:val="Heading1"/>
      </w:pPr>
      <w:r>
        <w:t xml:space="preserve">2. Evidence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Primary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 filings</w:t>
            </w:r>
          </w:p>
        </w:tc>
        <w:tc>
          <w:tcPr/>
          <w:p>
            <w:pPr>
              <w:pStyle w:val="Compact"/>
            </w:pPr>
            <w:r>
              <w:t xml:space="preserve">Disclosed fact</w:t>
            </w:r>
          </w:p>
        </w:tc>
        <w:tc>
          <w:tcPr/>
          <w:p>
            <w:pPr>
              <w:pStyle w:val="Compact"/>
            </w:pPr>
            <w:r>
              <w:t xml:space="preserve">Financial statements, risks, manufacturing and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earnings releases</w:t>
            </w:r>
          </w:p>
        </w:tc>
        <w:tc>
          <w:tcPr/>
          <w:p>
            <w:pPr>
              <w:pStyle w:val="Compact"/>
            </w:pPr>
            <w:r>
              <w:t xml:space="preserve">Disclosed fact</w:t>
            </w:r>
          </w:p>
        </w:tc>
        <w:tc>
          <w:tcPr/>
          <w:p>
            <w:pPr>
              <w:pStyle w:val="Compact"/>
            </w:pPr>
            <w:r>
              <w:t xml:space="preserve">Brand, channel, geography and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investor-relations materials</w:t>
            </w:r>
          </w:p>
        </w:tc>
        <w:tc>
          <w:tcPr/>
          <w:p>
            <w:pPr>
              <w:pStyle w:val="Compact"/>
            </w:pPr>
            <w:r>
              <w:t xml:space="preserve">Disclosed fact or management expectation</w:t>
            </w:r>
          </w:p>
        </w:tc>
        <w:tc>
          <w:tcPr/>
          <w:p>
            <w:pPr>
              <w:pStyle w:val="Compact"/>
            </w:pPr>
            <w:r>
              <w:t xml:space="preserve">Medium-term targets and strategic priorities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 financial calculations</w:t>
            </w:r>
          </w:p>
        </w:tc>
        <w:tc>
          <w:tcPr/>
          <w:p>
            <w:pPr>
              <w:pStyle w:val="Compact"/>
            </w:pPr>
            <w:r>
              <w:t xml:space="preserve">Derived estimate</w:t>
            </w:r>
          </w:p>
        </w:tc>
        <w:tc>
          <w:tcPr/>
          <w:p>
            <w:pPr>
              <w:pStyle w:val="Compact"/>
            </w:pPr>
            <w:r>
              <w:t xml:space="preserve">Margins, returns, cash conversion and 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FY2030 scenarios</w:t>
            </w:r>
          </w:p>
        </w:tc>
        <w:tc>
          <w:tcPr/>
          <w:p>
            <w:pPr>
              <w:pStyle w:val="Compact"/>
            </w:pPr>
            <w:r>
              <w:t xml:space="preserve">Analyst assumption</w:t>
            </w:r>
          </w:p>
        </w:tc>
        <w:tc>
          <w:tcPr/>
          <w:p>
            <w:pPr>
              <w:pStyle w:val="Compact"/>
            </w:pPr>
            <w:r>
              <w:t xml:space="preserve">Bear, base and bull forecasts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Moat and terminal-value assessments</w:t>
            </w:r>
          </w:p>
        </w:tc>
        <w:tc>
          <w:tcPr/>
          <w:p>
            <w:pPr>
              <w:pStyle w:val="Compact"/>
            </w:pPr>
            <w:r>
              <w:t xml:space="preserve">Structured judgment</w:t>
            </w:r>
          </w:p>
        </w:tc>
        <w:tc>
          <w:tcPr/>
          <w:p>
            <w:pPr>
              <w:pStyle w:val="Compact"/>
            </w:pPr>
            <w:r>
              <w:t xml:space="preserve">Competitive durability and valuation</w:t>
            </w:r>
          </w:p>
        </w:tc>
      </w:tr>
    </w:tbl>
    <w:p>
      <w:pPr>
        <w:pStyle w:val="BodyText"/>
      </w:pPr>
      <w:r>
        <w:t xml:space="preserve">The analysis primarily uses GAAP figures. Free cash flow is calculated as:</w:t>
      </w:r>
    </w:p>
    <w:p>
      <w:pPr>
        <w:pStyle w:val="SourceCode"/>
      </w:pPr>
      <w:r>
        <w:rPr>
          <w:rStyle w:val="VerbatimChar"/>
        </w:rPr>
        <w:t xml:space="preserve">Operating cash flow − capital expenditure</w:t>
      </w:r>
    </w:p>
    <w:p>
      <w:pPr>
        <w:pStyle w:val="FirstParagraph"/>
      </w:pPr>
      <w:r>
        <w:t xml:space="preserve">Deckers’ fiscal year ends on March 31. The quarters in this report therefore refer to Deckers’ fiscal calendar rather than the calendar year.</w:t>
      </w:r>
    </w:p>
    <w:p>
      <w:r>
        <w:pict>
          <v:rect style="width:0;height:1.5pt" o:hralign="center" o:hrstd="t" o:hr="t"/>
        </w:pict>
      </w:r>
    </w:p>
    <w:bookmarkEnd w:id="26"/>
    <w:bookmarkStart w:id="29" w:name="twenty-quarter-historical-record"/>
    <w:p>
      <w:pPr>
        <w:pStyle w:val="Heading1"/>
      </w:pPr>
      <w:r>
        <w:t xml:space="preserve">3. Twenty-quarter historical record</w:t>
      </w:r>
    </w:p>
    <w:bookmarkStart w:id="27" w:name="twenty-completed-fiscal-quarters"/>
    <w:p>
      <w:pPr>
        <w:pStyle w:val="Heading2"/>
      </w:pPr>
      <w:r>
        <w:t xml:space="preserve">3.1 Twenty completed fiscal quarters</w:t>
      </w:r>
    </w:p>
    <w:p>
      <w:pPr>
        <w:pStyle w:val="FirstParagraph"/>
      </w:pPr>
      <w:r>
        <w:t xml:space="preserve">All dollar values are in millions.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YoY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HOKA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UGG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FY2022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FY2022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$721.9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FY2022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$1,188.0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$945.9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FY2022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$374.6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FY2023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FY2023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$875.6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FY2023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$1,345.6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$930.4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FY2023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$397.7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$675.8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$1,091.9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$1,560.3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$429.3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$1,072.0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$959.8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$361.3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$545.2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$1,311.3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$570.9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$689.9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$1,827.2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$530.9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$1,021.8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$586.1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$374.3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FY2026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$653.1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FY2026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$634.1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FY2026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$1,958.0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$628.9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$1,305.0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FY2026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$671.2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$408.6</w:t>
            </w:r>
          </w:p>
        </w:tc>
      </w:tr>
    </w:tbl>
    <w:p>
      <w:pPr>
        <w:pStyle w:val="BodyText"/>
      </w:pPr>
      <w:r>
        <w:t xml:space="preserve">FY2022 quarterly figures are from Deckers’ official quarterly releases.</w:t>
      </w:r>
    </w:p>
    <w:p>
      <w:pPr>
        <w:pStyle w:val="BodyText"/>
      </w:pPr>
      <w:r>
        <w:t xml:space="preserve">FY2023 figures are from the corresponding official quarterly disclosures.</w:t>
      </w:r>
    </w:p>
    <w:p>
      <w:pPr>
        <w:pStyle w:val="BodyText"/>
      </w:pPr>
      <w:r>
        <w:t xml:space="preserve">FY2024 and FY2025 figures are likewise drawn from Deckers’ releases and filings.</w:t>
      </w:r>
    </w:p>
    <w:p>
      <w:pPr>
        <w:pStyle w:val="BodyText"/>
      </w:pPr>
      <w:r>
        <w:t xml:space="preserve">FY2026 figures cover all four quarters through March 31, 2026.</w:t>
      </w:r>
    </w:p>
    <w:bookmarkEnd w:id="27"/>
    <w:bookmarkStart w:id="28" w:name="twenty-quarter-distribution"/>
    <w:p>
      <w:pPr>
        <w:pStyle w:val="Heading2"/>
      </w:pPr>
      <w:r>
        <w:t xml:space="preserve">3.2 Twenty-quarter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Twenty-quarter 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Latest quarter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SG&amp;A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43.6%</w:t>
            </w:r>
          </w:p>
        </w:tc>
      </w:tr>
    </w:tbl>
    <w:p>
      <w:pPr>
        <w:pStyle w:val="BodyText"/>
      </w:pPr>
      <w:r>
        <w:t xml:space="preserve">Quarterly operating margins are highly seasonal because UGG produces a disproportionate amount of revenue and profit in the fiscal third quarter.</w:t>
      </w:r>
    </w:p>
    <w:p>
      <w:pPr>
        <w:pStyle w:val="BodyText"/>
      </w:pPr>
      <w:r>
        <w:t xml:space="preserve">A significant portion of UGG sales historically occurs in Q3, although the growth of HOKA and the expansion of year-round UGG products have reduced Deckers’ overall seasonality.</w:t>
      </w:r>
    </w:p>
    <w:p>
      <w:pPr>
        <w:pStyle w:val="BodyText"/>
      </w:pPr>
      <w:r>
        <w:t xml:space="preserve">The latest Q4 operating margin should therefore not be compared directly with Q3 or annual margins without adjusting for seasonal volume.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five-year-annual-financial-diagnostics"/>
    <w:p>
      <w:pPr>
        <w:pStyle w:val="Heading1"/>
      </w:pPr>
      <w:r>
        <w:t xml:space="preserve">4. Five-year annual financial diagnostics</w:t>
      </w:r>
    </w:p>
    <w:bookmarkStart w:id="30" w:name="core-financial-record"/>
    <w:p>
      <w:pPr>
        <w:pStyle w:val="Heading2"/>
      </w:pPr>
      <w:r>
        <w:t xml:space="preserve">4.1 Core financial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$3.15B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$3.63B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$4.29B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$4.99B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$5.47B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SG&amp;A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CFO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per diluted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Diluted 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166.7M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152.7M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$844M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$982M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$1.89B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$1.91B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The annual figures are based on Deckers’ reported income statements, balance sheets and cash-flow statements.</w:t>
      </w:r>
    </w:p>
    <w:bookmarkEnd w:id="30"/>
    <w:bookmarkStart w:id="31" w:name="five-year-growth"/>
    <w:p>
      <w:pPr>
        <w:pStyle w:val="Heading2"/>
      </w:pPr>
      <w:r>
        <w:t xml:space="preserve">4.2 Five-year growth</w:t>
      </w:r>
    </w:p>
    <w:p>
      <w:pPr>
        <w:pStyle w:val="FirstParagraph"/>
      </w:pPr>
      <w:r>
        <w:t xml:space="preserve">From FY2022 to FY2026: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 CAGR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UGG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DTC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Wholesale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Diluted shares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-3.3%</w:t>
            </w:r>
          </w:p>
        </w:tc>
      </w:tr>
    </w:tbl>
    <w:p>
      <w:pPr>
        <w:pStyle w:val="BodyText"/>
      </w:pPr>
      <w:r>
        <w:t xml:space="preserve">Deckers’ EPS grew substantially faster than revenue because of:</w:t>
      </w:r>
    </w:p>
    <w:p>
      <w:pPr>
        <w:pStyle w:val="Compact"/>
        <w:numPr>
          <w:ilvl w:val="0"/>
          <w:numId w:val="1006"/>
        </w:numPr>
      </w:pPr>
      <w:r>
        <w:t xml:space="preserve">Gross-margin expansion.</w:t>
      </w:r>
    </w:p>
    <w:p>
      <w:pPr>
        <w:pStyle w:val="Compact"/>
        <w:numPr>
          <w:ilvl w:val="0"/>
          <w:numId w:val="1006"/>
        </w:numPr>
      </w:pPr>
      <w:r>
        <w:t xml:space="preserve">Improved operating margins.</w:t>
      </w:r>
    </w:p>
    <w:p>
      <w:pPr>
        <w:pStyle w:val="Compact"/>
        <w:numPr>
          <w:ilvl w:val="0"/>
          <w:numId w:val="1006"/>
        </w:numPr>
      </w:pPr>
      <w:r>
        <w:t xml:space="preserve">Interest income on growing cash balances.</w:t>
      </w:r>
    </w:p>
    <w:p>
      <w:pPr>
        <w:pStyle w:val="Compact"/>
        <w:numPr>
          <w:ilvl w:val="0"/>
          <w:numId w:val="1006"/>
        </w:numPr>
      </w:pPr>
      <w:r>
        <w:t xml:space="preserve">Share repurchases.</w:t>
      </w:r>
    </w:p>
    <w:p>
      <w:pPr>
        <w:pStyle w:val="FirstParagraph"/>
      </w:pPr>
      <w:r>
        <w:t xml:space="preserve">This is genuine per-share value creation rather than merely aggregate business growth.</w:t>
      </w:r>
    </w:p>
    <w:bookmarkEnd w:id="31"/>
    <w:bookmarkStart w:id="33" w:name="gross-margin-diagnosis"/>
    <w:p>
      <w:pPr>
        <w:pStyle w:val="Heading2"/>
      </w:pPr>
      <w:r>
        <w:t xml:space="preserve">4.3 Gross-margin diagnosis</w:t>
      </w:r>
    </w:p>
    <w:p>
      <w:pPr>
        <w:pStyle w:val="FirstParagraph"/>
      </w:pPr>
      <w:r>
        <w:t xml:space="preserve">Gross margin rose from approximately 51% in FY2022 to almost 58% in FY2025 and FY2026.</w:t>
      </w:r>
    </w:p>
    <w:p>
      <w:pPr>
        <w:pStyle w:val="BodyText"/>
      </w:pPr>
      <w:r>
        <w:t xml:space="preserve">The expansion was caused primarily by:</w:t>
      </w:r>
    </w:p>
    <w:p>
      <w:pPr>
        <w:pStyle w:val="Compact"/>
        <w:numPr>
          <w:ilvl w:val="0"/>
          <w:numId w:val="1007"/>
        </w:numPr>
      </w:pPr>
      <w:r>
        <w:t xml:space="preserve">Higher full-price selling.</w:t>
      </w:r>
    </w:p>
    <w:p>
      <w:pPr>
        <w:pStyle w:val="Compact"/>
        <w:numPr>
          <w:ilvl w:val="0"/>
          <w:numId w:val="1007"/>
        </w:numPr>
      </w:pPr>
      <w:r>
        <w:t xml:space="preserve">Less closeout inventory.</w:t>
      </w:r>
    </w:p>
    <w:p>
      <w:pPr>
        <w:pStyle w:val="Compact"/>
        <w:numPr>
          <w:ilvl w:val="0"/>
          <w:numId w:val="1007"/>
        </w:numPr>
      </w:pPr>
      <w:r>
        <w:t xml:space="preserve">Stronger UGG and HOKA product mix.</w:t>
      </w:r>
    </w:p>
    <w:p>
      <w:pPr>
        <w:pStyle w:val="Compact"/>
        <w:numPr>
          <w:ilvl w:val="0"/>
          <w:numId w:val="1007"/>
        </w:numPr>
      </w:pPr>
      <w:r>
        <w:t xml:space="preserve">DTC growth.</w:t>
      </w:r>
    </w:p>
    <w:p>
      <w:pPr>
        <w:pStyle w:val="Compact"/>
        <w:numPr>
          <w:ilvl w:val="0"/>
          <w:numId w:val="1007"/>
        </w:numPr>
      </w:pPr>
      <w:r>
        <w:t xml:space="preserve">Selective pricing.</w:t>
      </w:r>
    </w:p>
    <w:p>
      <w:pPr>
        <w:pStyle w:val="Compact"/>
        <w:numPr>
          <w:ilvl w:val="0"/>
          <w:numId w:val="1007"/>
        </w:numPr>
      </w:pPr>
      <w:r>
        <w:t xml:space="preserve">Normalizing freight expenses.</w:t>
      </w:r>
    </w:p>
    <w:p>
      <w:pPr>
        <w:pStyle w:val="Compact"/>
        <w:numPr>
          <w:ilvl w:val="0"/>
          <w:numId w:val="1007"/>
        </w:numPr>
      </w:pPr>
      <w:r>
        <w:t xml:space="preserve">Improved marketplace inventory management.</w:t>
      </w:r>
    </w:p>
    <w:p>
      <w:pPr>
        <w:pStyle w:val="FirstParagraph"/>
      </w:pPr>
      <w:r>
        <w:t xml:space="preserve">Deckers reported that segmentation and differentiated product assortments produced higher full-price sell-through. The company also linked gross-margin improvement to UGG pricing, brand mix and DTC mix.</w:t>
      </w:r>
    </w:p>
    <w:bookmarkStart w:id="32" w:name="sustainability-assessment"/>
    <w:p>
      <w:pPr>
        <w:pStyle w:val="Heading3"/>
      </w:pPr>
      <w:r>
        <w:t xml:space="preserve">Sustainability assessment</w:t>
      </w:r>
    </w:p>
    <w:p>
      <w:pPr>
        <w:pStyle w:val="FirstParagraph"/>
      </w:pPr>
      <w:r>
        <w:t xml:space="preserve">The improvement is partly structural:</w:t>
      </w:r>
    </w:p>
    <w:p>
      <w:pPr>
        <w:pStyle w:val="Compact"/>
        <w:numPr>
          <w:ilvl w:val="0"/>
          <w:numId w:val="1008"/>
        </w:numPr>
      </w:pPr>
      <w:r>
        <w:t xml:space="preserve">Better brands.</w:t>
      </w:r>
    </w:p>
    <w:p>
      <w:pPr>
        <w:pStyle w:val="Compact"/>
        <w:numPr>
          <w:ilvl w:val="0"/>
          <w:numId w:val="1008"/>
        </w:numPr>
      </w:pPr>
      <w:r>
        <w:t xml:space="preserve">Better inventory discipline.</w:t>
      </w:r>
    </w:p>
    <w:p>
      <w:pPr>
        <w:pStyle w:val="Compact"/>
        <w:numPr>
          <w:ilvl w:val="0"/>
          <w:numId w:val="1008"/>
        </w:numPr>
      </w:pPr>
      <w:r>
        <w:t xml:space="preserve">More DTC revenue.</w:t>
      </w:r>
    </w:p>
    <w:p>
      <w:pPr>
        <w:pStyle w:val="Compact"/>
        <w:numPr>
          <w:ilvl w:val="0"/>
          <w:numId w:val="1008"/>
        </w:numPr>
      </w:pPr>
      <w:r>
        <w:t xml:space="preserve">Higher international brand acceptance.</w:t>
      </w:r>
    </w:p>
    <w:p>
      <w:pPr>
        <w:pStyle w:val="Compact"/>
        <w:numPr>
          <w:ilvl w:val="0"/>
          <w:numId w:val="1008"/>
        </w:numPr>
      </w:pPr>
      <w:r>
        <w:t xml:space="preserve">Less reliance on weak brands.</w:t>
      </w:r>
    </w:p>
    <w:p>
      <w:pPr>
        <w:pStyle w:val="FirstParagraph"/>
      </w:pPr>
      <w:r>
        <w:t xml:space="preserve">But it is not entirely permanent.</w:t>
      </w:r>
    </w:p>
    <w:p>
      <w:pPr>
        <w:pStyle w:val="BodyText"/>
      </w:pPr>
      <w:r>
        <w:t xml:space="preserve">FY2027 guidance calls for gross margin of approximately</w:t>
      </w:r>
      <w:r>
        <w:t xml:space="preserve"> </w:t>
      </w:r>
      <w:r>
        <w:rPr>
          <w:b/>
          <w:bCs/>
        </w:rPr>
        <w:t xml:space="preserve">56.5%</w:t>
      </w:r>
      <w:r>
        <w:t xml:space="preserve">, compared with 57.7% in FY2026, largely reflecting tariff and sourcing pressure.</w:t>
      </w:r>
    </w:p>
    <w:p>
      <w:pPr>
        <w:pStyle w:val="BodyText"/>
      </w:pPr>
      <w:r>
        <w:t xml:space="preserve">The appropriate normalized gross-margin range is therefore approximately:</w:t>
      </w:r>
    </w:p>
    <w:p>
      <w:pPr>
        <w:pStyle w:val="Compact"/>
        <w:numPr>
          <w:ilvl w:val="0"/>
          <w:numId w:val="1009"/>
        </w:numPr>
      </w:pPr>
      <w:r>
        <w:t xml:space="preserve">Bear: 54–55%</w:t>
      </w:r>
    </w:p>
    <w:p>
      <w:pPr>
        <w:pStyle w:val="Compact"/>
        <w:numPr>
          <w:ilvl w:val="0"/>
          <w:numId w:val="1009"/>
        </w:numPr>
      </w:pPr>
      <w:r>
        <w:t xml:space="preserve">Base: 56–58%</w:t>
      </w:r>
    </w:p>
    <w:p>
      <w:pPr>
        <w:pStyle w:val="Compact"/>
        <w:numPr>
          <w:ilvl w:val="0"/>
          <w:numId w:val="1009"/>
        </w:numPr>
      </w:pPr>
      <w:r>
        <w:t xml:space="preserve">Bull: 58–60%</w:t>
      </w:r>
    </w:p>
    <w:p>
      <w:pPr>
        <w:pStyle w:val="FirstParagraph"/>
      </w:pPr>
      <w:r>
        <w:t xml:space="preserve">A permanent assumption above 60% would require more evidence of sustained pricing power and DTC mix expansion.</w:t>
      </w:r>
    </w:p>
    <w:bookmarkEnd w:id="32"/>
    <w:bookmarkEnd w:id="33"/>
    <w:bookmarkStart w:id="34" w:name="sga-diagnosis"/>
    <w:p>
      <w:pPr>
        <w:pStyle w:val="Heading2"/>
      </w:pPr>
      <w:r>
        <w:t xml:space="preserve">4.4 SG&amp;A diagnosis</w:t>
      </w:r>
    </w:p>
    <w:p>
      <w:pPr>
        <w:pStyle w:val="FirstParagraph"/>
      </w:pPr>
      <w:r>
        <w:t xml:space="preserve">SG&amp;A margin increased rather than declined:</w:t>
      </w:r>
    </w:p>
    <w:p>
      <w:pPr>
        <w:pStyle w:val="SourceCode"/>
      </w:pPr>
      <w:r>
        <w:rPr>
          <w:rStyle w:val="VerbatimChar"/>
        </w:rPr>
        <w:t xml:space="preserve">FY2022: 33.1%</w:t>
      </w:r>
      <w:r>
        <w:br/>
      </w:r>
      <w:r>
        <w:rPr>
          <w:rStyle w:val="VerbatimChar"/>
        </w:rPr>
        <w:t xml:space="preserve">FY2026: 34.6%</w:t>
      </w:r>
    </w:p>
    <w:p>
      <w:pPr>
        <w:pStyle w:val="FirstParagraph"/>
      </w:pPr>
      <w:r>
        <w:t xml:space="preserve">Deckers’ margin expansion was therefore</w:t>
      </w:r>
      <w:r>
        <w:t xml:space="preserve"> </w:t>
      </w:r>
      <w:r>
        <w:rPr>
          <w:b/>
          <w:bCs/>
        </w:rPr>
        <w:t xml:space="preserve">not primarily the result of SG&amp;A leverage</w:t>
      </w:r>
      <w:r>
        <w:t xml:space="preserve">.</w:t>
      </w:r>
    </w:p>
    <w:p>
      <w:pPr>
        <w:pStyle w:val="BodyText"/>
      </w:pPr>
      <w:r>
        <w:t xml:space="preserve">The company continued investing in:</w:t>
      </w:r>
    </w:p>
    <w:p>
      <w:pPr>
        <w:pStyle w:val="Compact"/>
        <w:numPr>
          <w:ilvl w:val="0"/>
          <w:numId w:val="1010"/>
        </w:numPr>
      </w:pPr>
      <w:r>
        <w:t xml:space="preserve">Brand marketing.</w:t>
      </w:r>
    </w:p>
    <w:p>
      <w:pPr>
        <w:pStyle w:val="Compact"/>
        <w:numPr>
          <w:ilvl w:val="0"/>
          <w:numId w:val="1010"/>
        </w:numPr>
      </w:pPr>
      <w:r>
        <w:t xml:space="preserve">Digital systems.</w:t>
      </w:r>
    </w:p>
    <w:p>
      <w:pPr>
        <w:pStyle w:val="Compact"/>
        <w:numPr>
          <w:ilvl w:val="0"/>
          <w:numId w:val="1010"/>
        </w:numPr>
      </w:pPr>
      <w:r>
        <w:t xml:space="preserve">Retail stores.</w:t>
      </w:r>
    </w:p>
    <w:p>
      <w:pPr>
        <w:pStyle w:val="Compact"/>
        <w:numPr>
          <w:ilvl w:val="0"/>
          <w:numId w:val="1010"/>
        </w:numPr>
      </w:pPr>
      <w:r>
        <w:t xml:space="preserve">International infrastructure.</w:t>
      </w:r>
    </w:p>
    <w:p>
      <w:pPr>
        <w:pStyle w:val="Compact"/>
        <w:numPr>
          <w:ilvl w:val="0"/>
          <w:numId w:val="1010"/>
        </w:numPr>
      </w:pPr>
      <w:r>
        <w:t xml:space="preserve">Distribution capacity.</w:t>
      </w:r>
    </w:p>
    <w:p>
      <w:pPr>
        <w:pStyle w:val="Compact"/>
        <w:numPr>
          <w:ilvl w:val="0"/>
          <w:numId w:val="1010"/>
        </w:numPr>
      </w:pPr>
      <w:r>
        <w:t xml:space="preserve">Employees and product development.</w:t>
      </w:r>
    </w:p>
    <w:p>
      <w:pPr>
        <w:pStyle w:val="FirstParagraph"/>
      </w:pPr>
      <w:r>
        <w:t xml:space="preserve">The principal source of operating-margin expansion was gross margin.</w:t>
      </w:r>
    </w:p>
    <w:p>
      <w:pPr>
        <w:pStyle w:val="BodyText"/>
      </w:pPr>
      <w:r>
        <w:t xml:space="preserve">This distinction matters because Deckers cannot simply cut marketing and still assume that HOKA and UGG will retain the same level of brand relevance.</w:t>
      </w:r>
    </w:p>
    <w:bookmarkEnd w:id="34"/>
    <w:bookmarkStart w:id="35" w:name="incremental-economics"/>
    <w:p>
      <w:pPr>
        <w:pStyle w:val="Heading2"/>
      </w:pPr>
      <w:r>
        <w:t xml:space="preserve">4.5 Incremental economics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 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Incremental operating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FY2026 versus 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FY2026 versus 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FY2026 versus FY2023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FY2026 versus FY2022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30.1%</w:t>
            </w:r>
          </w:p>
        </w:tc>
      </w:tr>
    </w:tbl>
    <w:p>
      <w:pPr>
        <w:pStyle w:val="BodyText"/>
      </w:pPr>
      <w:r>
        <w:t xml:space="preserve">The latest one-year incremental margin was below Deckers’ current operating margin. That indicates that FY2026 revenue growth came with:</w:t>
      </w:r>
    </w:p>
    <w:p>
      <w:pPr>
        <w:pStyle w:val="Compact"/>
        <w:numPr>
          <w:ilvl w:val="0"/>
          <w:numId w:val="1011"/>
        </w:numPr>
      </w:pPr>
      <w:r>
        <w:t xml:space="preserve">Higher corporate investment.</w:t>
      </w:r>
    </w:p>
    <w:p>
      <w:pPr>
        <w:pStyle w:val="Compact"/>
        <w:numPr>
          <w:ilvl w:val="0"/>
          <w:numId w:val="1011"/>
        </w:numPr>
      </w:pPr>
      <w:r>
        <w:t xml:space="preserve">International expansion costs.</w:t>
      </w:r>
    </w:p>
    <w:p>
      <w:pPr>
        <w:pStyle w:val="Compact"/>
        <w:numPr>
          <w:ilvl w:val="0"/>
          <w:numId w:val="1011"/>
        </w:numPr>
      </w:pPr>
      <w:r>
        <w:t xml:space="preserve">Distribution expenses.</w:t>
      </w:r>
    </w:p>
    <w:p>
      <w:pPr>
        <w:pStyle w:val="Compact"/>
        <w:numPr>
          <w:ilvl w:val="0"/>
          <w:numId w:val="1011"/>
        </w:numPr>
      </w:pPr>
      <w:r>
        <w:t xml:space="preserve">Tariff preparation.</w:t>
      </w:r>
    </w:p>
    <w:p>
      <w:pPr>
        <w:pStyle w:val="Compact"/>
        <w:numPr>
          <w:ilvl w:val="0"/>
          <w:numId w:val="1011"/>
        </w:numPr>
      </w:pPr>
      <w:r>
        <w:t xml:space="preserve">Slower domestic growth.</w:t>
      </w:r>
    </w:p>
    <w:p>
      <w:pPr>
        <w:pStyle w:val="Compact"/>
        <w:numPr>
          <w:ilvl w:val="0"/>
          <w:numId w:val="1011"/>
        </w:numPr>
      </w:pPr>
      <w:r>
        <w:t xml:space="preserve">Weaker Other Brands economics.</w:t>
      </w:r>
    </w:p>
    <w:p>
      <w:pPr>
        <w:pStyle w:val="FirstParagraph"/>
      </w:pPr>
      <w:r>
        <w:t xml:space="preserve">The two-to-four-year results remain excellent, but the latest year signals that further margin expansion is not automatic.</w:t>
      </w:r>
    </w:p>
    <w:bookmarkEnd w:id="35"/>
    <w:bookmarkStart w:id="36" w:name="cash-conversion"/>
    <w:p>
      <w:pPr>
        <w:pStyle w:val="Heading2"/>
      </w:pPr>
      <w:r>
        <w:t xml:space="preserve">4.6 Cash conversion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CFO/net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FCF/net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1.07×</w:t>
            </w:r>
          </w:p>
        </w:tc>
      </w:tr>
    </w:tbl>
    <w:p>
      <w:pPr>
        <w:pStyle w:val="BodyText"/>
      </w:pPr>
      <w:r>
        <w:t xml:space="preserve">FY2022 cash conversion was depressed by a substantial inventory build during supply-chain disruption.</w:t>
      </w:r>
    </w:p>
    <w:p>
      <w:pPr>
        <w:pStyle w:val="BodyText"/>
      </w:pPr>
      <w:r>
        <w:t xml:space="preserve">The subsequent recovery reflects:</w:t>
      </w:r>
    </w:p>
    <w:p>
      <w:pPr>
        <w:pStyle w:val="Compact"/>
        <w:numPr>
          <w:ilvl w:val="0"/>
          <w:numId w:val="1012"/>
        </w:numPr>
      </w:pPr>
      <w:r>
        <w:t xml:space="preserve">Inventory normalization.</w:t>
      </w:r>
    </w:p>
    <w:p>
      <w:pPr>
        <w:pStyle w:val="Compact"/>
        <w:numPr>
          <w:ilvl w:val="0"/>
          <w:numId w:val="1012"/>
        </w:numPr>
      </w:pPr>
      <w:r>
        <w:t xml:space="preserve">Better sell-through.</w:t>
      </w:r>
    </w:p>
    <w:p>
      <w:pPr>
        <w:pStyle w:val="Compact"/>
        <w:numPr>
          <w:ilvl w:val="0"/>
          <w:numId w:val="1012"/>
        </w:numPr>
      </w:pPr>
      <w:r>
        <w:t xml:space="preserve">Reduced freight disruption.</w:t>
      </w:r>
    </w:p>
    <w:p>
      <w:pPr>
        <w:pStyle w:val="Compact"/>
        <w:numPr>
          <w:ilvl w:val="0"/>
          <w:numId w:val="1012"/>
        </w:numPr>
      </w:pPr>
      <w:r>
        <w:t xml:space="preserve">Strong collections.</w:t>
      </w:r>
    </w:p>
    <w:p>
      <w:pPr>
        <w:pStyle w:val="Compact"/>
        <w:numPr>
          <w:ilvl w:val="0"/>
          <w:numId w:val="1012"/>
        </w:numPr>
      </w:pPr>
      <w:r>
        <w:t xml:space="preserve">Low capital intensity.</w:t>
      </w:r>
    </w:p>
    <w:p>
      <w:pPr>
        <w:pStyle w:val="FirstParagraph"/>
      </w:pPr>
      <w:r>
        <w:t xml:space="preserve">FY2026 produced approximately:</w:t>
      </w:r>
    </w:p>
    <w:p>
      <w:pPr>
        <w:pStyle w:val="SourceCode"/>
      </w:pPr>
      <w:r>
        <w:rPr>
          <w:rStyle w:val="VerbatimChar"/>
        </w:rPr>
        <w:t xml:space="preserve">Operating cash flow: $1.182B</w:t>
      </w:r>
      <w:r>
        <w:br/>
      </w:r>
      <w:r>
        <w:rPr>
          <w:rStyle w:val="VerbatimChar"/>
        </w:rPr>
        <w:t xml:space="preserve">− capital expenditure: $84.6M</w:t>
      </w:r>
      <w:r>
        <w:br/>
      </w:r>
      <w:r>
        <w:rPr>
          <w:rStyle w:val="VerbatimChar"/>
        </w:rPr>
        <w:t xml:space="preserve">= free cash flow: $1.097B</w:t>
      </w:r>
    </w:p>
    <w:bookmarkEnd w:id="36"/>
    <w:bookmarkStart w:id="37" w:name="working-capital-efficiency"/>
    <w:p>
      <w:pPr>
        <w:pStyle w:val="Heading2"/>
      </w:pPr>
      <w:r>
        <w:t xml:space="preserve">4.7 Working-capital efficiency</w:t>
      </w:r>
    </w:p>
    <w:p>
      <w:pPr>
        <w:pStyle w:val="FirstParagraph"/>
      </w:pPr>
      <w:r>
        <w:t xml:space="preserve">Approximate derived working-capital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Receivable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Cash-conversion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</w:tbl>
    <w:p>
      <w:pPr>
        <w:pStyle w:val="BodyText"/>
      </w:pPr>
      <w:r>
        <w:t xml:space="preserve">The improvement is evidence of:</w:t>
      </w:r>
    </w:p>
    <w:p>
      <w:pPr>
        <w:pStyle w:val="Compact"/>
        <w:numPr>
          <w:ilvl w:val="0"/>
          <w:numId w:val="1013"/>
        </w:numPr>
      </w:pPr>
      <w:r>
        <w:t xml:space="preserve">Better inventory planning.</w:t>
      </w:r>
    </w:p>
    <w:p>
      <w:pPr>
        <w:pStyle w:val="Compact"/>
        <w:numPr>
          <w:ilvl w:val="0"/>
          <w:numId w:val="1013"/>
        </w:numPr>
      </w:pPr>
      <w:r>
        <w:t xml:space="preserve">Stronger demand.</w:t>
      </w:r>
    </w:p>
    <w:p>
      <w:pPr>
        <w:pStyle w:val="Compact"/>
        <w:numPr>
          <w:ilvl w:val="0"/>
          <w:numId w:val="1013"/>
        </w:numPr>
      </w:pPr>
      <w:r>
        <w:t xml:space="preserve">Faster sell-through.</w:t>
      </w:r>
    </w:p>
    <w:p>
      <w:pPr>
        <w:pStyle w:val="Compact"/>
        <w:numPr>
          <w:ilvl w:val="0"/>
          <w:numId w:val="1013"/>
        </w:numPr>
      </w:pPr>
      <w:r>
        <w:t xml:space="preserve">Reduced supply-chain congestion.</w:t>
      </w:r>
    </w:p>
    <w:p>
      <w:pPr>
        <w:pStyle w:val="Compact"/>
        <w:numPr>
          <w:ilvl w:val="0"/>
          <w:numId w:val="1013"/>
        </w:numPr>
      </w:pPr>
      <w:r>
        <w:t xml:space="preserve">Greater scale relative to working capital.</w:t>
      </w:r>
    </w:p>
    <w:p>
      <w:pPr>
        <w:pStyle w:val="FirstParagraph"/>
      </w:pPr>
      <w:r>
        <w:t xml:space="preserve">It also means future cash-flow growth is unlikely to receive another equally large benefit from normalizing inventory. Future FCF growth must increasingly come from earnings rather than working-capital releases.</w:t>
      </w:r>
    </w:p>
    <w:bookmarkEnd w:id="37"/>
    <w:bookmarkStart w:id="38" w:name="return-metrics"/>
    <w:p>
      <w:pPr>
        <w:pStyle w:val="Heading2"/>
      </w:pPr>
      <w:r>
        <w:t xml:space="preserve">4.8 Return metrics</w:t>
      </w:r>
    </w:p>
    <w:p>
      <w:pPr>
        <w:pStyle w:val="FirstParagraph"/>
      </w:pPr>
      <w:r>
        <w:t xml:space="preserve">Derived returns using average balance-sheet denominators: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turnover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1.51×</w:t>
            </w:r>
          </w:p>
        </w:tc>
      </w:tr>
    </w:tbl>
    <w:p>
      <w:pPr>
        <w:pStyle w:val="BodyText"/>
      </w:pPr>
      <w:r>
        <w:t xml:space="preserve">Deckers’ ROE is not driven by debt. The company has no borrowings.</w:t>
      </w:r>
    </w:p>
    <w:p>
      <w:pPr>
        <w:pStyle w:val="BodyText"/>
      </w:pPr>
      <w:r>
        <w:t xml:space="preserve">It is driven by:</w:t>
      </w:r>
    </w:p>
    <w:p>
      <w:pPr>
        <w:pStyle w:val="Compact"/>
        <w:numPr>
          <w:ilvl w:val="0"/>
          <w:numId w:val="1014"/>
        </w:numPr>
      </w:pPr>
      <w:r>
        <w:t xml:space="preserve">High net margins.</w:t>
      </w:r>
    </w:p>
    <w:p>
      <w:pPr>
        <w:pStyle w:val="Compact"/>
        <w:numPr>
          <w:ilvl w:val="0"/>
          <w:numId w:val="1014"/>
        </w:numPr>
      </w:pPr>
      <w:r>
        <w:t xml:space="preserve">Efficient use of operating assets.</w:t>
      </w:r>
    </w:p>
    <w:p>
      <w:pPr>
        <w:pStyle w:val="Compact"/>
        <w:numPr>
          <w:ilvl w:val="0"/>
          <w:numId w:val="1014"/>
        </w:numPr>
      </w:pPr>
      <w:r>
        <w:t xml:space="preserve">Negative or low working-capital requirements.</w:t>
      </w:r>
    </w:p>
    <w:p>
      <w:pPr>
        <w:pStyle w:val="Compact"/>
        <w:numPr>
          <w:ilvl w:val="0"/>
          <w:numId w:val="1014"/>
        </w:numPr>
      </w:pPr>
      <w:r>
        <w:t xml:space="preserve">Share repurchases reducing equity.</w:t>
      </w:r>
    </w:p>
    <w:bookmarkEnd w:id="38"/>
    <w:bookmarkStart w:id="39" w:name="roic-interpretation"/>
    <w:p>
      <w:pPr>
        <w:pStyle w:val="Heading2"/>
      </w:pPr>
      <w:r>
        <w:t xml:space="preserve">4.9 ROIC interpretation</w:t>
      </w:r>
    </w:p>
    <w:p>
      <w:pPr>
        <w:pStyle w:val="FirstParagraph"/>
      </w:pPr>
      <w:r>
        <w:t xml:space="preserve">A tangible operating-capital calculation produces a return exceeding 100%.</w:t>
      </w:r>
    </w:p>
    <w:p>
      <w:pPr>
        <w:pStyle w:val="BodyText"/>
      </w:pPr>
      <w:r>
        <w:t xml:space="preserve">That number is economically meaningful in showing that the business is highly capital-light, but it is not directly comparable with capital-intensive companies because:</w:t>
      </w:r>
    </w:p>
    <w:p>
      <w:pPr>
        <w:pStyle w:val="Compact"/>
        <w:numPr>
          <w:ilvl w:val="0"/>
          <w:numId w:val="1015"/>
        </w:numPr>
      </w:pPr>
      <w:r>
        <w:t xml:space="preserve">HOKA and UGG were developed internally.</w:t>
      </w:r>
    </w:p>
    <w:p>
      <w:pPr>
        <w:pStyle w:val="Compact"/>
        <w:numPr>
          <w:ilvl w:val="0"/>
          <w:numId w:val="1015"/>
        </w:numPr>
      </w:pPr>
      <w:r>
        <w:t xml:space="preserve">Historical brand-development and marketing costs were expensed.</w:t>
      </w:r>
    </w:p>
    <w:p>
      <w:pPr>
        <w:pStyle w:val="Compact"/>
        <w:numPr>
          <w:ilvl w:val="0"/>
          <w:numId w:val="1015"/>
        </w:numPr>
      </w:pPr>
      <w:r>
        <w:t xml:space="preserve">Internally created intellectual property is absent from invested capital.</w:t>
      </w:r>
    </w:p>
    <w:p>
      <w:pPr>
        <w:pStyle w:val="Compact"/>
        <w:numPr>
          <w:ilvl w:val="0"/>
          <w:numId w:val="1015"/>
        </w:numPr>
      </w:pPr>
      <w:r>
        <w:t xml:space="preserve">Suppliers finance manufacturing assets.</w:t>
      </w:r>
    </w:p>
    <w:p>
      <w:pPr>
        <w:pStyle w:val="Compact"/>
        <w:numPr>
          <w:ilvl w:val="0"/>
          <w:numId w:val="1015"/>
        </w:numPr>
      </w:pPr>
      <w:r>
        <w:t xml:space="preserve">Wholesale customers and suppliers fund part of the operating cycle.</w:t>
      </w:r>
    </w:p>
    <w:p>
      <w:pPr>
        <w:pStyle w:val="FirstParagraph"/>
      </w:pPr>
      <w:r>
        <w:t xml:space="preserve">The more useful evidence is:</w:t>
      </w:r>
    </w:p>
    <w:p>
      <w:pPr>
        <w:pStyle w:val="SourceCode"/>
      </w:pPr>
      <w:r>
        <w:rPr>
          <w:rStyle w:val="VerbatimChar"/>
        </w:rPr>
        <w:t xml:space="preserve">20% FCF margin</w:t>
      </w:r>
      <w:r>
        <w:br/>
      </w:r>
      <w:r>
        <w:rPr>
          <w:rStyle w:val="VerbatimChar"/>
        </w:rPr>
        <w:t xml:space="preserve">+ capex below 2% of revenue</w:t>
      </w:r>
      <w:r>
        <w:br/>
      </w:r>
      <w:r>
        <w:rPr>
          <w:rStyle w:val="VerbatimChar"/>
        </w:rPr>
        <w:t xml:space="preserve">+ no debt</w:t>
      </w:r>
      <w:r>
        <w:br/>
      </w:r>
      <w:r>
        <w:rPr>
          <w:rStyle w:val="VerbatimChar"/>
        </w:rPr>
        <w:t xml:space="preserve">+ more than 40% ROE</w:t>
      </w:r>
      <w:r>
        <w:br/>
      </w:r>
      <w:r>
        <w:rPr>
          <w:rStyle w:val="VerbatimChar"/>
        </w:rPr>
        <w:t xml:space="preserve">+ sustained growth</w:t>
      </w:r>
    </w:p>
    <w:p>
      <w:pPr>
        <w:pStyle w:val="FirstParagraph"/>
      </w:pPr>
      <w:r>
        <w:t xml:space="preserve">These collectively demonstrate exceptional capital efficiency.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brand-and-segment-diagnosis"/>
    <w:p>
      <w:pPr>
        <w:pStyle w:val="Heading1"/>
      </w:pPr>
      <w:r>
        <w:t xml:space="preserve">5. Brand and segment diagnosis</w:t>
      </w:r>
    </w:p>
    <w:bookmarkStart w:id="43" w:name="hoka"/>
    <w:p>
      <w:pPr>
        <w:pStyle w:val="Heading2"/>
      </w:pPr>
      <w:r>
        <w:t xml:space="preserve">5.1 HOKA</w:t>
      </w:r>
    </w:p>
    <w:p>
      <w:pPr>
        <w:pStyle w:val="FirstParagraph"/>
      </w:pPr>
      <w:r>
        <w:t xml:space="preserve">HOKA revenue increased from approximately $892 million in FY2022 to $2.59 billion in FY2026.</w:t>
      </w:r>
    </w:p>
    <w:p>
      <w:pPr>
        <w:pStyle w:val="BodyText"/>
      </w:pPr>
      <w:r>
        <w:t xml:space="preserve">Growth slowed over the period:</w:t>
      </w:r>
    </w:p>
    <w:p>
      <w:pPr>
        <w:pStyle w:val="Compact"/>
        <w:numPr>
          <w:ilvl w:val="0"/>
          <w:numId w:val="1016"/>
        </w:numPr>
      </w:pPr>
      <w:r>
        <w:t xml:space="preserve">FY2022: approximately 56%</w:t>
      </w:r>
    </w:p>
    <w:p>
      <w:pPr>
        <w:pStyle w:val="Compact"/>
        <w:numPr>
          <w:ilvl w:val="0"/>
          <w:numId w:val="1016"/>
        </w:numPr>
      </w:pPr>
      <w:r>
        <w:t xml:space="preserve">FY2023: approximately 59%</w:t>
      </w:r>
    </w:p>
    <w:p>
      <w:pPr>
        <w:pStyle w:val="Compact"/>
        <w:numPr>
          <w:ilvl w:val="0"/>
          <w:numId w:val="1016"/>
        </w:numPr>
      </w:pPr>
      <w:r>
        <w:t xml:space="preserve">FY2024: approximately 28%</w:t>
      </w:r>
    </w:p>
    <w:p>
      <w:pPr>
        <w:pStyle w:val="Compact"/>
        <w:numPr>
          <w:ilvl w:val="0"/>
          <w:numId w:val="1016"/>
        </w:numPr>
      </w:pPr>
      <w:r>
        <w:t xml:space="preserve">FY2025: approximately 24%</w:t>
      </w:r>
    </w:p>
    <w:p>
      <w:pPr>
        <w:pStyle w:val="Compact"/>
        <w:numPr>
          <w:ilvl w:val="0"/>
          <w:numId w:val="1016"/>
        </w:numPr>
      </w:pPr>
      <w:r>
        <w:t xml:space="preserve">FY2026: approximately 16%</w:t>
      </w:r>
    </w:p>
    <w:p>
      <w:pPr>
        <w:pStyle w:val="FirstParagraph"/>
      </w:pPr>
      <w:r>
        <w:t xml:space="preserve">This is natural as the revenue base expands, but it means the investment thesis must not assume HOKA continues compounding at 20–30% indefinitely.</w:t>
      </w:r>
    </w:p>
    <w:p>
      <w:pPr>
        <w:pStyle w:val="BodyText"/>
      </w:pPr>
      <w:r>
        <w:t xml:space="preserve">HOKA’s product offering includes running, trail, hiking, fitness, lifestyle products, apparel and accessories. Deckers attributes HOKA’s growth to product innovation, increased brand awareness, marketplace expansion and category extensions.</w:t>
      </w:r>
    </w:p>
    <w:bookmarkStart w:id="41" w:name="hoka-economic-engine"/>
    <w:p>
      <w:pPr>
        <w:pStyle w:val="Heading3"/>
      </w:pPr>
      <w:r>
        <w:t xml:space="preserve">HOKA economic engine</w:t>
      </w:r>
    </w:p>
    <w:p>
      <w:pPr>
        <w:pStyle w:val="SourceCode"/>
      </w:pPr>
      <w:r>
        <w:rPr>
          <w:rStyle w:val="VerbatimChar"/>
        </w:rPr>
        <w:t xml:space="preserve">Running participation and comfort demand</w:t>
      </w:r>
      <w:r>
        <w:br/>
      </w:r>
      <w:r>
        <w:rPr>
          <w:rStyle w:val="VerbatimChar"/>
        </w:rPr>
        <w:t xml:space="preserve">→ consumer awareness</w:t>
      </w:r>
      <w:r>
        <w:br/>
      </w:r>
      <w:r>
        <w:rPr>
          <w:rStyle w:val="VerbatimChar"/>
        </w:rPr>
        <w:t xml:space="preserve">→ trial through runners, athletes and lifestyle users</w:t>
      </w:r>
      <w:r>
        <w:br/>
      </w:r>
      <w:r>
        <w:rPr>
          <w:rStyle w:val="VerbatimChar"/>
        </w:rPr>
        <w:t xml:space="preserve">→ retail and DTC availability</w:t>
      </w:r>
      <w:r>
        <w:br/>
      </w:r>
      <w:r>
        <w:rPr>
          <w:rStyle w:val="VerbatimChar"/>
        </w:rPr>
        <w:t xml:space="preserve">→ product satisfaction</w:t>
      </w:r>
      <w:r>
        <w:br/>
      </w:r>
      <w:r>
        <w:rPr>
          <w:rStyle w:val="VerbatimChar"/>
        </w:rPr>
        <w:t xml:space="preserve">→ replacement and additional use cases</w:t>
      </w:r>
      <w:r>
        <w:br/>
      </w:r>
      <w:r>
        <w:rPr>
          <w:rStyle w:val="VerbatimChar"/>
        </w:rPr>
        <w:t xml:space="preserve">→ brand extension</w:t>
      </w:r>
    </w:p>
    <w:bookmarkEnd w:id="41"/>
    <w:bookmarkStart w:id="42" w:name="principal-hoka-risk"/>
    <w:p>
      <w:pPr>
        <w:pStyle w:val="Heading3"/>
      </w:pPr>
      <w:r>
        <w:t xml:space="preserve">Principal HOKA risk</w:t>
      </w:r>
    </w:p>
    <w:p>
      <w:pPr>
        <w:pStyle w:val="FirstParagraph"/>
      </w:pPr>
      <w:r>
        <w:t xml:space="preserve">HOKA initially differentiated itself through maximal cushioning, comfort and stability.</w:t>
      </w:r>
    </w:p>
    <w:p>
      <w:pPr>
        <w:pStyle w:val="BodyText"/>
      </w:pPr>
      <w:r>
        <w:t xml:space="preserve">Those features are now widely copied.</w:t>
      </w:r>
    </w:p>
    <w:p>
      <w:pPr>
        <w:pStyle w:val="BodyText"/>
      </w:pPr>
      <w:r>
        <w:t xml:space="preserve">The moat therefore depends less on the original design concept and increasingly on:</w:t>
      </w:r>
    </w:p>
    <w:p>
      <w:pPr>
        <w:pStyle w:val="Compact"/>
        <w:numPr>
          <w:ilvl w:val="0"/>
          <w:numId w:val="1017"/>
        </w:numPr>
      </w:pPr>
      <w:r>
        <w:t xml:space="preserve">Brand trust.</w:t>
      </w:r>
    </w:p>
    <w:p>
      <w:pPr>
        <w:pStyle w:val="Compact"/>
        <w:numPr>
          <w:ilvl w:val="0"/>
          <w:numId w:val="1017"/>
        </w:numPr>
      </w:pPr>
      <w:r>
        <w:t xml:space="preserve">Product consistency.</w:t>
      </w:r>
    </w:p>
    <w:p>
      <w:pPr>
        <w:pStyle w:val="Compact"/>
        <w:numPr>
          <w:ilvl w:val="0"/>
          <w:numId w:val="1017"/>
        </w:numPr>
      </w:pPr>
      <w:r>
        <w:t xml:space="preserve">Athlete credibility.</w:t>
      </w:r>
    </w:p>
    <w:p>
      <w:pPr>
        <w:pStyle w:val="Compact"/>
        <w:numPr>
          <w:ilvl w:val="0"/>
          <w:numId w:val="1017"/>
        </w:numPr>
      </w:pPr>
      <w:r>
        <w:t xml:space="preserve">Retail shelf position.</w:t>
      </w:r>
    </w:p>
    <w:p>
      <w:pPr>
        <w:pStyle w:val="Compact"/>
        <w:numPr>
          <w:ilvl w:val="0"/>
          <w:numId w:val="1017"/>
        </w:numPr>
      </w:pPr>
      <w:r>
        <w:t xml:space="preserve">Product pipeline.</w:t>
      </w:r>
    </w:p>
    <w:p>
      <w:pPr>
        <w:pStyle w:val="Compact"/>
        <w:numPr>
          <w:ilvl w:val="0"/>
          <w:numId w:val="1017"/>
        </w:numPr>
      </w:pPr>
      <w:r>
        <w:t xml:space="preserve">Consumer community.</w:t>
      </w:r>
    </w:p>
    <w:p>
      <w:pPr>
        <w:pStyle w:val="Compact"/>
        <w:numPr>
          <w:ilvl w:val="0"/>
          <w:numId w:val="1017"/>
        </w:numPr>
      </w:pPr>
      <w:r>
        <w:t xml:space="preserve">Fit and comfort preferences.</w:t>
      </w:r>
    </w:p>
    <w:bookmarkEnd w:id="42"/>
    <w:bookmarkEnd w:id="43"/>
    <w:bookmarkStart w:id="46" w:name="ugg"/>
    <w:p>
      <w:pPr>
        <w:pStyle w:val="Heading2"/>
      </w:pPr>
      <w:r>
        <w:t xml:space="preserve">5.2 UGG</w:t>
      </w:r>
    </w:p>
    <w:p>
      <w:pPr>
        <w:pStyle w:val="FirstParagraph"/>
      </w:pPr>
      <w:r>
        <w:t xml:space="preserve">UGG revenue increased from approximately $1.98 billion in FY2022 to $2.74 billion in FY2026.</w:t>
      </w:r>
    </w:p>
    <w:p>
      <w:pPr>
        <w:pStyle w:val="BodyText"/>
      </w:pPr>
      <w:r>
        <w:t xml:space="preserve">UGG grew more slowly than HOKA but has demonstrated:</w:t>
      </w:r>
    </w:p>
    <w:p>
      <w:pPr>
        <w:pStyle w:val="Compact"/>
        <w:numPr>
          <w:ilvl w:val="0"/>
          <w:numId w:val="1018"/>
        </w:numPr>
      </w:pPr>
      <w:r>
        <w:t xml:space="preserve">Pricing power.</w:t>
      </w:r>
    </w:p>
    <w:p>
      <w:pPr>
        <w:pStyle w:val="Compact"/>
        <w:numPr>
          <w:ilvl w:val="0"/>
          <w:numId w:val="1018"/>
        </w:numPr>
      </w:pPr>
      <w:r>
        <w:t xml:space="preserve">High full-price sell-through.</w:t>
      </w:r>
    </w:p>
    <w:p>
      <w:pPr>
        <w:pStyle w:val="Compact"/>
        <w:numPr>
          <w:ilvl w:val="0"/>
          <w:numId w:val="1018"/>
        </w:numPr>
      </w:pPr>
      <w:r>
        <w:t xml:space="preserve">Strong global recognition.</w:t>
      </w:r>
    </w:p>
    <w:p>
      <w:pPr>
        <w:pStyle w:val="Compact"/>
        <w:numPr>
          <w:ilvl w:val="0"/>
          <w:numId w:val="1018"/>
        </w:numPr>
      </w:pPr>
      <w:r>
        <w:t xml:space="preserve">Successful expansion outside the Classic boot.</w:t>
      </w:r>
    </w:p>
    <w:p>
      <w:pPr>
        <w:pStyle w:val="Compact"/>
        <w:numPr>
          <w:ilvl w:val="0"/>
          <w:numId w:val="1018"/>
        </w:numPr>
      </w:pPr>
      <w:r>
        <w:t xml:space="preserve">Greater year-round relevance.</w:t>
      </w:r>
    </w:p>
    <w:p>
      <w:pPr>
        <w:pStyle w:val="Compact"/>
        <w:numPr>
          <w:ilvl w:val="0"/>
          <w:numId w:val="1018"/>
        </w:numPr>
      </w:pPr>
      <w:r>
        <w:t xml:space="preserve">High segment profitability.</w:t>
      </w:r>
    </w:p>
    <w:p>
      <w:pPr>
        <w:pStyle w:val="FirstParagraph"/>
      </w:pPr>
      <w:r>
        <w:t xml:space="preserve">UGG’s growth has been supported by product franchises, international adoption, strategic collaborations and brand-enhancing wholesale partners.</w:t>
      </w:r>
    </w:p>
    <w:bookmarkStart w:id="44" w:name="ugg-economic-engine"/>
    <w:p>
      <w:pPr>
        <w:pStyle w:val="Heading3"/>
      </w:pPr>
      <w:r>
        <w:t xml:space="preserve">UGG economic engine</w:t>
      </w:r>
    </w:p>
    <w:p>
      <w:pPr>
        <w:pStyle w:val="SourceCode"/>
      </w:pPr>
      <w:r>
        <w:rPr>
          <w:rStyle w:val="VerbatimChar"/>
        </w:rPr>
        <w:t xml:space="preserve">Fashion relevance and comfort identity</w:t>
      </w:r>
      <w:r>
        <w:br/>
      </w:r>
      <w:r>
        <w:rPr>
          <w:rStyle w:val="VerbatimChar"/>
        </w:rPr>
        <w:t xml:space="preserve">→ consumer awareness</w:t>
      </w:r>
      <w:r>
        <w:br/>
      </w:r>
      <w:r>
        <w:rPr>
          <w:rStyle w:val="VerbatimChar"/>
        </w:rPr>
        <w:t xml:space="preserve">→ premium purchase</w:t>
      </w:r>
      <w:r>
        <w:br/>
      </w:r>
      <w:r>
        <w:rPr>
          <w:rStyle w:val="VerbatimChar"/>
        </w:rPr>
        <w:t xml:space="preserve">→ seasonal or lifestyle usage</w:t>
      </w:r>
      <w:r>
        <w:br/>
      </w:r>
      <w:r>
        <w:rPr>
          <w:rStyle w:val="VerbatimChar"/>
        </w:rPr>
        <w:t xml:space="preserve">→ new colors and franchises</w:t>
      </w:r>
      <w:r>
        <w:br/>
      </w:r>
      <w:r>
        <w:rPr>
          <w:rStyle w:val="VerbatimChar"/>
        </w:rPr>
        <w:t xml:space="preserve">→ repeat purchase and gifting</w:t>
      </w:r>
    </w:p>
    <w:bookmarkEnd w:id="44"/>
    <w:bookmarkStart w:id="45" w:name="principal-ugg-risk"/>
    <w:p>
      <w:pPr>
        <w:pStyle w:val="Heading3"/>
      </w:pPr>
      <w:r>
        <w:t xml:space="preserve">Principal UGG risk</w:t>
      </w:r>
    </w:p>
    <w:p>
      <w:pPr>
        <w:pStyle w:val="FirstParagraph"/>
      </w:pPr>
      <w:r>
        <w:t xml:space="preserve">UGG remains exposed to:</w:t>
      </w:r>
    </w:p>
    <w:p>
      <w:pPr>
        <w:pStyle w:val="Compact"/>
        <w:numPr>
          <w:ilvl w:val="0"/>
          <w:numId w:val="1019"/>
        </w:numPr>
      </w:pPr>
      <w:r>
        <w:t xml:space="preserve">Fashion cycles.</w:t>
      </w:r>
    </w:p>
    <w:p>
      <w:pPr>
        <w:pStyle w:val="Compact"/>
        <w:numPr>
          <w:ilvl w:val="0"/>
          <w:numId w:val="1019"/>
        </w:numPr>
      </w:pPr>
      <w:r>
        <w:t xml:space="preserve">Warm winters.</w:t>
      </w:r>
    </w:p>
    <w:p>
      <w:pPr>
        <w:pStyle w:val="Compact"/>
        <w:numPr>
          <w:ilvl w:val="0"/>
          <w:numId w:val="1019"/>
        </w:numPr>
      </w:pPr>
      <w:r>
        <w:t xml:space="preserve">Changing youth preferences.</w:t>
      </w:r>
    </w:p>
    <w:p>
      <w:pPr>
        <w:pStyle w:val="Compact"/>
        <w:numPr>
          <w:ilvl w:val="0"/>
          <w:numId w:val="1019"/>
        </w:numPr>
      </w:pPr>
      <w:r>
        <w:t xml:space="preserve">Brand overexposure.</w:t>
      </w:r>
    </w:p>
    <w:p>
      <w:pPr>
        <w:pStyle w:val="Compact"/>
        <w:numPr>
          <w:ilvl w:val="0"/>
          <w:numId w:val="1019"/>
        </w:numPr>
      </w:pPr>
      <w:r>
        <w:t xml:space="preserve">Counterfeits.</w:t>
      </w:r>
    </w:p>
    <w:p>
      <w:pPr>
        <w:pStyle w:val="Compact"/>
        <w:numPr>
          <w:ilvl w:val="0"/>
          <w:numId w:val="1019"/>
        </w:numPr>
      </w:pPr>
      <w:r>
        <w:t xml:space="preserve">Lower-priced substitutes.</w:t>
      </w:r>
    </w:p>
    <w:p>
      <w:pPr>
        <w:pStyle w:val="FirstParagraph"/>
      </w:pPr>
      <w:r>
        <w:t xml:space="preserve">The brand’s ability to grow sandals, slippers, low-profile footwear and apparel is therefore strategically important.</w:t>
      </w:r>
    </w:p>
    <w:bookmarkEnd w:id="45"/>
    <w:bookmarkEnd w:id="46"/>
    <w:bookmarkStart w:id="47" w:name="other-brands"/>
    <w:p>
      <w:pPr>
        <w:pStyle w:val="Heading2"/>
      </w:pPr>
      <w:r>
        <w:t xml:space="preserve">5.3 Other Brands</w:t>
      </w:r>
    </w:p>
    <w:p>
      <w:pPr>
        <w:pStyle w:val="FirstParagraph"/>
      </w:pPr>
      <w:r>
        <w:t xml:space="preserve">Other Brands generated approximately $146 million in FY2026, down roughly 34%.</w:t>
      </w:r>
    </w:p>
    <w:p>
      <w:pPr>
        <w:pStyle w:val="BodyText"/>
      </w:pPr>
      <w:r>
        <w:t xml:space="preserve">Deckers previously sold Sanuk and began phasing out Koolaburra to focus resources on higher-return opportunities.</w:t>
      </w:r>
    </w:p>
    <w:p>
      <w:pPr>
        <w:pStyle w:val="BodyText"/>
      </w:pPr>
      <w:r>
        <w:t xml:space="preserve">This capital allocation is sensible. Deckers should not maintain weaker brands solely to appear diversified.</w:t>
      </w:r>
    </w:p>
    <w:p>
      <w:pPr>
        <w:pStyle w:val="BodyText"/>
      </w:pPr>
      <w:r>
        <w:t xml:space="preserve">The remaining portfolio, including Teva and AHNU, should be treated as:</w:t>
      </w:r>
    </w:p>
    <w:p>
      <w:pPr>
        <w:pStyle w:val="Compact"/>
        <w:numPr>
          <w:ilvl w:val="0"/>
          <w:numId w:val="1020"/>
        </w:numPr>
      </w:pPr>
      <w:r>
        <w:t xml:space="preserve">A source of modest cash generation.</w:t>
      </w:r>
    </w:p>
    <w:p>
      <w:pPr>
        <w:pStyle w:val="Compact"/>
        <w:numPr>
          <w:ilvl w:val="0"/>
          <w:numId w:val="1020"/>
        </w:numPr>
      </w:pPr>
      <w:r>
        <w:t xml:space="preserve">A product-development laboratory.</w:t>
      </w:r>
    </w:p>
    <w:p>
      <w:pPr>
        <w:pStyle w:val="Compact"/>
        <w:numPr>
          <w:ilvl w:val="0"/>
          <w:numId w:val="1020"/>
        </w:numPr>
      </w:pPr>
      <w:r>
        <w:t xml:space="preserve">A possible source of optionality.</w:t>
      </w:r>
    </w:p>
    <w:p>
      <w:pPr>
        <w:pStyle w:val="FirstParagraph"/>
      </w:pPr>
      <w:r>
        <w:t xml:space="preserve">It should not receive a meaningful growth premium until evidence improves.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business-and-value-chain-map"/>
    <w:p>
      <w:pPr>
        <w:pStyle w:val="Heading1"/>
      </w:pPr>
      <w:r>
        <w:t xml:space="preserve">6. Business and value-chain map</w:t>
      </w:r>
    </w:p>
    <w:bookmarkStart w:id="49" w:name="full-operating-process"/>
    <w:p>
      <w:pPr>
        <w:pStyle w:val="Heading2"/>
      </w:pPr>
      <w:r>
        <w:t xml:space="preserve">6.1 Full operating process</w:t>
      </w:r>
    </w:p>
    <w:p>
      <w:pPr>
        <w:pStyle w:val="SourceCode"/>
      </w:pPr>
      <w:r>
        <w:rPr>
          <w:rStyle w:val="VerbatimChar"/>
        </w:rPr>
        <w:t xml:space="preserve">Consumer need, activity or fashion trend</w:t>
      </w:r>
      <w:r>
        <w:br/>
      </w:r>
      <w:r>
        <w:rPr>
          <w:rStyle w:val="VerbatimChar"/>
        </w:rPr>
        <w:t xml:space="preserve">→ consumer research</w:t>
      </w:r>
      <w:r>
        <w:br/>
      </w:r>
      <w:r>
        <w:rPr>
          <w:rStyle w:val="VerbatimChar"/>
        </w:rPr>
        <w:t xml:space="preserve">→ product and franchise selection</w:t>
      </w:r>
      <w:r>
        <w:br/>
      </w:r>
      <w:r>
        <w:rPr>
          <w:rStyle w:val="VerbatimChar"/>
        </w:rPr>
        <w:t xml:space="preserve">→ design and prototyping</w:t>
      </w:r>
      <w:r>
        <w:br/>
      </w:r>
      <w:r>
        <w:rPr>
          <w:rStyle w:val="VerbatimChar"/>
        </w:rPr>
        <w:t xml:space="preserve">→ athlete, fit and laboratory testing</w:t>
      </w:r>
      <w:r>
        <w:br/>
      </w:r>
      <w:r>
        <w:rPr>
          <w:rStyle w:val="VerbatimChar"/>
        </w:rPr>
        <w:t xml:space="preserve">→ material and cost selection</w:t>
      </w:r>
      <w:r>
        <w:br/>
      </w:r>
      <w:r>
        <w:rPr>
          <w:rStyle w:val="VerbatimChar"/>
        </w:rPr>
        <w:t xml:space="preserve">→ factory capacity allocation</w:t>
      </w:r>
      <w:r>
        <w:br/>
      </w:r>
      <w:r>
        <w:rPr>
          <w:rStyle w:val="VerbatimChar"/>
        </w:rPr>
        <w:t xml:space="preserve">→ production orders</w:t>
      </w:r>
      <w:r>
        <w:br/>
      </w:r>
      <w:r>
        <w:rPr>
          <w:rStyle w:val="VerbatimChar"/>
        </w:rPr>
        <w:t xml:space="preserve">→ manufacturing</w:t>
      </w:r>
      <w:r>
        <w:br/>
      </w:r>
      <w:r>
        <w:rPr>
          <w:rStyle w:val="VerbatimChar"/>
        </w:rPr>
        <w:t xml:space="preserve">→ freight and distribution</w:t>
      </w:r>
      <w:r>
        <w:br/>
      </w:r>
      <w:r>
        <w:rPr>
          <w:rStyle w:val="VerbatimChar"/>
        </w:rPr>
        <w:t xml:space="preserve">→ wholesale and DTC allocation</w:t>
      </w:r>
      <w:r>
        <w:br/>
      </w:r>
      <w:r>
        <w:rPr>
          <w:rStyle w:val="VerbatimChar"/>
        </w:rPr>
        <w:t xml:space="preserve">→ consumer purchase</w:t>
      </w:r>
      <w:r>
        <w:br/>
      </w:r>
      <w:r>
        <w:rPr>
          <w:rStyle w:val="VerbatimChar"/>
        </w:rPr>
        <w:t xml:space="preserve">→ returns or markdowns</w:t>
      </w:r>
      <w:r>
        <w:br/>
      </w:r>
      <w:r>
        <w:rPr>
          <w:rStyle w:val="VerbatimChar"/>
        </w:rPr>
        <w:t xml:space="preserve">→ replenishment</w:t>
      </w:r>
      <w:r>
        <w:br/>
      </w:r>
      <w:r>
        <w:rPr>
          <w:rStyle w:val="VerbatimChar"/>
        </w:rPr>
        <w:t xml:space="preserve">→ cash collection</w:t>
      </w:r>
    </w:p>
    <w:p>
      <w:pPr>
        <w:pStyle w:val="FirstParagraph"/>
      </w:pPr>
      <w:r>
        <w:t xml:space="preserve">Deckers’ product-development process begins with consumer insights, trend research and market analysis. Products then pass through design reviews, prototyping, fit testing and, where appropriate, athlete or laboratory testing.</w:t>
      </w:r>
    </w:p>
    <w:bookmarkEnd w:id="49"/>
    <w:bookmarkStart w:id="52" w:name="manufacturing"/>
    <w:p>
      <w:pPr>
        <w:pStyle w:val="Heading2"/>
      </w:pPr>
      <w:r>
        <w:t xml:space="preserve">6.2 Manufacturing</w:t>
      </w:r>
    </w:p>
    <w:p>
      <w:pPr>
        <w:pStyle w:val="FirstParagraph"/>
      </w:pPr>
      <w:r>
        <w:t xml:space="preserve">All products are manufactured by independent contractors.</w:t>
      </w:r>
    </w:p>
    <w:p>
      <w:pPr>
        <w:pStyle w:val="BodyText"/>
      </w:pPr>
      <w:r>
        <w:t xml:space="preserve">Most production is located in Southeast Asia, predominantly Vietnam. Deckers generally buys through individual purchase orders instead of long-term manufacturing commitments, providing some flexibility to react to consumer demand and trade-policy changes.</w:t>
      </w:r>
    </w:p>
    <w:bookmarkStart w:id="50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21"/>
        </w:numPr>
      </w:pPr>
      <w:r>
        <w:t xml:space="preserve">Low fixed manufacturing capital.</w:t>
      </w:r>
    </w:p>
    <w:p>
      <w:pPr>
        <w:pStyle w:val="Compact"/>
        <w:numPr>
          <w:ilvl w:val="0"/>
          <w:numId w:val="1021"/>
        </w:numPr>
      </w:pPr>
      <w:r>
        <w:t xml:space="preserve">Supplier flexibility.</w:t>
      </w:r>
    </w:p>
    <w:p>
      <w:pPr>
        <w:pStyle w:val="Compact"/>
        <w:numPr>
          <w:ilvl w:val="0"/>
          <w:numId w:val="1021"/>
        </w:numPr>
      </w:pPr>
      <w:r>
        <w:t xml:space="preserve">Access to footwear expertise.</w:t>
      </w:r>
    </w:p>
    <w:p>
      <w:pPr>
        <w:pStyle w:val="Compact"/>
        <w:numPr>
          <w:ilvl w:val="0"/>
          <w:numId w:val="1021"/>
        </w:numPr>
      </w:pPr>
      <w:r>
        <w:t xml:space="preserve">Low capex requirements.</w:t>
      </w:r>
    </w:p>
    <w:p>
      <w:pPr>
        <w:pStyle w:val="Compact"/>
        <w:numPr>
          <w:ilvl w:val="0"/>
          <w:numId w:val="1021"/>
        </w:numPr>
      </w:pPr>
      <w:r>
        <w:t xml:space="preserve">Ability to expand capacity without building factories.</w:t>
      </w:r>
    </w:p>
    <w:bookmarkEnd w:id="50"/>
    <w:bookmarkStart w:id="51" w:name="risks"/>
    <w:p>
      <w:pPr>
        <w:pStyle w:val="Heading3"/>
      </w:pPr>
      <w:r>
        <w:t xml:space="preserve">Risks</w:t>
      </w:r>
    </w:p>
    <w:p>
      <w:pPr>
        <w:pStyle w:val="Compact"/>
        <w:numPr>
          <w:ilvl w:val="0"/>
          <w:numId w:val="1022"/>
        </w:numPr>
      </w:pPr>
      <w:r>
        <w:t xml:space="preserve">Tariffs.</w:t>
      </w:r>
    </w:p>
    <w:p>
      <w:pPr>
        <w:pStyle w:val="Compact"/>
        <w:numPr>
          <w:ilvl w:val="0"/>
          <w:numId w:val="1022"/>
        </w:numPr>
      </w:pPr>
      <w:r>
        <w:t xml:space="preserve">Supplier bargaining power.</w:t>
      </w:r>
    </w:p>
    <w:p>
      <w:pPr>
        <w:pStyle w:val="Compact"/>
        <w:numPr>
          <w:ilvl w:val="0"/>
          <w:numId w:val="1022"/>
        </w:numPr>
      </w:pPr>
      <w:r>
        <w:t xml:space="preserve">Factory disruption.</w:t>
      </w:r>
    </w:p>
    <w:p>
      <w:pPr>
        <w:pStyle w:val="Compact"/>
        <w:numPr>
          <w:ilvl w:val="0"/>
          <w:numId w:val="1022"/>
        </w:numPr>
      </w:pPr>
      <w:r>
        <w:t xml:space="preserve">Political instability.</w:t>
      </w:r>
    </w:p>
    <w:p>
      <w:pPr>
        <w:pStyle w:val="Compact"/>
        <w:numPr>
          <w:ilvl w:val="0"/>
          <w:numId w:val="1022"/>
        </w:numPr>
      </w:pPr>
      <w:r>
        <w:t xml:space="preserve">Shipping delays.</w:t>
      </w:r>
    </w:p>
    <w:p>
      <w:pPr>
        <w:pStyle w:val="Compact"/>
        <w:numPr>
          <w:ilvl w:val="0"/>
          <w:numId w:val="1022"/>
        </w:numPr>
      </w:pPr>
      <w:r>
        <w:t xml:space="preserve">Quality control.</w:t>
      </w:r>
    </w:p>
    <w:p>
      <w:pPr>
        <w:pStyle w:val="Compact"/>
        <w:numPr>
          <w:ilvl w:val="0"/>
          <w:numId w:val="1022"/>
        </w:numPr>
      </w:pPr>
      <w:r>
        <w:t xml:space="preserve">Labor and environmental compliance.</w:t>
      </w:r>
    </w:p>
    <w:p>
      <w:pPr>
        <w:pStyle w:val="Compact"/>
        <w:numPr>
          <w:ilvl w:val="0"/>
          <w:numId w:val="1022"/>
        </w:numPr>
      </w:pPr>
      <w:r>
        <w:t xml:space="preserve">Concentration in Vietnam.</w:t>
      </w:r>
    </w:p>
    <w:p>
      <w:pPr>
        <w:pStyle w:val="Compact"/>
        <w:numPr>
          <w:ilvl w:val="0"/>
          <w:numId w:val="1022"/>
        </w:numPr>
      </w:pPr>
      <w:r>
        <w:t xml:space="preserve">Loss or damage of proprietary molds and materials.</w:t>
      </w:r>
    </w:p>
    <w:bookmarkEnd w:id="51"/>
    <w:bookmarkEnd w:id="52"/>
    <w:bookmarkStart w:id="53" w:name="distribution"/>
    <w:p>
      <w:pPr>
        <w:pStyle w:val="Heading2"/>
      </w:pPr>
      <w:r>
        <w:t xml:space="preserve">6.3 Distribution</w:t>
      </w:r>
    </w:p>
    <w:p>
      <w:pPr>
        <w:pStyle w:val="FirstParagraph"/>
      </w:pPr>
      <w:r>
        <w:t xml:space="preserve">Deckers sells through:</w:t>
      </w:r>
    </w:p>
    <w:p>
      <w:pPr>
        <w:pStyle w:val="Compact"/>
        <w:numPr>
          <w:ilvl w:val="0"/>
          <w:numId w:val="1023"/>
        </w:numPr>
      </w:pPr>
      <w:r>
        <w:t xml:space="preserve">Wholesale retailers.</w:t>
      </w:r>
    </w:p>
    <w:p>
      <w:pPr>
        <w:pStyle w:val="Compact"/>
        <w:numPr>
          <w:ilvl w:val="0"/>
          <w:numId w:val="1023"/>
        </w:numPr>
      </w:pPr>
      <w:r>
        <w:t xml:space="preserve">Specialty stores.</w:t>
      </w:r>
    </w:p>
    <w:p>
      <w:pPr>
        <w:pStyle w:val="Compact"/>
        <w:numPr>
          <w:ilvl w:val="0"/>
          <w:numId w:val="1023"/>
        </w:numPr>
      </w:pPr>
      <w:r>
        <w:t xml:space="preserve">Department stores.</w:t>
      </w:r>
    </w:p>
    <w:p>
      <w:pPr>
        <w:pStyle w:val="Compact"/>
        <w:numPr>
          <w:ilvl w:val="0"/>
          <w:numId w:val="1023"/>
        </w:numPr>
      </w:pPr>
      <w:r>
        <w:t xml:space="preserve">Distributors.</w:t>
      </w:r>
    </w:p>
    <w:p>
      <w:pPr>
        <w:pStyle w:val="Compact"/>
        <w:numPr>
          <w:ilvl w:val="0"/>
          <w:numId w:val="1023"/>
        </w:numPr>
      </w:pPr>
      <w:r>
        <w:t xml:space="preserve">E-commerce.</w:t>
      </w:r>
    </w:p>
    <w:p>
      <w:pPr>
        <w:pStyle w:val="Compact"/>
        <w:numPr>
          <w:ilvl w:val="0"/>
          <w:numId w:val="1023"/>
        </w:numPr>
      </w:pPr>
      <w:r>
        <w:t xml:space="preserve">Company-owned retail stores.</w:t>
      </w:r>
    </w:p>
    <w:p>
      <w:pPr>
        <w:pStyle w:val="Compact"/>
        <w:numPr>
          <w:ilvl w:val="0"/>
          <w:numId w:val="1023"/>
        </w:numPr>
      </w:pPr>
      <w:r>
        <w:t xml:space="preserve">Partner-operated branded stores.</w:t>
      </w:r>
    </w:p>
    <w:p>
      <w:pPr>
        <w:pStyle w:val="FirstParagraph"/>
      </w:pPr>
      <w:r>
        <w:t xml:space="preserve">The company operated e-commerce websites across 56 countries and 179 company-owned stores as of March 2025.</w:t>
      </w:r>
    </w:p>
    <w:bookmarkEnd w:id="53"/>
    <w:bookmarkStart w:id="54" w:name="revenue-recognition-and-cash-conversion"/>
    <w:p>
      <w:pPr>
        <w:pStyle w:val="Heading2"/>
      </w:pPr>
      <w:r>
        <w:t xml:space="preserve">6.4 Revenue recognition and cash conversion</w:t>
      </w:r>
    </w:p>
    <w:p>
      <w:pPr>
        <w:pStyle w:val="SourceCode"/>
      </w:pPr>
      <w:r>
        <w:rPr>
          <w:rStyle w:val="VerbatimChar"/>
        </w:rPr>
        <w:t xml:space="preserve">Wholesale:</w:t>
      </w:r>
      <w:r>
        <w:br/>
      </w:r>
      <w:r>
        <w:rPr>
          <w:rStyle w:val="VerbatimChar"/>
        </w:rPr>
        <w:t xml:space="preserve">Purchase order</w:t>
      </w:r>
      <w:r>
        <w:br/>
      </w:r>
      <w:r>
        <w:rPr>
          <w:rStyle w:val="VerbatimChar"/>
        </w:rPr>
        <w:t xml:space="preserve">→ production allocation</w:t>
      </w:r>
      <w:r>
        <w:br/>
      </w:r>
      <w:r>
        <w:rPr>
          <w:rStyle w:val="VerbatimChar"/>
        </w:rPr>
        <w:t xml:space="preserve">→ shipment</w:t>
      </w:r>
      <w:r>
        <w:br/>
      </w:r>
      <w:r>
        <w:rPr>
          <w:rStyle w:val="VerbatimChar"/>
        </w:rPr>
        <w:t xml:space="preserve">→ customer receipt</w:t>
      </w:r>
      <w:r>
        <w:br/>
      </w:r>
      <w:r>
        <w:rPr>
          <w:rStyle w:val="VerbatimChar"/>
        </w:rPr>
        <w:t xml:space="preserve">→ revenue</w:t>
      </w:r>
      <w:r>
        <w:br/>
      </w:r>
      <w:r>
        <w:rPr>
          <w:rStyle w:val="VerbatimChar"/>
        </w:rPr>
        <w:t xml:space="preserve">→ receivable</w:t>
      </w:r>
      <w:r>
        <w:br/>
      </w:r>
      <w:r>
        <w:rPr>
          <w:rStyle w:val="VerbatimChar"/>
        </w:rPr>
        <w:t xml:space="preserve">→ cash collection</w:t>
      </w:r>
      <w:r>
        <w:br/>
      </w:r>
      <w:r>
        <w:br/>
      </w:r>
      <w:r>
        <w:rPr>
          <w:rStyle w:val="VerbatimChar"/>
        </w:rPr>
        <w:t xml:space="preserve">DTC:</w:t>
      </w:r>
      <w:r>
        <w:br/>
      </w:r>
      <w:r>
        <w:rPr>
          <w:rStyle w:val="VerbatimChar"/>
        </w:rPr>
        <w:t xml:space="preserve">Inventory availability</w:t>
      </w:r>
      <w:r>
        <w:br/>
      </w:r>
      <w:r>
        <w:rPr>
          <w:rStyle w:val="VerbatimChar"/>
        </w:rPr>
        <w:t xml:space="preserve">→ consumer order</w:t>
      </w:r>
      <w:r>
        <w:br/>
      </w:r>
      <w:r>
        <w:rPr>
          <w:rStyle w:val="VerbatimChar"/>
        </w:rPr>
        <w:t xml:space="preserve">→ payment</w:t>
      </w:r>
      <w:r>
        <w:br/>
      </w:r>
      <w:r>
        <w:rPr>
          <w:rStyle w:val="VerbatimChar"/>
        </w:rPr>
        <w:t xml:space="preserve">→ delivery</w:t>
      </w:r>
      <w:r>
        <w:br/>
      </w:r>
      <w:r>
        <w:rPr>
          <w:rStyle w:val="VerbatimChar"/>
        </w:rPr>
        <w:t xml:space="preserve">→ revenue</w:t>
      </w:r>
      <w:r>
        <w:br/>
      </w:r>
      <w:r>
        <w:rPr>
          <w:rStyle w:val="VerbatimChar"/>
        </w:rPr>
        <w:t xml:space="preserve">→ returns period</w:t>
      </w:r>
    </w:p>
    <w:p>
      <w:pPr>
        <w:pStyle w:val="FirstParagraph"/>
      </w:pPr>
      <w:r>
        <w:t xml:space="preserve">Wholesale orders can be reduced, postponed or cancelled. No single customer represented at least 10% of FY2025 sales, although Deckers’ ten largest customers represented 23.7% of total sales.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customer-economics"/>
    <w:p>
      <w:pPr>
        <w:pStyle w:val="Heading1"/>
      </w:pPr>
      <w:r>
        <w:t xml:space="preserve">7. Customer economics</w:t>
      </w:r>
    </w:p>
    <w:bookmarkStart w:id="56" w:name="end-consumer"/>
    <w:p>
      <w:pPr>
        <w:pStyle w:val="Heading2"/>
      </w:pPr>
      <w:r>
        <w:t xml:space="preserve">7.1 End consumer</w:t>
      </w:r>
    </w:p>
    <w:p>
      <w:pPr>
        <w:pStyle w:val="FirstParagraph"/>
      </w:pPr>
      <w:r>
        <w:t xml:space="preserve">The consumer’s economic decision is:</w:t>
      </w:r>
    </w:p>
    <w:p>
      <w:pPr>
        <w:pStyle w:val="SourceCode"/>
      </w:pPr>
      <w:r>
        <w:rPr>
          <w:rStyle w:val="VerbatimChar"/>
        </w:rPr>
        <w:t xml:space="preserve">Perceived comfort</w:t>
      </w:r>
      <w:r>
        <w:br/>
      </w:r>
      <w:r>
        <w:rPr>
          <w:rStyle w:val="VerbatimChar"/>
        </w:rPr>
        <w:t xml:space="preserve">+ performance</w:t>
      </w:r>
      <w:r>
        <w:br/>
      </w:r>
      <w:r>
        <w:rPr>
          <w:rStyle w:val="VerbatimChar"/>
        </w:rPr>
        <w:t xml:space="preserve">+ style</w:t>
      </w:r>
      <w:r>
        <w:br/>
      </w:r>
      <w:r>
        <w:rPr>
          <w:rStyle w:val="VerbatimChar"/>
        </w:rPr>
        <w:t xml:space="preserve">+ brand identity</w:t>
      </w:r>
      <w:r>
        <w:br/>
      </w:r>
      <w:r>
        <w:rPr>
          <w:rStyle w:val="VerbatimChar"/>
        </w:rPr>
        <w:t xml:space="preserve">+ expected durability</w:t>
      </w:r>
      <w:r>
        <w:br/>
      </w:r>
      <w:r>
        <w:rPr>
          <w:rStyle w:val="VerbatimChar"/>
        </w:rPr>
        <w:t xml:space="preserve">− premium price</w:t>
      </w:r>
      <w:r>
        <w:br/>
      </w:r>
      <w:r>
        <w:rPr>
          <w:rStyle w:val="VerbatimChar"/>
        </w:rPr>
        <w:t xml:space="preserve">− availability of substitutes</w:t>
      </w:r>
    </w:p>
    <w:p>
      <w:pPr>
        <w:pStyle w:val="FirstParagraph"/>
      </w:pPr>
      <w:r>
        <w:t xml:space="preserve">Deckers’ products are discretionary. There is no contractual renewal or switching cost.</w:t>
      </w:r>
    </w:p>
    <w:p>
      <w:pPr>
        <w:pStyle w:val="BodyText"/>
      </w:pPr>
      <w:r>
        <w:t xml:space="preserve">The customer can easily choose:</w:t>
      </w:r>
    </w:p>
    <w:p>
      <w:pPr>
        <w:pStyle w:val="Compact"/>
        <w:numPr>
          <w:ilvl w:val="0"/>
          <w:numId w:val="1024"/>
        </w:numPr>
      </w:pPr>
      <w:r>
        <w:t xml:space="preserve">Nike.</w:t>
      </w:r>
    </w:p>
    <w:p>
      <w:pPr>
        <w:pStyle w:val="Compact"/>
        <w:numPr>
          <w:ilvl w:val="0"/>
          <w:numId w:val="1024"/>
        </w:numPr>
      </w:pPr>
      <w:r>
        <w:t xml:space="preserve">Adidas.</w:t>
      </w:r>
    </w:p>
    <w:p>
      <w:pPr>
        <w:pStyle w:val="Compact"/>
        <w:numPr>
          <w:ilvl w:val="0"/>
          <w:numId w:val="1024"/>
        </w:numPr>
      </w:pPr>
      <w:r>
        <w:t xml:space="preserve">On.</w:t>
      </w:r>
    </w:p>
    <w:p>
      <w:pPr>
        <w:pStyle w:val="Compact"/>
        <w:numPr>
          <w:ilvl w:val="0"/>
          <w:numId w:val="1024"/>
        </w:numPr>
      </w:pPr>
      <w:r>
        <w:t xml:space="preserve">New Balance.</w:t>
      </w:r>
    </w:p>
    <w:p>
      <w:pPr>
        <w:pStyle w:val="Compact"/>
        <w:numPr>
          <w:ilvl w:val="0"/>
          <w:numId w:val="1024"/>
        </w:numPr>
      </w:pPr>
      <w:r>
        <w:t xml:space="preserve">Brooks.</w:t>
      </w:r>
    </w:p>
    <w:p>
      <w:pPr>
        <w:pStyle w:val="Compact"/>
        <w:numPr>
          <w:ilvl w:val="0"/>
          <w:numId w:val="1024"/>
        </w:numPr>
      </w:pPr>
      <w:r>
        <w:t xml:space="preserve">ASICS.</w:t>
      </w:r>
    </w:p>
    <w:p>
      <w:pPr>
        <w:pStyle w:val="Compact"/>
        <w:numPr>
          <w:ilvl w:val="0"/>
          <w:numId w:val="1024"/>
        </w:numPr>
      </w:pPr>
      <w:r>
        <w:t xml:space="preserve">Saucony.</w:t>
      </w:r>
    </w:p>
    <w:p>
      <w:pPr>
        <w:pStyle w:val="Compact"/>
        <w:numPr>
          <w:ilvl w:val="0"/>
          <w:numId w:val="1024"/>
        </w:numPr>
      </w:pPr>
      <w:r>
        <w:t xml:space="preserve">Crocs.</w:t>
      </w:r>
    </w:p>
    <w:p>
      <w:pPr>
        <w:pStyle w:val="Compact"/>
        <w:numPr>
          <w:ilvl w:val="0"/>
          <w:numId w:val="1024"/>
        </w:numPr>
      </w:pPr>
      <w:r>
        <w:t xml:space="preserve">Birkenstock.</w:t>
      </w:r>
    </w:p>
    <w:p>
      <w:pPr>
        <w:pStyle w:val="Compact"/>
        <w:numPr>
          <w:ilvl w:val="0"/>
          <w:numId w:val="1024"/>
        </w:numPr>
      </w:pPr>
      <w:r>
        <w:t xml:space="preserve">Lower-priced private labels.</w:t>
      </w:r>
    </w:p>
    <w:p>
      <w:pPr>
        <w:pStyle w:val="Compact"/>
        <w:numPr>
          <w:ilvl w:val="0"/>
          <w:numId w:val="1024"/>
        </w:numPr>
      </w:pPr>
      <w:r>
        <w:t xml:space="preserve">Fashion substitutes.</w:t>
      </w:r>
    </w:p>
    <w:p>
      <w:pPr>
        <w:pStyle w:val="FirstParagraph"/>
      </w:pPr>
      <w:r>
        <w:t xml:space="preserve">The company must therefore recreate demand with each product cycle.</w:t>
      </w:r>
    </w:p>
    <w:bookmarkEnd w:id="56"/>
    <w:bookmarkStart w:id="57" w:name="wholesale-retailer"/>
    <w:p>
      <w:pPr>
        <w:pStyle w:val="Heading2"/>
      </w:pPr>
      <w:r>
        <w:t xml:space="preserve">7.2 Wholesale retailer</w:t>
      </w:r>
    </w:p>
    <w:p>
      <w:pPr>
        <w:pStyle w:val="FirstParagraph"/>
      </w:pPr>
      <w:r>
        <w:t xml:space="preserve">The retailer evaluates:</w:t>
      </w:r>
    </w:p>
    <w:p>
      <w:pPr>
        <w:pStyle w:val="SourceCode"/>
      </w:pPr>
      <w:r>
        <w:rPr>
          <w:rStyle w:val="VerbatimChar"/>
        </w:rPr>
        <w:t xml:space="preserve">Consumer traffic</w:t>
      </w:r>
      <w:r>
        <w:br/>
      </w:r>
      <w:r>
        <w:rPr>
          <w:rStyle w:val="VerbatimChar"/>
        </w:rPr>
        <w:t xml:space="preserve">× conversion</w:t>
      </w:r>
      <w:r>
        <w:br/>
      </w:r>
      <w:r>
        <w:rPr>
          <w:rStyle w:val="VerbatimChar"/>
        </w:rPr>
        <w:t xml:space="preserve">× average selling price</w:t>
      </w:r>
      <w:r>
        <w:br/>
      </w:r>
      <w:r>
        <w:rPr>
          <w:rStyle w:val="VerbatimChar"/>
        </w:rPr>
        <w:t xml:space="preserve">× retailer margin</w:t>
      </w:r>
      <w:r>
        <w:br/>
      </w:r>
      <w:r>
        <w:rPr>
          <w:rStyle w:val="VerbatimChar"/>
        </w:rPr>
        <w:t xml:space="preserve">× inventory turns</w:t>
      </w:r>
      <w:r>
        <w:br/>
      </w:r>
      <w:r>
        <w:rPr>
          <w:rStyle w:val="VerbatimChar"/>
        </w:rPr>
        <w:t xml:space="preserve">− markdown risk</w:t>
      </w:r>
      <w:r>
        <w:br/>
      </w:r>
      <w:r>
        <w:rPr>
          <w:rStyle w:val="VerbatimChar"/>
        </w:rPr>
        <w:t xml:space="preserve">− shelf-space opportunity cost</w:t>
      </w:r>
    </w:p>
    <w:p>
      <w:pPr>
        <w:pStyle w:val="FirstParagraph"/>
      </w:pPr>
      <w:r>
        <w:t xml:space="preserve">Deckers gains distribution when:</w:t>
      </w:r>
    </w:p>
    <w:p>
      <w:pPr>
        <w:pStyle w:val="Compact"/>
        <w:numPr>
          <w:ilvl w:val="0"/>
          <w:numId w:val="1025"/>
        </w:numPr>
      </w:pPr>
      <w:r>
        <w:t xml:space="preserve">Products sell at full price.</w:t>
      </w:r>
    </w:p>
    <w:p>
      <w:pPr>
        <w:pStyle w:val="Compact"/>
        <w:numPr>
          <w:ilvl w:val="0"/>
          <w:numId w:val="1025"/>
        </w:numPr>
      </w:pPr>
      <w:r>
        <w:t xml:space="preserve">Inventory turns quickly.</w:t>
      </w:r>
    </w:p>
    <w:p>
      <w:pPr>
        <w:pStyle w:val="Compact"/>
        <w:numPr>
          <w:ilvl w:val="0"/>
          <w:numId w:val="1025"/>
        </w:numPr>
      </w:pPr>
      <w:r>
        <w:t xml:space="preserve">Brands generate store traffic.</w:t>
      </w:r>
    </w:p>
    <w:p>
      <w:pPr>
        <w:pStyle w:val="Compact"/>
        <w:numPr>
          <w:ilvl w:val="0"/>
          <w:numId w:val="1025"/>
        </w:numPr>
      </w:pPr>
      <w:r>
        <w:t xml:space="preserve">Returns and markdowns remain low.</w:t>
      </w:r>
    </w:p>
    <w:p>
      <w:pPr>
        <w:pStyle w:val="Compact"/>
        <w:numPr>
          <w:ilvl w:val="0"/>
          <w:numId w:val="1025"/>
        </w:numPr>
      </w:pPr>
      <w:r>
        <w:t xml:space="preserve">Deckers provides differentiated assortments.</w:t>
      </w:r>
    </w:p>
    <w:p>
      <w:pPr>
        <w:pStyle w:val="FirstParagraph"/>
      </w:pPr>
      <w:r>
        <w:t xml:space="preserve">Retailers will reduce orders if sell-through weakens, even if Deckers’ reported consumer awareness remains high.</w:t>
      </w:r>
    </w:p>
    <w:bookmarkEnd w:id="57"/>
    <w:bookmarkStart w:id="58" w:name="dtc-economics"/>
    <w:p>
      <w:pPr>
        <w:pStyle w:val="Heading2"/>
      </w:pPr>
      <w:r>
        <w:t xml:space="preserve">7.3 DTC economics</w:t>
      </w:r>
    </w:p>
    <w:p>
      <w:pPr>
        <w:pStyle w:val="FirstParagraph"/>
      </w:pPr>
      <w:r>
        <w:t xml:space="preserve">DTC provides:</w:t>
      </w:r>
    </w:p>
    <w:p>
      <w:pPr>
        <w:pStyle w:val="Compact"/>
        <w:numPr>
          <w:ilvl w:val="0"/>
          <w:numId w:val="1026"/>
        </w:numPr>
      </w:pPr>
      <w:r>
        <w:t xml:space="preserve">Higher gross margin.</w:t>
      </w:r>
    </w:p>
    <w:p>
      <w:pPr>
        <w:pStyle w:val="Compact"/>
        <w:numPr>
          <w:ilvl w:val="0"/>
          <w:numId w:val="1026"/>
        </w:numPr>
      </w:pPr>
      <w:r>
        <w:t xml:space="preserve">Consumer data.</w:t>
      </w:r>
    </w:p>
    <w:p>
      <w:pPr>
        <w:pStyle w:val="Compact"/>
        <w:numPr>
          <w:ilvl w:val="0"/>
          <w:numId w:val="1026"/>
        </w:numPr>
      </w:pPr>
      <w:r>
        <w:t xml:space="preserve">Control over presentation.</w:t>
      </w:r>
    </w:p>
    <w:p>
      <w:pPr>
        <w:pStyle w:val="Compact"/>
        <w:numPr>
          <w:ilvl w:val="0"/>
          <w:numId w:val="1026"/>
        </w:numPr>
      </w:pPr>
      <w:r>
        <w:t xml:space="preserve">Faster product feedback.</w:t>
      </w:r>
    </w:p>
    <w:p>
      <w:pPr>
        <w:pStyle w:val="Compact"/>
        <w:numPr>
          <w:ilvl w:val="0"/>
          <w:numId w:val="1026"/>
        </w:numPr>
      </w:pPr>
      <w:r>
        <w:t xml:space="preserve">More targeted marketing.</w:t>
      </w:r>
    </w:p>
    <w:p>
      <w:pPr>
        <w:pStyle w:val="Compact"/>
        <w:numPr>
          <w:ilvl w:val="0"/>
          <w:numId w:val="1026"/>
        </w:numPr>
      </w:pPr>
      <w:r>
        <w:t xml:space="preserve">Better inventory allocation.</w:t>
      </w:r>
    </w:p>
    <w:p>
      <w:pPr>
        <w:pStyle w:val="FirstParagraph"/>
      </w:pPr>
      <w:r>
        <w:t xml:space="preserve">But it also creates:</w:t>
      </w:r>
    </w:p>
    <w:p>
      <w:pPr>
        <w:pStyle w:val="Compact"/>
        <w:numPr>
          <w:ilvl w:val="0"/>
          <w:numId w:val="1027"/>
        </w:numPr>
      </w:pPr>
      <w:r>
        <w:t xml:space="preserve">Fulfilment costs.</w:t>
      </w:r>
    </w:p>
    <w:p>
      <w:pPr>
        <w:pStyle w:val="Compact"/>
        <w:numPr>
          <w:ilvl w:val="0"/>
          <w:numId w:val="1027"/>
        </w:numPr>
      </w:pPr>
      <w:r>
        <w:t xml:space="preserve">Returns.</w:t>
      </w:r>
    </w:p>
    <w:p>
      <w:pPr>
        <w:pStyle w:val="Compact"/>
        <w:numPr>
          <w:ilvl w:val="0"/>
          <w:numId w:val="1027"/>
        </w:numPr>
      </w:pPr>
      <w:r>
        <w:t xml:space="preserve">Payment-processing costs.</w:t>
      </w:r>
    </w:p>
    <w:p>
      <w:pPr>
        <w:pStyle w:val="Compact"/>
        <w:numPr>
          <w:ilvl w:val="0"/>
          <w:numId w:val="1027"/>
        </w:numPr>
      </w:pPr>
      <w:r>
        <w:t xml:space="preserve">Retail rent.</w:t>
      </w:r>
    </w:p>
    <w:p>
      <w:pPr>
        <w:pStyle w:val="Compact"/>
        <w:numPr>
          <w:ilvl w:val="0"/>
          <w:numId w:val="1027"/>
        </w:numPr>
      </w:pPr>
      <w:r>
        <w:t xml:space="preserve">Technology spending.</w:t>
      </w:r>
    </w:p>
    <w:p>
      <w:pPr>
        <w:pStyle w:val="Compact"/>
        <w:numPr>
          <w:ilvl w:val="0"/>
          <w:numId w:val="1027"/>
        </w:numPr>
      </w:pPr>
      <w:r>
        <w:t xml:space="preserve">Customer-service costs.</w:t>
      </w:r>
    </w:p>
    <w:p>
      <w:pPr>
        <w:pStyle w:val="Compact"/>
        <w:numPr>
          <w:ilvl w:val="0"/>
          <w:numId w:val="1027"/>
        </w:numPr>
      </w:pPr>
      <w:r>
        <w:t xml:space="preserve">Potential conflict with wholesale partners.</w:t>
      </w:r>
    </w:p>
    <w:p>
      <w:pPr>
        <w:pStyle w:val="FirstParagraph"/>
      </w:pPr>
      <w:r>
        <w:t xml:space="preserve">Higher DTC mix does not automatically produce higher operating margins unless customer-acquisition and fulfilment costs remain controlled.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rocess-bottlenecks"/>
    <w:p>
      <w:pPr>
        <w:pStyle w:val="Heading1"/>
      </w:pPr>
      <w:r>
        <w:t xml:space="preserve">8. Process bottlenecks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Principal 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 growth</w:t>
            </w:r>
          </w:p>
        </w:tc>
        <w:tc>
          <w:tcPr/>
          <w:p>
            <w:pPr>
              <w:pStyle w:val="Compact"/>
            </w:pPr>
            <w:r>
              <w:t xml:space="preserve">Sustaining product relevance as competitors copy the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UGG growth</w:t>
            </w:r>
          </w:p>
        </w:tc>
        <w:tc>
          <w:tcPr/>
          <w:p>
            <w:pPr>
              <w:pStyle w:val="Compact"/>
            </w:pPr>
            <w:r>
              <w:t xml:space="preserve">Maintaining fashion relevance beyond seasonal footwear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development</w:t>
            </w:r>
          </w:p>
        </w:tc>
        <w:tc>
          <w:tcPr/>
          <w:p>
            <w:pPr>
              <w:pStyle w:val="Compact"/>
            </w:pPr>
            <w:r>
              <w:t xml:space="preserve">Correctly forecasting consumer tastes 6–12 months in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Vietnam capacity, quality and tariff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Wholesale</w:t>
            </w:r>
          </w:p>
        </w:tc>
        <w:tc>
          <w:tcPr/>
          <w:p>
            <w:pPr>
              <w:pStyle w:val="Compact"/>
            </w:pPr>
            <w:r>
              <w:t xml:space="preserve">Product sell-through and retailer shelf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DTC</w:t>
            </w:r>
          </w:p>
        </w:tc>
        <w:tc>
          <w:tcPr/>
          <w:p>
            <w:pPr>
              <w:pStyle w:val="Compact"/>
            </w:pPr>
            <w:r>
              <w:t xml:space="preserve">Acquisition costs, returns and fulfilment economics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</w:t>
            </w:r>
          </w:p>
        </w:tc>
        <w:tc>
          <w:tcPr/>
          <w:p>
            <w:pPr>
              <w:pStyle w:val="Compact"/>
            </w:pPr>
            <w:r>
              <w:t xml:space="preserve">Local brand awareness and distribution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Full-price selling and inventory discipline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conversion</w:t>
            </w:r>
          </w:p>
        </w:tc>
        <w:tc>
          <w:tcPr/>
          <w:p>
            <w:pPr>
              <w:pStyle w:val="Compact"/>
            </w:pPr>
            <w:r>
              <w:t xml:space="preserve">Inventory commitments made months before consumer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allocation</w:t>
            </w:r>
          </w:p>
        </w:tc>
        <w:tc>
          <w:tcPr/>
          <w:p>
            <w:pPr>
              <w:pStyle w:val="Compact"/>
            </w:pPr>
            <w:r>
              <w:t xml:space="preserve">Repurchasing shares below long-term intrinsic value</w:t>
            </w:r>
          </w:p>
        </w:tc>
      </w:tr>
    </w:tbl>
    <w:p>
      <w:pPr>
        <w:pStyle w:val="BodyText"/>
      </w:pPr>
      <w:r>
        <w:t xml:space="preserve">The narrowest bottleneck is not production capacity.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continued consumer demand at premium, full-price economics</w:t>
      </w:r>
      <w:r>
        <w:t xml:space="preserve">.</w:t>
      </w:r>
    </w:p>
    <w:p>
      <w:pPr>
        <w:pStyle w:val="BodyText"/>
      </w:pPr>
      <w:r>
        <w:t xml:space="preserve">Factories can produce additional footwear. The difficult part is preserving brand heat without over-distributing the brands.</w:t>
      </w:r>
    </w:p>
    <w:p>
      <w:r>
        <w:pict>
          <v:rect style="width:0;height:1.5pt" o:hralign="center" o:hrstd="t" o:hr="t"/>
        </w:pict>
      </w:r>
    </w:p>
    <w:bookmarkEnd w:id="60"/>
    <w:bookmarkStart w:id="62" w:name="moat-identification"/>
    <w:p>
      <w:pPr>
        <w:pStyle w:val="Heading1"/>
      </w:pPr>
      <w:r>
        <w:t xml:space="preserve">9. Moat identification</w:t>
      </w:r>
    </w:p>
    <w:bookmarkStart w:id="61" w:name="moat-summary"/>
    <w:p>
      <w:pPr>
        <w:pStyle w:val="Heading2"/>
      </w:pPr>
      <w:r>
        <w:t xml:space="preserve">9.1 Moat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Claimed moat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UGG brand and cultural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 brand and product credibility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and inventory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</w:pPr>
            <w:r>
              <w:t xml:space="preserve">Moderate–strong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Wholesale distribution relationships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development and franchise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and outsourced supply chain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DTC consumer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Weak–moderate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Patents and intellectual 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Switching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effects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moat classification: Strong, but fashion-sensitive</w:t>
      </w:r>
    </w:p>
    <w:p>
      <w:pPr>
        <w:pStyle w:val="BodyText"/>
      </w:pPr>
      <w:r>
        <w:t xml:space="preserve">Deckers’ moat protects:</w:t>
      </w:r>
    </w:p>
    <w:p>
      <w:pPr>
        <w:pStyle w:val="Compact"/>
        <w:numPr>
          <w:ilvl w:val="0"/>
          <w:numId w:val="1028"/>
        </w:numPr>
      </w:pPr>
      <w:r>
        <w:t xml:space="preserve">Premium pricing.</w:t>
      </w:r>
    </w:p>
    <w:p>
      <w:pPr>
        <w:pStyle w:val="Compact"/>
        <w:numPr>
          <w:ilvl w:val="0"/>
          <w:numId w:val="1028"/>
        </w:numPr>
      </w:pPr>
      <w:r>
        <w:t xml:space="preserve">Full-price sell-through.</w:t>
      </w:r>
    </w:p>
    <w:p>
      <w:pPr>
        <w:pStyle w:val="Compact"/>
        <w:numPr>
          <w:ilvl w:val="0"/>
          <w:numId w:val="1028"/>
        </w:numPr>
      </w:pPr>
      <w:r>
        <w:t xml:space="preserve">Retailer shelf space.</w:t>
      </w:r>
    </w:p>
    <w:p>
      <w:pPr>
        <w:pStyle w:val="Compact"/>
        <w:numPr>
          <w:ilvl w:val="0"/>
          <w:numId w:val="1028"/>
        </w:numPr>
      </w:pPr>
      <w:r>
        <w:t xml:space="preserve">Consumer acquisition.</w:t>
      </w:r>
    </w:p>
    <w:p>
      <w:pPr>
        <w:pStyle w:val="Compact"/>
        <w:numPr>
          <w:ilvl w:val="0"/>
          <w:numId w:val="1028"/>
        </w:numPr>
      </w:pPr>
      <w:r>
        <w:t xml:space="preserve">Gross margin.</w:t>
      </w:r>
    </w:p>
    <w:p>
      <w:pPr>
        <w:pStyle w:val="Compact"/>
        <w:numPr>
          <w:ilvl w:val="0"/>
          <w:numId w:val="1028"/>
        </w:numPr>
      </w:pPr>
      <w:r>
        <w:t xml:space="preserve">Inventory turns.</w:t>
      </w:r>
    </w:p>
    <w:p>
      <w:pPr>
        <w:pStyle w:val="Compact"/>
        <w:numPr>
          <w:ilvl w:val="0"/>
          <w:numId w:val="1028"/>
        </w:numPr>
      </w:pPr>
      <w:r>
        <w:t xml:space="preserve">Returns on marketing and product development.</w:t>
      </w:r>
    </w:p>
    <w:p>
      <w:pPr>
        <w:pStyle w:val="FirstParagraph"/>
      </w:pPr>
      <w:r>
        <w:t xml:space="preserve">It does not create hard consumer lock-in.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6" w:name="moat-attack"/>
    <w:p>
      <w:pPr>
        <w:pStyle w:val="Heading1"/>
      </w:pPr>
      <w:r>
        <w:t xml:space="preserve">10. Moat attack</w:t>
      </w:r>
    </w:p>
    <w:bookmarkStart w:id="67" w:name="hoka-attack-competitors-cut-price-by-25"/>
    <w:p>
      <w:pPr>
        <w:pStyle w:val="Heading2"/>
      </w:pPr>
      <w:r>
        <w:t xml:space="preserve">10.1 HOKA attack: competitors cut price by 25%</w:t>
      </w:r>
    </w:p>
    <w:bookmarkStart w:id="63" w:name="attacker"/>
    <w:p>
      <w:pPr>
        <w:pStyle w:val="Heading3"/>
      </w:pPr>
      <w:r>
        <w:t xml:space="preserve">Attacker</w:t>
      </w:r>
    </w:p>
    <w:p>
      <w:pPr>
        <w:pStyle w:val="FirstParagraph"/>
      </w:pPr>
      <w:r>
        <w:t xml:space="preserve">A well-funded athletic competitor launches highly cushioned running shoes with:</w:t>
      </w:r>
    </w:p>
    <w:p>
      <w:pPr>
        <w:pStyle w:val="Compact"/>
        <w:numPr>
          <w:ilvl w:val="0"/>
          <w:numId w:val="1029"/>
        </w:numPr>
      </w:pPr>
      <w:r>
        <w:t xml:space="preserve">Similar technical performance.</w:t>
      </w:r>
    </w:p>
    <w:p>
      <w:pPr>
        <w:pStyle w:val="Compact"/>
        <w:numPr>
          <w:ilvl w:val="0"/>
          <w:numId w:val="1029"/>
        </w:numPr>
      </w:pPr>
      <w:r>
        <w:t xml:space="preserve">Lower prices.</w:t>
      </w:r>
    </w:p>
    <w:p>
      <w:pPr>
        <w:pStyle w:val="Compact"/>
        <w:numPr>
          <w:ilvl w:val="0"/>
          <w:numId w:val="1029"/>
        </w:numPr>
      </w:pPr>
      <w:r>
        <w:t xml:space="preserve">Extensive athlete sponsorship.</w:t>
      </w:r>
    </w:p>
    <w:p>
      <w:pPr>
        <w:pStyle w:val="Compact"/>
        <w:numPr>
          <w:ilvl w:val="0"/>
          <w:numId w:val="1029"/>
        </w:numPr>
      </w:pPr>
      <w:r>
        <w:t xml:space="preserve">Better wholesale incentives.</w:t>
      </w:r>
    </w:p>
    <w:p>
      <w:pPr>
        <w:pStyle w:val="Compact"/>
        <w:numPr>
          <w:ilvl w:val="0"/>
          <w:numId w:val="1029"/>
        </w:numPr>
      </w:pPr>
      <w:r>
        <w:t xml:space="preserve">More marketing.</w:t>
      </w:r>
    </w:p>
    <w:bookmarkEnd w:id="63"/>
    <w:bookmarkStart w:id="64" w:name="first-vulnerable-customers"/>
    <w:p>
      <w:pPr>
        <w:pStyle w:val="Heading3"/>
      </w:pPr>
      <w:r>
        <w:t xml:space="preserve">First vulnerable customers</w:t>
      </w:r>
    </w:p>
    <w:p>
      <w:pPr>
        <w:pStyle w:val="Compact"/>
        <w:numPr>
          <w:ilvl w:val="0"/>
          <w:numId w:val="1030"/>
        </w:numPr>
      </w:pPr>
      <w:r>
        <w:t xml:space="preserve">Casual HOKA buyers.</w:t>
      </w:r>
    </w:p>
    <w:p>
      <w:pPr>
        <w:pStyle w:val="Compact"/>
        <w:numPr>
          <w:ilvl w:val="0"/>
          <w:numId w:val="1030"/>
        </w:numPr>
      </w:pPr>
      <w:r>
        <w:t xml:space="preserve">Price-sensitive walkers.</w:t>
      </w:r>
    </w:p>
    <w:p>
      <w:pPr>
        <w:pStyle w:val="Compact"/>
        <w:numPr>
          <w:ilvl w:val="0"/>
          <w:numId w:val="1030"/>
        </w:numPr>
      </w:pPr>
      <w:r>
        <w:t xml:space="preserve">Consumers without strong brand loyalty.</w:t>
      </w:r>
    </w:p>
    <w:p>
      <w:pPr>
        <w:pStyle w:val="Compact"/>
        <w:numPr>
          <w:ilvl w:val="0"/>
          <w:numId w:val="1030"/>
        </w:numPr>
      </w:pPr>
      <w:r>
        <w:t xml:space="preserve">New runners who have not developed a fit preference.</w:t>
      </w:r>
    </w:p>
    <w:bookmarkEnd w:id="64"/>
    <w:bookmarkStart w:id="65" w:name="likely-deckers-response"/>
    <w:p>
      <w:pPr>
        <w:pStyle w:val="Heading3"/>
      </w:pPr>
      <w:r>
        <w:t xml:space="preserve">Likely Deckers response</w:t>
      </w:r>
    </w:p>
    <w:p>
      <w:pPr>
        <w:pStyle w:val="Compact"/>
        <w:numPr>
          <w:ilvl w:val="0"/>
          <w:numId w:val="1031"/>
        </w:numPr>
      </w:pPr>
      <w:r>
        <w:t xml:space="preserve">Increase product innovation.</w:t>
      </w:r>
    </w:p>
    <w:p>
      <w:pPr>
        <w:pStyle w:val="Compact"/>
        <w:numPr>
          <w:ilvl w:val="0"/>
          <w:numId w:val="1031"/>
        </w:numPr>
      </w:pPr>
      <w:r>
        <w:t xml:space="preserve">Expand athlete and event marketing.</w:t>
      </w:r>
    </w:p>
    <w:p>
      <w:pPr>
        <w:pStyle w:val="Compact"/>
        <w:numPr>
          <w:ilvl w:val="0"/>
          <w:numId w:val="1031"/>
        </w:numPr>
      </w:pPr>
      <w:r>
        <w:t xml:space="preserve">Protect key franchises.</w:t>
      </w:r>
    </w:p>
    <w:p>
      <w:pPr>
        <w:pStyle w:val="Compact"/>
        <w:numPr>
          <w:ilvl w:val="0"/>
          <w:numId w:val="1031"/>
        </w:numPr>
      </w:pPr>
      <w:r>
        <w:t xml:space="preserve">Offer broader price points.</w:t>
      </w:r>
    </w:p>
    <w:p>
      <w:pPr>
        <w:pStyle w:val="Compact"/>
        <w:numPr>
          <w:ilvl w:val="0"/>
          <w:numId w:val="1031"/>
        </w:numPr>
      </w:pPr>
      <w:r>
        <w:t xml:space="preserve">Increase lifestyle products.</w:t>
      </w:r>
    </w:p>
    <w:p>
      <w:pPr>
        <w:pStyle w:val="Compact"/>
        <w:numPr>
          <w:ilvl w:val="0"/>
          <w:numId w:val="1031"/>
        </w:numPr>
      </w:pPr>
      <w:r>
        <w:t xml:space="preserve">Reinforce specialty-running distribution.</w:t>
      </w:r>
    </w:p>
    <w:bookmarkEnd w:id="65"/>
    <w:bookmarkStart w:id="66" w:name="financial-translation"/>
    <w:p>
      <w:pPr>
        <w:pStyle w:val="Heading3"/>
      </w:pPr>
      <w:r>
        <w:t xml:space="preserve">Financial translation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Potential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 growth</w:t>
            </w:r>
          </w:p>
        </w:tc>
        <w:tc>
          <w:tcPr/>
          <w:p>
            <w:pPr>
              <w:pStyle w:val="Compact"/>
            </w:pPr>
            <w:r>
              <w:t xml:space="preserve">Falls to low single digits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selling price</w:t>
            </w:r>
          </w:p>
        </w:tc>
        <w:tc>
          <w:tcPr/>
          <w:p>
            <w:pPr>
              <w:pStyle w:val="Compact"/>
            </w:pPr>
            <w:r>
              <w:t xml:space="preserve">Down 3–7%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Down 150–300 basis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intensity</w:t>
            </w:r>
          </w:p>
        </w:tc>
        <w:tc>
          <w:tcPr/>
          <w:p>
            <w:pPr>
              <w:pStyle w:val="Compact"/>
            </w:pPr>
            <w:r>
              <w:t xml:space="preserve">Increases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Rises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</w:pPr>
            <w:r>
              <w:t xml:space="preserve">Down 200–400 basis points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Attack result: moat survives partially.</w:t>
      </w:r>
    </w:p>
    <w:p>
      <w:pPr>
        <w:pStyle w:val="BodyText"/>
      </w:pPr>
      <w:r>
        <w:t xml:space="preserve">HOKA’s technical concept can be copied, but its fit, brand, retailer relationships and consumer trust cannot be reproduced immediately.</w:t>
      </w:r>
    </w:p>
    <w:bookmarkEnd w:id="66"/>
    <w:bookmarkEnd w:id="67"/>
    <w:bookmarkStart w:id="68" w:name="Xfc55a68a63ac2ad6a478ccf1b05d207dda1cc0a"/>
    <w:p>
      <w:pPr>
        <w:pStyle w:val="Heading2"/>
      </w:pPr>
      <w:r>
        <w:t xml:space="preserve">10.2 HOKA attack: brand becomes a temporary footwear trend</w:t>
      </w:r>
    </w:p>
    <w:p>
      <w:pPr>
        <w:pStyle w:val="FirstParagraph"/>
      </w:pPr>
      <w:r>
        <w:t xml:space="preserve">The more damaging risk is not direct price competition. It is that consumers reinterpret HOKA as a dated trend.</w:t>
      </w:r>
    </w:p>
    <w:p>
      <w:pPr>
        <w:pStyle w:val="BodyText"/>
      </w:pPr>
      <w:r>
        <w:t xml:space="preserve">Early evidence would include:</w:t>
      </w:r>
    </w:p>
    <w:p>
      <w:pPr>
        <w:pStyle w:val="Compact"/>
        <w:numPr>
          <w:ilvl w:val="0"/>
          <w:numId w:val="1032"/>
        </w:numPr>
      </w:pPr>
      <w:r>
        <w:t xml:space="preserve">Slower DTC traffic.</w:t>
      </w:r>
    </w:p>
    <w:p>
      <w:pPr>
        <w:pStyle w:val="Compact"/>
        <w:numPr>
          <w:ilvl w:val="0"/>
          <w:numId w:val="1032"/>
        </w:numPr>
      </w:pPr>
      <w:r>
        <w:t xml:space="preserve">Higher promotions.</w:t>
      </w:r>
    </w:p>
    <w:p>
      <w:pPr>
        <w:pStyle w:val="Compact"/>
        <w:numPr>
          <w:ilvl w:val="0"/>
          <w:numId w:val="1032"/>
        </w:numPr>
      </w:pPr>
      <w:r>
        <w:t xml:space="preserve">Lower search interest.</w:t>
      </w:r>
    </w:p>
    <w:p>
      <w:pPr>
        <w:pStyle w:val="Compact"/>
        <w:numPr>
          <w:ilvl w:val="0"/>
          <w:numId w:val="1032"/>
        </w:numPr>
      </w:pPr>
      <w:r>
        <w:t xml:space="preserve">Retailer order reductions.</w:t>
      </w:r>
    </w:p>
    <w:p>
      <w:pPr>
        <w:pStyle w:val="Compact"/>
        <w:numPr>
          <w:ilvl w:val="0"/>
          <w:numId w:val="1032"/>
        </w:numPr>
      </w:pPr>
      <w:r>
        <w:t xml:space="preserve">Falling resale or fashion relevance.</w:t>
      </w:r>
    </w:p>
    <w:p>
      <w:pPr>
        <w:pStyle w:val="Compact"/>
        <w:numPr>
          <w:ilvl w:val="0"/>
          <w:numId w:val="1032"/>
        </w:numPr>
      </w:pPr>
      <w:r>
        <w:t xml:space="preserve">Weak reception to new franchises.</w:t>
      </w:r>
    </w:p>
    <w:p>
      <w:pPr>
        <w:pStyle w:val="Compact"/>
        <w:numPr>
          <w:ilvl w:val="0"/>
          <w:numId w:val="1032"/>
        </w:numPr>
      </w:pPr>
      <w:r>
        <w:t xml:space="preserve">Inventory growing faster than sales.</w:t>
      </w:r>
    </w:p>
    <w:p>
      <w:pPr>
        <w:pStyle w:val="FirstParagraph"/>
      </w:pPr>
      <w:r>
        <w:t xml:space="preserve">If HOKA becomes a short-lived trend rather than a durable performance brand, its residual moat would be weak.</w:t>
      </w:r>
    </w:p>
    <w:bookmarkEnd w:id="68"/>
    <w:bookmarkStart w:id="72" w:name="ugg-attack-fashion-cycle-reverses"/>
    <w:p>
      <w:pPr>
        <w:pStyle w:val="Heading2"/>
      </w:pPr>
      <w:r>
        <w:t xml:space="preserve">10.3 UGG attack: fashion cycle reverses</w:t>
      </w:r>
    </w:p>
    <w:bookmarkStart w:id="69" w:name="attack-mechanism"/>
    <w:p>
      <w:pPr>
        <w:pStyle w:val="Heading3"/>
      </w:pPr>
      <w:r>
        <w:t xml:space="preserve">Attack mechanism</w:t>
      </w:r>
    </w:p>
    <w:p>
      <w:pPr>
        <w:pStyle w:val="FirstParagraph"/>
      </w:pPr>
      <w:r>
        <w:t xml:space="preserve">Consumer interest shifts away from:</w:t>
      </w:r>
    </w:p>
    <w:p>
      <w:pPr>
        <w:pStyle w:val="Compact"/>
        <w:numPr>
          <w:ilvl w:val="0"/>
          <w:numId w:val="1033"/>
        </w:numPr>
      </w:pPr>
      <w:r>
        <w:t xml:space="preserve">Sheepskin footwear.</w:t>
      </w:r>
    </w:p>
    <w:p>
      <w:pPr>
        <w:pStyle w:val="Compact"/>
        <w:numPr>
          <w:ilvl w:val="0"/>
          <w:numId w:val="1033"/>
        </w:numPr>
      </w:pPr>
      <w:r>
        <w:t xml:space="preserve">Platform and slipper franchises.</w:t>
      </w:r>
    </w:p>
    <w:p>
      <w:pPr>
        <w:pStyle w:val="Compact"/>
        <w:numPr>
          <w:ilvl w:val="0"/>
          <w:numId w:val="1033"/>
        </w:numPr>
      </w:pPr>
      <w:r>
        <w:t xml:space="preserve">UGG’s aesthetic.</w:t>
      </w:r>
    </w:p>
    <w:p>
      <w:pPr>
        <w:pStyle w:val="Compact"/>
        <w:numPr>
          <w:ilvl w:val="0"/>
          <w:numId w:val="1033"/>
        </w:numPr>
      </w:pPr>
      <w:r>
        <w:t xml:space="preserve">Premium comfort footwear.</w:t>
      </w:r>
    </w:p>
    <w:bookmarkEnd w:id="69"/>
    <w:bookmarkStart w:id="70" w:name="additional-pressure"/>
    <w:p>
      <w:pPr>
        <w:pStyle w:val="Heading3"/>
      </w:pPr>
      <w:r>
        <w:t xml:space="preserve">Additional pressure</w:t>
      </w:r>
    </w:p>
    <w:p>
      <w:pPr>
        <w:pStyle w:val="FirstParagraph"/>
      </w:pPr>
      <w:r>
        <w:t xml:space="preserve">Warmer winters reduce demand for core seasonal products.</w:t>
      </w:r>
    </w:p>
    <w:bookmarkEnd w:id="70"/>
    <w:bookmarkStart w:id="71" w:name="residual-moat"/>
    <w:p>
      <w:pPr>
        <w:pStyle w:val="Heading3"/>
      </w:pPr>
      <w:r>
        <w:t xml:space="preserve">Residual moat</w:t>
      </w:r>
    </w:p>
    <w:p>
      <w:pPr>
        <w:pStyle w:val="FirstParagraph"/>
      </w:pPr>
      <w:r>
        <w:t xml:space="preserve">UGG has survived multiple fashion cycles and has stronger recognition than a single-product fad. Its expansion into year-round products increases resilience.</w:t>
      </w:r>
    </w:p>
    <w:p>
      <w:pPr>
        <w:pStyle w:val="BodyText"/>
      </w:pPr>
      <w:r>
        <w:rPr>
          <w:b/>
          <w:bCs/>
        </w:rPr>
        <w:t xml:space="preserve">Attack result: moat survives partially, but revenue could remain cyclical.</w:t>
      </w:r>
    </w:p>
    <w:bookmarkEnd w:id="71"/>
    <w:bookmarkEnd w:id="72"/>
    <w:bookmarkStart w:id="73" w:name="over-distribution-attack"/>
    <w:p>
      <w:pPr>
        <w:pStyle w:val="Heading2"/>
      </w:pPr>
      <w:r>
        <w:t xml:space="preserve">10.4 Over-distribution attack</w:t>
      </w:r>
    </w:p>
    <w:p>
      <w:pPr>
        <w:pStyle w:val="FirstParagraph"/>
      </w:pPr>
      <w:r>
        <w:t xml:space="preserve">Deckers could weaken its own moat by prioritizing short-term revenue.</w:t>
      </w:r>
    </w:p>
    <w:p>
      <w:pPr>
        <w:pStyle w:val="SourceCode"/>
      </w:pPr>
      <w:r>
        <w:rPr>
          <w:rStyle w:val="VerbatimChar"/>
        </w:rPr>
        <w:t xml:space="preserve">More wholesale doors</w:t>
      </w:r>
      <w:r>
        <w:br/>
      </w:r>
      <w:r>
        <w:rPr>
          <w:rStyle w:val="VerbatimChar"/>
        </w:rPr>
        <w:t xml:space="preserve">→ greater product availability</w:t>
      </w:r>
      <w:r>
        <w:br/>
      </w:r>
      <w:r>
        <w:rPr>
          <w:rStyle w:val="VerbatimChar"/>
        </w:rPr>
        <w:t xml:space="preserve">→ lower exclusivity</w:t>
      </w:r>
      <w:r>
        <w:br/>
      </w:r>
      <w:r>
        <w:rPr>
          <w:rStyle w:val="VerbatimChar"/>
        </w:rPr>
        <w:t xml:space="preserve">→ slower sell-through</w:t>
      </w:r>
      <w:r>
        <w:br/>
      </w:r>
      <w:r>
        <w:rPr>
          <w:rStyle w:val="VerbatimChar"/>
        </w:rPr>
        <w:t xml:space="preserve">→ markdowns</w:t>
      </w:r>
      <w:r>
        <w:br/>
      </w:r>
      <w:r>
        <w:rPr>
          <w:rStyle w:val="VerbatimChar"/>
        </w:rPr>
        <w:t xml:space="preserve">→ lower retailer confidence</w:t>
      </w:r>
      <w:r>
        <w:br/>
      </w:r>
      <w:r>
        <w:rPr>
          <w:rStyle w:val="VerbatimChar"/>
        </w:rPr>
        <w:t xml:space="preserve">→ brand damage</w:t>
      </w:r>
    </w:p>
    <w:p>
      <w:pPr>
        <w:pStyle w:val="FirstParagraph"/>
      </w:pPr>
      <w:r>
        <w:t xml:space="preserve">The company’s marketplace segmentation and inventory discipline have historically protected against this outcome.</w:t>
      </w:r>
    </w:p>
    <w:p>
      <w:pPr>
        <w:pStyle w:val="BodyText"/>
      </w:pPr>
      <w:r>
        <w:t xml:space="preserve">This is one of the most important internally controlled risks.</w:t>
      </w:r>
    </w:p>
    <w:bookmarkEnd w:id="73"/>
    <w:bookmarkStart w:id="74" w:name="retailer-bargaining-power-attack"/>
    <w:p>
      <w:pPr>
        <w:pStyle w:val="Heading2"/>
      </w:pPr>
      <w:r>
        <w:t xml:space="preserve">10.5 Retailer bargaining-power attack</w:t>
      </w:r>
    </w:p>
    <w:p>
      <w:pPr>
        <w:pStyle w:val="FirstParagraph"/>
      </w:pPr>
      <w:r>
        <w:t xml:space="preserve">Large retailers could demand:</w:t>
      </w:r>
    </w:p>
    <w:p>
      <w:pPr>
        <w:pStyle w:val="Compact"/>
        <w:numPr>
          <w:ilvl w:val="0"/>
          <w:numId w:val="1034"/>
        </w:numPr>
      </w:pPr>
      <w:r>
        <w:t xml:space="preserve">More promotions.</w:t>
      </w:r>
    </w:p>
    <w:p>
      <w:pPr>
        <w:pStyle w:val="Compact"/>
        <w:numPr>
          <w:ilvl w:val="0"/>
          <w:numId w:val="1034"/>
        </w:numPr>
      </w:pPr>
      <w:r>
        <w:t xml:space="preserve">Better wholesale terms.</w:t>
      </w:r>
    </w:p>
    <w:p>
      <w:pPr>
        <w:pStyle w:val="Compact"/>
        <w:numPr>
          <w:ilvl w:val="0"/>
          <w:numId w:val="1034"/>
        </w:numPr>
      </w:pPr>
      <w:r>
        <w:t xml:space="preserve">Exclusive products.</w:t>
      </w:r>
    </w:p>
    <w:p>
      <w:pPr>
        <w:pStyle w:val="Compact"/>
        <w:numPr>
          <w:ilvl w:val="0"/>
          <w:numId w:val="1034"/>
        </w:numPr>
      </w:pPr>
      <w:r>
        <w:t xml:space="preserve">Greater inventory support.</w:t>
      </w:r>
    </w:p>
    <w:p>
      <w:pPr>
        <w:pStyle w:val="Compact"/>
        <w:numPr>
          <w:ilvl w:val="0"/>
          <w:numId w:val="1034"/>
        </w:numPr>
      </w:pPr>
      <w:r>
        <w:t xml:space="preserve">Returns or cancellations.</w:t>
      </w:r>
    </w:p>
    <w:p>
      <w:pPr>
        <w:pStyle w:val="FirstParagraph"/>
      </w:pPr>
      <w:r>
        <w:t xml:space="preserve">Deckers’ DTC channel reduces dependence on any one retailer, while the wholesale channel expands reach and consumer discovery.</w:t>
      </w:r>
    </w:p>
    <w:p>
      <w:pPr>
        <w:pStyle w:val="BodyText"/>
      </w:pPr>
      <w:r>
        <w:t xml:space="preserve">No single wholesale customer represented at least 10% of sales, reducing customer concentration risk.</w:t>
      </w:r>
    </w:p>
    <w:p>
      <w:pPr>
        <w:pStyle w:val="BodyText"/>
      </w:pPr>
      <w:r>
        <w:rPr>
          <w:b/>
          <w:bCs/>
        </w:rPr>
        <w:t xml:space="preserve">Attack result: moat survives substantially.</w:t>
      </w:r>
    </w:p>
    <w:bookmarkEnd w:id="74"/>
    <w:bookmarkStart w:id="75" w:name="tariff-and-supply-chain-attack"/>
    <w:p>
      <w:pPr>
        <w:pStyle w:val="Heading2"/>
      </w:pPr>
      <w:r>
        <w:t xml:space="preserve">10.6 Tariff and supply-chain attack</w:t>
      </w:r>
    </w:p>
    <w:p>
      <w:pPr>
        <w:pStyle w:val="FirstParagraph"/>
      </w:pPr>
      <w:r>
        <w:t xml:space="preserve">Production is concentrated in Southeast Asia, predominantly Vietnam.</w:t>
      </w:r>
    </w:p>
    <w:p>
      <w:pPr>
        <w:pStyle w:val="BodyText"/>
      </w:pPr>
      <w:r>
        <w:t xml:space="preserve">A tariff increase creates:</w:t>
      </w:r>
    </w:p>
    <w:p>
      <w:pPr>
        <w:pStyle w:val="SourceCode"/>
      </w:pPr>
      <w:r>
        <w:rPr>
          <w:rStyle w:val="VerbatimChar"/>
        </w:rPr>
        <w:t xml:space="preserve">Higher landed cost</w:t>
      </w:r>
      <w:r>
        <w:br/>
      </w:r>
      <w:r>
        <w:rPr>
          <w:rStyle w:val="VerbatimChar"/>
        </w:rPr>
        <w:t xml:space="preserve">→ selective price increases</w:t>
      </w:r>
      <w:r>
        <w:br/>
      </w:r>
      <w:r>
        <w:rPr>
          <w:rStyle w:val="VerbatimChar"/>
        </w:rPr>
        <w:t xml:space="preserve">→ weaker consumer demand or lower gross margin</w:t>
      </w:r>
      <w:r>
        <w:br/>
      </w:r>
      <w:r>
        <w:rPr>
          <w:rStyle w:val="VerbatimChar"/>
        </w:rPr>
        <w:t xml:space="preserve">→ supplier negotiations</w:t>
      </w:r>
      <w:r>
        <w:br/>
      </w:r>
      <w:r>
        <w:rPr>
          <w:rStyle w:val="VerbatimChar"/>
        </w:rPr>
        <w:t xml:space="preserve">→ production diversification</w:t>
      </w:r>
    </w:p>
    <w:p>
      <w:pPr>
        <w:pStyle w:val="FirstParagraph"/>
      </w:pPr>
      <w:r>
        <w:t xml:space="preserve">Deckers can respond through:</w:t>
      </w:r>
    </w:p>
    <w:p>
      <w:pPr>
        <w:pStyle w:val="Compact"/>
        <w:numPr>
          <w:ilvl w:val="0"/>
          <w:numId w:val="1035"/>
        </w:numPr>
      </w:pPr>
      <w:r>
        <w:t xml:space="preserve">Price increases.</w:t>
      </w:r>
    </w:p>
    <w:p>
      <w:pPr>
        <w:pStyle w:val="Compact"/>
        <w:numPr>
          <w:ilvl w:val="0"/>
          <w:numId w:val="1035"/>
        </w:numPr>
      </w:pPr>
      <w:r>
        <w:t xml:space="preserve">Factory cost sharing.</w:t>
      </w:r>
    </w:p>
    <w:p>
      <w:pPr>
        <w:pStyle w:val="Compact"/>
        <w:numPr>
          <w:ilvl w:val="0"/>
          <w:numId w:val="1035"/>
        </w:numPr>
      </w:pPr>
      <w:r>
        <w:t xml:space="preserve">Sourcing diversification.</w:t>
      </w:r>
    </w:p>
    <w:p>
      <w:pPr>
        <w:pStyle w:val="Compact"/>
        <w:numPr>
          <w:ilvl w:val="0"/>
          <w:numId w:val="1035"/>
        </w:numPr>
      </w:pPr>
      <w:r>
        <w:t xml:space="preserve">Product engineering.</w:t>
      </w:r>
    </w:p>
    <w:p>
      <w:pPr>
        <w:pStyle w:val="Compact"/>
        <w:numPr>
          <w:ilvl w:val="0"/>
          <w:numId w:val="1035"/>
        </w:numPr>
      </w:pPr>
      <w:r>
        <w:t xml:space="preserve">Geographic mix.</w:t>
      </w:r>
    </w:p>
    <w:p>
      <w:pPr>
        <w:pStyle w:val="Compact"/>
        <w:numPr>
          <w:ilvl w:val="0"/>
          <w:numId w:val="1035"/>
        </w:numPr>
      </w:pPr>
      <w:r>
        <w:t xml:space="preserve">Reduced promotions.</w:t>
      </w:r>
    </w:p>
    <w:p>
      <w:pPr>
        <w:pStyle w:val="FirstParagraph"/>
      </w:pPr>
      <w:r>
        <w:t xml:space="preserve">However, the company cannot fully avoid a broad tariff on footwear imports. Deckers itself warns that trade restrictions could increase cost of sales and reduce competitiveness.</w:t>
      </w:r>
    </w:p>
    <w:p>
      <w:pPr>
        <w:pStyle w:val="BodyText"/>
      </w:pPr>
      <w:r>
        <w:rPr>
          <w:b/>
          <w:bCs/>
        </w:rPr>
        <w:t xml:space="preserve">Attack result: moat remains, but near-term economics weaken.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no-moat-counterfactual"/>
    <w:p>
      <w:pPr>
        <w:pStyle w:val="Heading1"/>
      </w:pPr>
      <w:r>
        <w:t xml:space="preserve">11. No-moat counterfactual</w:t>
      </w:r>
    </w:p>
    <w:p>
      <w:pPr>
        <w:pStyle w:val="FirstParagraph"/>
      </w:pPr>
      <w:r>
        <w:t xml:space="preserve">Without UGG and HOKA’s brand strength, Deckers would resemble a smaller, undifferentiated footwear supplier.</w:t>
      </w:r>
    </w:p>
    <w:p>
      <w:pPr>
        <w:pStyle w:val="BodyText"/>
      </w:pPr>
      <w:r>
        <w:t xml:space="preserve">The likely economics would be: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economics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No-moat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single digits or better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57–58%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45–50%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7–11%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turns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Wholesale bargaining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Moderate–strong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Appropriate earnings 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9–12×</w:t>
            </w:r>
          </w:p>
        </w:tc>
      </w:tr>
    </w:tbl>
    <w:p>
      <w:pPr>
        <w:pStyle w:val="BodyText"/>
      </w:pPr>
      <w:r>
        <w:t xml:space="preserve">A no-moat valuation using lower margins and a lower multiple produces an indicative value of approximately</w:t>
      </w:r>
      <w:r>
        <w:t xml:space="preserve"> </w:t>
      </w:r>
      <w:r>
        <w:rPr>
          <w:b/>
          <w:bCs/>
        </w:rPr>
        <w:t xml:space="preserve">$55–$75 per share</w:t>
      </w:r>
      <w:r>
        <w:t xml:space="preserve">, including excess cash.</w:t>
      </w:r>
    </w:p>
    <w:p>
      <w:pPr>
        <w:pStyle w:val="BodyText"/>
      </w:pPr>
      <w:r>
        <w:t xml:space="preserve">This is an analyst counterfactual, not a company forecast.</w:t>
      </w:r>
    </w:p>
    <w:p>
      <w:pPr>
        <w:pStyle w:val="BodyText"/>
      </w:pPr>
      <w:r>
        <w:t xml:space="preserve">It suggests that approximately one-third to one-half of Deckers’ present value depends on the brands retaining differentiated consumer demand.</w:t>
      </w:r>
    </w:p>
    <w:p>
      <w:r>
        <w:pict>
          <v:rect style="width:0;height:1.5pt" o:hralign="center" o:hrstd="t" o:hr="t"/>
        </w:pict>
      </w:r>
    </w:p>
    <w:bookmarkEnd w:id="77"/>
    <w:bookmarkStart w:id="80" w:name="competitive-response"/>
    <w:p>
      <w:pPr>
        <w:pStyle w:val="Heading1"/>
      </w:pPr>
      <w:r>
        <w:t xml:space="preserve">12. Competitive response</w:t>
      </w:r>
    </w:p>
    <w:p>
      <w:pPr>
        <w:pStyle w:val="FirstParagraph"/>
      </w:pPr>
      <w:r>
        <w:t xml:space="preserve">Deckers competes in a highly fragmented industry against companies with substantially greater:</w:t>
      </w:r>
    </w:p>
    <w:p>
      <w:pPr>
        <w:pStyle w:val="Compact"/>
        <w:numPr>
          <w:ilvl w:val="0"/>
          <w:numId w:val="1036"/>
        </w:numPr>
      </w:pPr>
      <w:r>
        <w:t xml:space="preserve">Marketing budgets.</w:t>
      </w:r>
    </w:p>
    <w:p>
      <w:pPr>
        <w:pStyle w:val="Compact"/>
        <w:numPr>
          <w:ilvl w:val="0"/>
          <w:numId w:val="1036"/>
        </w:numPr>
      </w:pPr>
      <w:r>
        <w:t xml:space="preserve">Manufacturing scale.</w:t>
      </w:r>
    </w:p>
    <w:p>
      <w:pPr>
        <w:pStyle w:val="Compact"/>
        <w:numPr>
          <w:ilvl w:val="0"/>
          <w:numId w:val="1036"/>
        </w:numPr>
      </w:pPr>
      <w:r>
        <w:t xml:space="preserve">Athlete sponsorship.</w:t>
      </w:r>
    </w:p>
    <w:p>
      <w:pPr>
        <w:pStyle w:val="Compact"/>
        <w:numPr>
          <w:ilvl w:val="0"/>
          <w:numId w:val="1036"/>
        </w:numPr>
      </w:pPr>
      <w:r>
        <w:t xml:space="preserve">Distribution.</w:t>
      </w:r>
    </w:p>
    <w:p>
      <w:pPr>
        <w:pStyle w:val="Compact"/>
        <w:numPr>
          <w:ilvl w:val="0"/>
          <w:numId w:val="1036"/>
        </w:numPr>
      </w:pPr>
      <w:r>
        <w:t xml:space="preserve">Technology.</w:t>
      </w:r>
    </w:p>
    <w:p>
      <w:pPr>
        <w:pStyle w:val="Compact"/>
        <w:numPr>
          <w:ilvl w:val="0"/>
          <w:numId w:val="1036"/>
        </w:numPr>
      </w:pPr>
      <w:r>
        <w:t xml:space="preserve">Consumer data.</w:t>
      </w:r>
    </w:p>
    <w:p>
      <w:pPr>
        <w:pStyle w:val="Compact"/>
        <w:numPr>
          <w:ilvl w:val="0"/>
          <w:numId w:val="1036"/>
        </w:numPr>
      </w:pPr>
      <w:r>
        <w:t xml:space="preserve">Retail relationships.</w:t>
      </w:r>
    </w:p>
    <w:p>
      <w:pPr>
        <w:pStyle w:val="FirstParagraph"/>
      </w:pPr>
      <w:r>
        <w:t xml:space="preserve">Deckers acknowledges that HOKA and UGG’s success has attracted competitors specifically attempting to replicate their products and positioning.</w:t>
      </w:r>
    </w:p>
    <w:bookmarkStart w:id="78" w:name="X5536d41632b57a35daceff02314f82c134355e9"/>
    <w:p>
      <w:pPr>
        <w:pStyle w:val="Heading2"/>
      </w:pPr>
      <w:r>
        <w:t xml:space="preserve">Likely responses if HOKA continues gaining share</w:t>
      </w:r>
    </w:p>
    <w:p>
      <w:pPr>
        <w:pStyle w:val="FirstParagraph"/>
      </w:pPr>
      <w:r>
        <w:t xml:space="preserve">Competitors may:</w:t>
      </w:r>
    </w:p>
    <w:p>
      <w:pPr>
        <w:pStyle w:val="Compact"/>
        <w:numPr>
          <w:ilvl w:val="0"/>
          <w:numId w:val="1037"/>
        </w:numPr>
      </w:pPr>
      <w:r>
        <w:t xml:space="preserve">Copy cushioning and geometry.</w:t>
      </w:r>
    </w:p>
    <w:p>
      <w:pPr>
        <w:pStyle w:val="Compact"/>
        <w:numPr>
          <w:ilvl w:val="0"/>
          <w:numId w:val="1037"/>
        </w:numPr>
      </w:pPr>
      <w:r>
        <w:t xml:space="preserve">Increase specialty-running incentives.</w:t>
      </w:r>
    </w:p>
    <w:p>
      <w:pPr>
        <w:pStyle w:val="Compact"/>
        <w:numPr>
          <w:ilvl w:val="0"/>
          <w:numId w:val="1037"/>
        </w:numPr>
      </w:pPr>
      <w:r>
        <w:t xml:space="preserve">Sponsor more athletes.</w:t>
      </w:r>
    </w:p>
    <w:p>
      <w:pPr>
        <w:pStyle w:val="Compact"/>
        <w:numPr>
          <w:ilvl w:val="0"/>
          <w:numId w:val="1037"/>
        </w:numPr>
      </w:pPr>
      <w:r>
        <w:t xml:space="preserve">Reduce prices.</w:t>
      </w:r>
    </w:p>
    <w:p>
      <w:pPr>
        <w:pStyle w:val="Compact"/>
        <w:numPr>
          <w:ilvl w:val="0"/>
          <w:numId w:val="1037"/>
        </w:numPr>
      </w:pPr>
      <w:r>
        <w:t xml:space="preserve">Increase retailer margins.</w:t>
      </w:r>
    </w:p>
    <w:p>
      <w:pPr>
        <w:pStyle w:val="Compact"/>
        <w:numPr>
          <w:ilvl w:val="0"/>
          <w:numId w:val="1037"/>
        </w:numPr>
      </w:pPr>
      <w:r>
        <w:t xml:space="preserve">Introduce aggressive lifestyle extensions.</w:t>
      </w:r>
    </w:p>
    <w:p>
      <w:pPr>
        <w:pStyle w:val="Compact"/>
        <w:numPr>
          <w:ilvl w:val="0"/>
          <w:numId w:val="1037"/>
        </w:numPr>
      </w:pPr>
      <w:r>
        <w:t xml:space="preserve">Acquire smaller performance-footwear brands.</w:t>
      </w:r>
    </w:p>
    <w:bookmarkEnd w:id="78"/>
    <w:bookmarkStart w:id="79" w:name="deckers-best-defense"/>
    <w:p>
      <w:pPr>
        <w:pStyle w:val="Heading2"/>
      </w:pPr>
      <w:r>
        <w:t xml:space="preserve">Deckers’ best defense</w:t>
      </w:r>
    </w:p>
    <w:p>
      <w:pPr>
        <w:pStyle w:val="FirstParagraph"/>
      </w:pPr>
      <w:r>
        <w:t xml:space="preserve">Deckers should avoid trying to outspend Nike or Adidas globally.</w:t>
      </w:r>
    </w:p>
    <w:p>
      <w:pPr>
        <w:pStyle w:val="BodyText"/>
      </w:pPr>
      <w:r>
        <w:t xml:space="preserve">Its stronger strategy is:</w:t>
      </w:r>
    </w:p>
    <w:p>
      <w:pPr>
        <w:pStyle w:val="SourceCode"/>
      </w:pPr>
      <w:r>
        <w:rPr>
          <w:rStyle w:val="VerbatimChar"/>
        </w:rPr>
        <w:t xml:space="preserve">Focused product leadership</w:t>
      </w:r>
      <w:r>
        <w:br/>
      </w:r>
      <w:r>
        <w:rPr>
          <w:rStyle w:val="VerbatimChar"/>
        </w:rPr>
        <w:t xml:space="preserve">+ premium positioning</w:t>
      </w:r>
      <w:r>
        <w:br/>
      </w:r>
      <w:r>
        <w:rPr>
          <w:rStyle w:val="VerbatimChar"/>
        </w:rPr>
        <w:t xml:space="preserve">+ specialty credibility</w:t>
      </w:r>
      <w:r>
        <w:br/>
      </w:r>
      <w:r>
        <w:rPr>
          <w:rStyle w:val="VerbatimChar"/>
        </w:rPr>
        <w:t xml:space="preserve">+ disciplined distribution</w:t>
      </w:r>
      <w:r>
        <w:br/>
      </w:r>
      <w:r>
        <w:rPr>
          <w:rStyle w:val="VerbatimChar"/>
        </w:rPr>
        <w:t xml:space="preserve">+ full-price selling</w:t>
      </w:r>
      <w:r>
        <w:br/>
      </w:r>
      <w:r>
        <w:rPr>
          <w:rStyle w:val="VerbatimChar"/>
        </w:rPr>
        <w:t xml:space="preserve">+ rapid consumer feedback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management-and-capital-allocation"/>
    <w:p>
      <w:pPr>
        <w:pStyle w:val="Heading1"/>
      </w:pPr>
      <w:r>
        <w:t xml:space="preserve">13. Management and capital allocation</w:t>
      </w:r>
    </w:p>
    <w:bookmarkStart w:id="81" w:name="leadership"/>
    <w:p>
      <w:pPr>
        <w:pStyle w:val="Heading2"/>
      </w:pPr>
      <w:r>
        <w:t xml:space="preserve">13.1 Leadership</w:t>
      </w:r>
    </w:p>
    <w:p>
      <w:pPr>
        <w:pStyle w:val="FirstParagraph"/>
      </w:pPr>
      <w:r>
        <w:t xml:space="preserve">Stefano Caroti currently serves as president and CEO. Before becoming CEO, he served as chief commercial officer, interim HOKA president and president of omni-channel, and has more than three decades of footwear and consumer-industry experience.</w:t>
      </w:r>
    </w:p>
    <w:p>
      <w:pPr>
        <w:pStyle w:val="BodyText"/>
      </w:pPr>
      <w:r>
        <w:t xml:space="preserve">The leadership transition creates some uncertainty because much of Deckers’ recent success was built under the prior management team. However, Caroti’s prior operating roles reduce the risk of a complete strategic break.</w:t>
      </w:r>
    </w:p>
    <w:bookmarkEnd w:id="81"/>
    <w:bookmarkStart w:id="82" w:name="capital-allocation-record"/>
    <w:p>
      <w:pPr>
        <w:pStyle w:val="Heading2"/>
      </w:pPr>
      <w:r>
        <w:t xml:space="preserve">13.2 Capital allocation record</w:t>
      </w:r>
    </w:p>
    <w:p>
      <w:pPr>
        <w:pStyle w:val="FirstParagraph"/>
      </w:pPr>
      <w:r>
        <w:t xml:space="preserve">Deckers has:</w:t>
      </w:r>
    </w:p>
    <w:p>
      <w:pPr>
        <w:pStyle w:val="Compact"/>
        <w:numPr>
          <w:ilvl w:val="0"/>
          <w:numId w:val="1038"/>
        </w:numPr>
      </w:pPr>
      <w:r>
        <w:t xml:space="preserve">Maintained no debt.</w:t>
      </w:r>
    </w:p>
    <w:p>
      <w:pPr>
        <w:pStyle w:val="Compact"/>
        <w:numPr>
          <w:ilvl w:val="0"/>
          <w:numId w:val="1038"/>
        </w:numPr>
      </w:pPr>
      <w:r>
        <w:t xml:space="preserve">Built approximately $1.91 billion of cash.</w:t>
      </w:r>
    </w:p>
    <w:p>
      <w:pPr>
        <w:pStyle w:val="Compact"/>
        <w:numPr>
          <w:ilvl w:val="0"/>
          <w:numId w:val="1038"/>
        </w:numPr>
      </w:pPr>
      <w:r>
        <w:t xml:space="preserve">Invested in distribution and international operations.</w:t>
      </w:r>
    </w:p>
    <w:p>
      <w:pPr>
        <w:pStyle w:val="Compact"/>
        <w:numPr>
          <w:ilvl w:val="0"/>
          <w:numId w:val="1038"/>
        </w:numPr>
      </w:pPr>
      <w:r>
        <w:t xml:space="preserve">Sold Sanuk.</w:t>
      </w:r>
    </w:p>
    <w:p>
      <w:pPr>
        <w:pStyle w:val="Compact"/>
        <w:numPr>
          <w:ilvl w:val="0"/>
          <w:numId w:val="1038"/>
        </w:numPr>
      </w:pPr>
      <w:r>
        <w:t xml:space="preserve">Begun phasing out Koolaburra.</w:t>
      </w:r>
    </w:p>
    <w:p>
      <w:pPr>
        <w:pStyle w:val="Compact"/>
        <w:numPr>
          <w:ilvl w:val="0"/>
          <w:numId w:val="1038"/>
        </w:numPr>
      </w:pPr>
      <w:r>
        <w:t xml:space="preserve">Repurchased shares aggressively.</w:t>
      </w:r>
    </w:p>
    <w:p>
      <w:pPr>
        <w:pStyle w:val="FirstParagraph"/>
      </w:pPr>
      <w:r>
        <w:t xml:space="preserve">FY2026 share repurchases were approximately:</w:t>
      </w:r>
    </w:p>
    <w:p>
      <w:pPr>
        <w:pStyle w:val="SourceCode"/>
      </w:pPr>
      <w:r>
        <w:rPr>
          <w:rStyle w:val="VerbatimChar"/>
        </w:rPr>
        <w:t xml:space="preserve">10.5 million shares</w:t>
      </w:r>
      <w:r>
        <w:br/>
      </w:r>
      <w:r>
        <w:rPr>
          <w:rStyle w:val="VerbatimChar"/>
        </w:rPr>
        <w:t xml:space="preserve">$1.075 billion spent</w:t>
      </w:r>
      <w:r>
        <w:br/>
      </w:r>
      <w:r>
        <w:rPr>
          <w:rStyle w:val="VerbatimChar"/>
        </w:rPr>
        <w:t xml:space="preserve">$102.43 average purchase price</w:t>
      </w:r>
    </w:p>
    <w:p>
      <w:pPr>
        <w:pStyle w:val="FirstParagraph"/>
      </w:pPr>
      <w:r>
        <w:t xml:space="preserve">The average purchase price was below the current $109.03 reference price. The remaining authorization was increased to approximately $5 billion.</w:t>
      </w:r>
    </w:p>
    <w:bookmarkEnd w:id="82"/>
    <w:bookmarkStart w:id="83" w:name="buyback-economics"/>
    <w:p>
      <w:pPr>
        <w:pStyle w:val="Heading2"/>
      </w:pPr>
      <w:r>
        <w:t xml:space="preserve">13.3 Buyback economics</w:t>
      </w:r>
    </w:p>
    <w:p>
      <w:pPr>
        <w:pStyle w:val="FirstParagraph"/>
      </w:pPr>
      <w:r>
        <w:t xml:space="preserve">FY2026 repurchases represented approximately 98% of free cash flow.</w:t>
      </w:r>
    </w:p>
    <w:p>
      <w:pPr>
        <w:pStyle w:val="BodyText"/>
      </w:pPr>
      <w:r>
        <w:t xml:space="preserve">The diluted share count fell from approximately 166.7 million in FY2022 to 145.8 million in FY2026—a total decline of approximately 12.5%.</w:t>
      </w:r>
    </w:p>
    <w:p>
      <w:pPr>
        <w:pStyle w:val="BodyText"/>
      </w:pPr>
      <w:r>
        <w:t xml:space="preserve">Buybacks have materially enhanced EPS growth.</w:t>
      </w:r>
    </w:p>
    <w:p>
      <w:pPr>
        <w:pStyle w:val="BodyText"/>
      </w:pPr>
      <w:r>
        <w:t xml:space="preserve">They remain value-creating only while:</w:t>
      </w:r>
    </w:p>
    <w:p>
      <w:pPr>
        <w:pStyle w:val="SourceCode"/>
      </w:pPr>
      <w:r>
        <w:rPr>
          <w:rStyle w:val="VerbatimChar"/>
        </w:rPr>
        <w:t xml:space="preserve">Repurchase price &lt; conservative intrinsic value</w:t>
      </w:r>
    </w:p>
    <w:p>
      <w:pPr>
        <w:pStyle w:val="FirstParagraph"/>
      </w:pPr>
      <w:r>
        <w:t xml:space="preserve">Repurchasing shares aggressively during temporary brand strength at a high valuation would destroy value. At the present valuation, repurchases appear economically reasonable.</w:t>
      </w:r>
    </w:p>
    <w:p>
      <w:pPr>
        <w:pStyle w:val="BodyText"/>
      </w:pPr>
      <w:r>
        <w:t xml:space="preserve">Management’s FY2027 outlook assumes share repurchases equal to approximately 80% of projected free cash flow.</w:t>
      </w:r>
    </w:p>
    <w:bookmarkEnd w:id="83"/>
    <w:bookmarkStart w:id="84" w:name="management-score"/>
    <w:p>
      <w:pPr>
        <w:pStyle w:val="Heading2"/>
      </w:pPr>
      <w:r>
        <w:t xml:space="preserve">13.4 Management 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stewardship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execution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Balance-sheet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allocation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Succession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4.25/5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2" w:name="economic-driver-tree"/>
    <w:p>
      <w:pPr>
        <w:pStyle w:val="Heading1"/>
      </w:pPr>
      <w:r>
        <w:t xml:space="preserve">14. Economic driver tree</w:t>
      </w:r>
    </w:p>
    <w:bookmarkStart w:id="86" w:name="hoka-revenue"/>
    <w:p>
      <w:pPr>
        <w:pStyle w:val="Heading2"/>
      </w:pPr>
      <w:r>
        <w:t xml:space="preserve">14.1 HOKA revenue</w:t>
      </w:r>
    </w:p>
    <w:p>
      <w:pPr>
        <w:pStyle w:val="SourceCode"/>
      </w:pPr>
      <w:r>
        <w:rPr>
          <w:rStyle w:val="VerbatimChar"/>
        </w:rPr>
        <w:t xml:space="preserve">Addressable performance-footwear consumers</w:t>
      </w:r>
      <w:r>
        <w:br/>
      </w:r>
      <w:r>
        <w:rPr>
          <w:rStyle w:val="VerbatimChar"/>
        </w:rPr>
        <w:t xml:space="preserve">× brand awareness</w:t>
      </w:r>
      <w:r>
        <w:br/>
      </w:r>
      <w:r>
        <w:rPr>
          <w:rStyle w:val="VerbatimChar"/>
        </w:rPr>
        <w:t xml:space="preserve">× trial rate</w:t>
      </w:r>
      <w:r>
        <w:br/>
      </w:r>
      <w:r>
        <w:rPr>
          <w:rStyle w:val="VerbatimChar"/>
        </w:rPr>
        <w:t xml:space="preserve">× conversion</w:t>
      </w:r>
      <w:r>
        <w:br/>
      </w:r>
      <w:r>
        <w:rPr>
          <w:rStyle w:val="VerbatimChar"/>
        </w:rPr>
        <w:t xml:space="preserve">× purchase frequency</w:t>
      </w:r>
      <w:r>
        <w:br/>
      </w:r>
      <w:r>
        <w:rPr>
          <w:rStyle w:val="VerbatimChar"/>
        </w:rPr>
        <w:t xml:space="preserve">× average selling price</w:t>
      </w:r>
      <w:r>
        <w:br/>
      </w:r>
      <w:r>
        <w:rPr>
          <w:rStyle w:val="VerbatimChar"/>
        </w:rPr>
        <w:t xml:space="preserve">× retention</w:t>
      </w:r>
    </w:p>
    <w:bookmarkEnd w:id="86"/>
    <w:bookmarkStart w:id="87" w:name="ugg-revenue"/>
    <w:p>
      <w:pPr>
        <w:pStyle w:val="Heading2"/>
      </w:pPr>
      <w:r>
        <w:t xml:space="preserve">14.2 UGG revenue</w:t>
      </w:r>
    </w:p>
    <w:p>
      <w:pPr>
        <w:pStyle w:val="SourceCode"/>
      </w:pPr>
      <w:r>
        <w:rPr>
          <w:rStyle w:val="VerbatimChar"/>
        </w:rPr>
        <w:t xml:space="preserve">Addressable lifestyle consumers</w:t>
      </w:r>
      <w:r>
        <w:br/>
      </w:r>
      <w:r>
        <w:rPr>
          <w:rStyle w:val="VerbatimChar"/>
        </w:rPr>
        <w:t xml:space="preserve">× fashion relevance</w:t>
      </w:r>
      <w:r>
        <w:br/>
      </w:r>
      <w:r>
        <w:rPr>
          <w:rStyle w:val="VerbatimChar"/>
        </w:rPr>
        <w:t xml:space="preserve">× product-franchise adoption</w:t>
      </w:r>
      <w:r>
        <w:br/>
      </w:r>
      <w:r>
        <w:rPr>
          <w:rStyle w:val="VerbatimChar"/>
        </w:rPr>
        <w:t xml:space="preserve">× seasonal and year-round purchase frequency</w:t>
      </w:r>
      <w:r>
        <w:br/>
      </w:r>
      <w:r>
        <w:rPr>
          <w:rStyle w:val="VerbatimChar"/>
        </w:rPr>
        <w:t xml:space="preserve">× average selling price</w:t>
      </w:r>
      <w:r>
        <w:br/>
      </w:r>
      <w:r>
        <w:rPr>
          <w:rStyle w:val="VerbatimChar"/>
        </w:rPr>
        <w:t xml:space="preserve">× international penetration</w:t>
      </w:r>
    </w:p>
    <w:bookmarkEnd w:id="87"/>
    <w:bookmarkStart w:id="88" w:name="wholesale-revenue"/>
    <w:p>
      <w:pPr>
        <w:pStyle w:val="Heading2"/>
      </w:pPr>
      <w:r>
        <w:t xml:space="preserve">14.3 Wholesale revenue</w:t>
      </w:r>
    </w:p>
    <w:p>
      <w:pPr>
        <w:pStyle w:val="SourceCode"/>
      </w:pPr>
      <w:r>
        <w:rPr>
          <w:rStyle w:val="VerbatimChar"/>
        </w:rPr>
        <w:t xml:space="preserve">Retail doors</w:t>
      </w:r>
      <w:r>
        <w:br/>
      </w:r>
      <w:r>
        <w:rPr>
          <w:rStyle w:val="VerbatimChar"/>
        </w:rPr>
        <w:t xml:space="preserve">× product allocation per door</w:t>
      </w:r>
      <w:r>
        <w:br/>
      </w:r>
      <w:r>
        <w:rPr>
          <w:rStyle w:val="VerbatimChar"/>
        </w:rPr>
        <w:t xml:space="preserve">× retailer sell-through</w:t>
      </w:r>
      <w:r>
        <w:br/>
      </w:r>
      <w:r>
        <w:rPr>
          <w:rStyle w:val="VerbatimChar"/>
        </w:rPr>
        <w:t xml:space="preserve">× replenishment</w:t>
      </w:r>
      <w:r>
        <w:br/>
      </w:r>
      <w:r>
        <w:rPr>
          <w:rStyle w:val="VerbatimChar"/>
        </w:rPr>
        <w:t xml:space="preserve">× wholesale price</w:t>
      </w:r>
      <w:r>
        <w:br/>
      </w:r>
      <w:r>
        <w:rPr>
          <w:rStyle w:val="VerbatimChar"/>
        </w:rPr>
        <w:t xml:space="preserve">− cancellations</w:t>
      </w:r>
      <w:r>
        <w:br/>
      </w:r>
      <w:r>
        <w:rPr>
          <w:rStyle w:val="VerbatimChar"/>
        </w:rPr>
        <w:t xml:space="preserve">− returns</w:t>
      </w:r>
      <w:r>
        <w:br/>
      </w:r>
      <w:r>
        <w:rPr>
          <w:rStyle w:val="VerbatimChar"/>
        </w:rPr>
        <w:t xml:space="preserve">− closeouts</w:t>
      </w:r>
    </w:p>
    <w:bookmarkEnd w:id="88"/>
    <w:bookmarkStart w:id="89" w:name="dtc-revenue"/>
    <w:p>
      <w:pPr>
        <w:pStyle w:val="Heading2"/>
      </w:pPr>
      <w:r>
        <w:t xml:space="preserve">14.4 DTC revenue</w:t>
      </w:r>
    </w:p>
    <w:p>
      <w:pPr>
        <w:pStyle w:val="SourceCode"/>
      </w:pPr>
      <w:r>
        <w:rPr>
          <w:rStyle w:val="VerbatimChar"/>
        </w:rPr>
        <w:t xml:space="preserve">Website and store traffic</w:t>
      </w:r>
      <w:r>
        <w:br/>
      </w:r>
      <w:r>
        <w:rPr>
          <w:rStyle w:val="VerbatimChar"/>
        </w:rPr>
        <w:t xml:space="preserve">× conversion</w:t>
      </w:r>
      <w:r>
        <w:br/>
      </w:r>
      <w:r>
        <w:rPr>
          <w:rStyle w:val="VerbatimChar"/>
        </w:rPr>
        <w:t xml:space="preserve">× units per transaction</w:t>
      </w:r>
      <w:r>
        <w:br/>
      </w:r>
      <w:r>
        <w:rPr>
          <w:rStyle w:val="VerbatimChar"/>
        </w:rPr>
        <w:t xml:space="preserve">× average selling price</w:t>
      </w:r>
      <w:r>
        <w:br/>
      </w:r>
      <w:r>
        <w:rPr>
          <w:rStyle w:val="VerbatimChar"/>
        </w:rPr>
        <w:t xml:space="preserve">− returns</w:t>
      </w:r>
    </w:p>
    <w:bookmarkEnd w:id="89"/>
    <w:bookmarkStart w:id="90" w:name="gross-margin"/>
    <w:p>
      <w:pPr>
        <w:pStyle w:val="Heading2"/>
      </w:pPr>
      <w:r>
        <w:t xml:space="preserve">14.5 Gross margin</w:t>
      </w:r>
    </w:p>
    <w:p>
      <w:pPr>
        <w:pStyle w:val="SourceCode"/>
      </w:pPr>
      <w:r>
        <w:rPr>
          <w:rStyle w:val="VerbatimChar"/>
        </w:rPr>
        <w:t xml:space="preserve">Retail and wholesale pricing</w:t>
      </w:r>
      <w:r>
        <w:br/>
      </w:r>
      <w:r>
        <w:rPr>
          <w:rStyle w:val="VerbatimChar"/>
        </w:rPr>
        <w:t xml:space="preserve">− product manufacturing</w:t>
      </w:r>
      <w:r>
        <w:br/>
      </w:r>
      <w:r>
        <w:rPr>
          <w:rStyle w:val="VerbatimChar"/>
        </w:rPr>
        <w:t xml:space="preserve">− tariffs and duties</w:t>
      </w:r>
      <w:r>
        <w:br/>
      </w:r>
      <w:r>
        <w:rPr>
          <w:rStyle w:val="VerbatimChar"/>
        </w:rPr>
        <w:t xml:space="preserve">− freight</w:t>
      </w:r>
      <w:r>
        <w:br/>
      </w:r>
      <w:r>
        <w:rPr>
          <w:rStyle w:val="VerbatimChar"/>
        </w:rPr>
        <w:t xml:space="preserve">− markdowns and closeouts</w:t>
      </w:r>
      <w:r>
        <w:br/>
      </w:r>
      <w:r>
        <w:rPr>
          <w:rStyle w:val="VerbatimChar"/>
        </w:rPr>
        <w:t xml:space="preserve">+ DTC mix</w:t>
      </w:r>
      <w:r>
        <w:br/>
      </w:r>
      <w:r>
        <w:rPr>
          <w:rStyle w:val="VerbatimChar"/>
        </w:rPr>
        <w:t xml:space="preserve">+ premium product mix</w:t>
      </w:r>
    </w:p>
    <w:bookmarkEnd w:id="90"/>
    <w:bookmarkStart w:id="91" w:name="eps"/>
    <w:p>
      <w:pPr>
        <w:pStyle w:val="Heading2"/>
      </w:pPr>
      <w:r>
        <w:t xml:space="preserve">14.6 EPS</w:t>
      </w:r>
    </w:p>
    <w:p>
      <w:pPr>
        <w:pStyle w:val="SourceCode"/>
      </w:pP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× net margin</w:t>
      </w:r>
      <w:r>
        <w:br/>
      </w:r>
      <w:r>
        <w:rPr>
          <w:rStyle w:val="VerbatimChar"/>
        </w:rPr>
        <w:t xml:space="preserve">÷ diluted shares</w:t>
      </w:r>
    </w:p>
    <w:p>
      <w:pPr>
        <w:pStyle w:val="FirstParagraph"/>
      </w:pPr>
      <w:r>
        <w:t xml:space="preserve">The share-count denominator is a material part of the Deckers thesis.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process-outcome-scenarios"/>
    <w:p>
      <w:pPr>
        <w:pStyle w:val="Heading1"/>
      </w:pPr>
      <w:r>
        <w:t xml:space="preserve">15. Process-outcome scenarios</w:t>
      </w:r>
    </w:p>
    <w:bookmarkStart w:id="94" w:name="bear-case"/>
    <w:p>
      <w:pPr>
        <w:pStyle w:val="Heading2"/>
      </w:pPr>
      <w:r>
        <w:t xml:space="preserve">15.1 Bear case</w:t>
      </w:r>
    </w:p>
    <w:p>
      <w:pPr>
        <w:pStyle w:val="Compact"/>
        <w:numPr>
          <w:ilvl w:val="0"/>
          <w:numId w:val="1039"/>
        </w:numPr>
      </w:pPr>
      <w:r>
        <w:t xml:space="preserve">HOKA growth decelerates to mid-single digits.</w:t>
      </w:r>
    </w:p>
    <w:p>
      <w:pPr>
        <w:pStyle w:val="Compact"/>
        <w:numPr>
          <w:ilvl w:val="0"/>
          <w:numId w:val="1039"/>
        </w:numPr>
      </w:pPr>
      <w:r>
        <w:t xml:space="preserve">UGG grows approximately 2–3%.</w:t>
      </w:r>
    </w:p>
    <w:p>
      <w:pPr>
        <w:pStyle w:val="Compact"/>
        <w:numPr>
          <w:ilvl w:val="0"/>
          <w:numId w:val="1039"/>
        </w:numPr>
      </w:pPr>
      <w:r>
        <w:t xml:space="preserve">Domestic demand remains weak.</w:t>
      </w:r>
    </w:p>
    <w:p>
      <w:pPr>
        <w:pStyle w:val="Compact"/>
        <w:numPr>
          <w:ilvl w:val="0"/>
          <w:numId w:val="1039"/>
        </w:numPr>
      </w:pPr>
      <w:r>
        <w:t xml:space="preserve">International growth slows.</w:t>
      </w:r>
    </w:p>
    <w:p>
      <w:pPr>
        <w:pStyle w:val="Compact"/>
        <w:numPr>
          <w:ilvl w:val="0"/>
          <w:numId w:val="1039"/>
        </w:numPr>
      </w:pPr>
      <w:r>
        <w:t xml:space="preserve">Tariffs remain a structural cost.</w:t>
      </w:r>
    </w:p>
    <w:p>
      <w:pPr>
        <w:pStyle w:val="Compact"/>
        <w:numPr>
          <w:ilvl w:val="0"/>
          <w:numId w:val="1039"/>
        </w:numPr>
      </w:pPr>
      <w:r>
        <w:t xml:space="preserve">Gross margin declines toward 54–55%.</w:t>
      </w:r>
    </w:p>
    <w:p>
      <w:pPr>
        <w:pStyle w:val="Compact"/>
        <w:numPr>
          <w:ilvl w:val="0"/>
          <w:numId w:val="1039"/>
        </w:numPr>
      </w:pPr>
      <w:r>
        <w:t xml:space="preserve">Operating margin falls below 20%.</w:t>
      </w:r>
    </w:p>
    <w:p>
      <w:pPr>
        <w:pStyle w:val="Compact"/>
        <w:numPr>
          <w:ilvl w:val="0"/>
          <w:numId w:val="1039"/>
        </w:numPr>
      </w:pPr>
      <w:r>
        <w:t xml:space="preserve">Inventory grows slightly faster than sales.</w:t>
      </w:r>
    </w:p>
    <w:p>
      <w:pPr>
        <w:pStyle w:val="Compact"/>
        <w:numPr>
          <w:ilvl w:val="0"/>
          <w:numId w:val="1039"/>
        </w:numPr>
      </w:pPr>
      <w:r>
        <w:t xml:space="preserve">Repurchases continue, but at a lower rate.</w:t>
      </w:r>
    </w:p>
    <w:p>
      <w:pPr>
        <w:pStyle w:val="Compact"/>
        <w:numPr>
          <w:ilvl w:val="0"/>
          <w:numId w:val="1039"/>
        </w:numPr>
      </w:pPr>
      <w:r>
        <w:t xml:space="preserve">Other Brands remain immaterial.</w:t>
      </w:r>
    </w:p>
    <w:bookmarkStart w:id="93" w:name="moat-state"/>
    <w:p>
      <w:pPr>
        <w:pStyle w:val="Heading3"/>
      </w:pPr>
      <w:r>
        <w:t xml:space="preserve">Moat state</w:t>
      </w:r>
    </w:p>
    <w:p>
      <w:pPr>
        <w:pStyle w:val="FirstParagraph"/>
      </w:pPr>
      <w:r>
        <w:rPr>
          <w:b/>
          <w:bCs/>
        </w:rPr>
        <w:t xml:space="preserve">Decaying moderately</w:t>
      </w:r>
      <w:r>
        <w:t xml:space="preserve">, but neither HOKA nor UGG collapses.</w:t>
      </w:r>
    </w:p>
    <w:bookmarkEnd w:id="93"/>
    <w:bookmarkEnd w:id="94"/>
    <w:bookmarkStart w:id="96" w:name="base-case"/>
    <w:p>
      <w:pPr>
        <w:pStyle w:val="Heading2"/>
      </w:pPr>
      <w:r>
        <w:t xml:space="preserve">15.2 Base case</w:t>
      </w:r>
    </w:p>
    <w:p>
      <w:pPr>
        <w:pStyle w:val="Compact"/>
        <w:numPr>
          <w:ilvl w:val="0"/>
          <w:numId w:val="1040"/>
        </w:numPr>
      </w:pPr>
      <w:r>
        <w:t xml:space="preserve">HOKA grows at approximately 10–11% beyond FY2027.</w:t>
      </w:r>
    </w:p>
    <w:p>
      <w:pPr>
        <w:pStyle w:val="Compact"/>
        <w:numPr>
          <w:ilvl w:val="0"/>
          <w:numId w:val="1040"/>
        </w:numPr>
      </w:pPr>
      <w:r>
        <w:t xml:space="preserve">UGG grows approximately 5–6%.</w:t>
      </w:r>
    </w:p>
    <w:p>
      <w:pPr>
        <w:pStyle w:val="Compact"/>
        <w:numPr>
          <w:ilvl w:val="0"/>
          <w:numId w:val="1040"/>
        </w:numPr>
      </w:pPr>
      <w:r>
        <w:t xml:space="preserve">International expansion remains the principal geographic driver.</w:t>
      </w:r>
    </w:p>
    <w:p>
      <w:pPr>
        <w:pStyle w:val="Compact"/>
        <w:numPr>
          <w:ilvl w:val="0"/>
          <w:numId w:val="1040"/>
        </w:numPr>
      </w:pPr>
      <w:r>
        <w:t xml:space="preserve">DTC grows broadly with overall revenue.</w:t>
      </w:r>
    </w:p>
    <w:p>
      <w:pPr>
        <w:pStyle w:val="Compact"/>
        <w:numPr>
          <w:ilvl w:val="0"/>
          <w:numId w:val="1040"/>
        </w:numPr>
      </w:pPr>
      <w:r>
        <w:t xml:space="preserve">Gross margin remains around 56–58%.</w:t>
      </w:r>
    </w:p>
    <w:p>
      <w:pPr>
        <w:pStyle w:val="Compact"/>
        <w:numPr>
          <w:ilvl w:val="0"/>
          <w:numId w:val="1040"/>
        </w:numPr>
      </w:pPr>
      <w:r>
        <w:t xml:space="preserve">Operating margin remains in the low 20s.</w:t>
      </w:r>
    </w:p>
    <w:p>
      <w:pPr>
        <w:pStyle w:val="Compact"/>
        <w:numPr>
          <w:ilvl w:val="0"/>
          <w:numId w:val="1040"/>
        </w:numPr>
      </w:pPr>
      <w:r>
        <w:t xml:space="preserve">Inventory remains disciplined.</w:t>
      </w:r>
    </w:p>
    <w:p>
      <w:pPr>
        <w:pStyle w:val="Compact"/>
        <w:numPr>
          <w:ilvl w:val="0"/>
          <w:numId w:val="1040"/>
        </w:numPr>
      </w:pPr>
      <w:r>
        <w:t xml:space="preserve">Repurchases reduce share count by approximately 3–4% annually.</w:t>
      </w:r>
    </w:p>
    <w:bookmarkStart w:id="95" w:name="moat-state-1"/>
    <w:p>
      <w:pPr>
        <w:pStyle w:val="Heading3"/>
      </w:pPr>
      <w:r>
        <w:t xml:space="preserve">Moat state</w:t>
      </w:r>
    </w:p>
    <w:p>
      <w:pPr>
        <w:pStyle w:val="FirstParagraph"/>
      </w:pPr>
      <w:r>
        <w:rPr>
          <w:b/>
          <w:bCs/>
        </w:rPr>
        <w:t xml:space="preserve">Stable</w:t>
      </w:r>
      <w:r>
        <w:t xml:space="preserve">, requiring continued product and marketing investment.</w:t>
      </w:r>
    </w:p>
    <w:bookmarkEnd w:id="95"/>
    <w:bookmarkEnd w:id="96"/>
    <w:bookmarkStart w:id="98" w:name="bull-case"/>
    <w:p>
      <w:pPr>
        <w:pStyle w:val="Heading2"/>
      </w:pPr>
      <w:r>
        <w:t xml:space="preserve">15.3 Bull case</w:t>
      </w:r>
    </w:p>
    <w:p>
      <w:pPr>
        <w:pStyle w:val="Compact"/>
        <w:numPr>
          <w:ilvl w:val="0"/>
          <w:numId w:val="1041"/>
        </w:numPr>
      </w:pPr>
      <w:r>
        <w:t xml:space="preserve">HOKA remains a global performance and lifestyle winner.</w:t>
      </w:r>
    </w:p>
    <w:p>
      <w:pPr>
        <w:pStyle w:val="Compact"/>
        <w:numPr>
          <w:ilvl w:val="0"/>
          <w:numId w:val="1041"/>
        </w:numPr>
      </w:pPr>
      <w:r>
        <w:t xml:space="preserve">HOKA grows approximately 14–15%.</w:t>
      </w:r>
    </w:p>
    <w:p>
      <w:pPr>
        <w:pStyle w:val="Compact"/>
        <w:numPr>
          <w:ilvl w:val="0"/>
          <w:numId w:val="1041"/>
        </w:numPr>
      </w:pPr>
      <w:r>
        <w:t xml:space="preserve">UGG grows approximately 7–8%.</w:t>
      </w:r>
    </w:p>
    <w:p>
      <w:pPr>
        <w:pStyle w:val="Compact"/>
        <w:numPr>
          <w:ilvl w:val="0"/>
          <w:numId w:val="1041"/>
        </w:numPr>
      </w:pPr>
      <w:r>
        <w:t xml:space="preserve">International penetration accelerates.</w:t>
      </w:r>
    </w:p>
    <w:p>
      <w:pPr>
        <w:pStyle w:val="Compact"/>
        <w:numPr>
          <w:ilvl w:val="0"/>
          <w:numId w:val="1041"/>
        </w:numPr>
      </w:pPr>
      <w:r>
        <w:t xml:space="preserve">New categories contribute meaningful revenue.</w:t>
      </w:r>
    </w:p>
    <w:p>
      <w:pPr>
        <w:pStyle w:val="Compact"/>
        <w:numPr>
          <w:ilvl w:val="0"/>
          <w:numId w:val="1041"/>
        </w:numPr>
      </w:pPr>
      <w:r>
        <w:t xml:space="preserve">Gross margin moves toward 59–60%.</w:t>
      </w:r>
    </w:p>
    <w:p>
      <w:pPr>
        <w:pStyle w:val="Compact"/>
        <w:numPr>
          <w:ilvl w:val="0"/>
          <w:numId w:val="1041"/>
        </w:numPr>
      </w:pPr>
      <w:r>
        <w:t xml:space="preserve">Operating margin reaches approximately 25%.</w:t>
      </w:r>
    </w:p>
    <w:p>
      <w:pPr>
        <w:pStyle w:val="Compact"/>
        <w:numPr>
          <w:ilvl w:val="0"/>
          <w:numId w:val="1041"/>
        </w:numPr>
      </w:pPr>
      <w:r>
        <w:t xml:space="preserve">DTC growth improves consumer data and pricing.</w:t>
      </w:r>
    </w:p>
    <w:p>
      <w:pPr>
        <w:pStyle w:val="Compact"/>
        <w:numPr>
          <w:ilvl w:val="0"/>
          <w:numId w:val="1041"/>
        </w:numPr>
      </w:pPr>
      <w:r>
        <w:t xml:space="preserve">Share count declines approximately 4–5% annually.</w:t>
      </w:r>
    </w:p>
    <w:bookmarkStart w:id="97" w:name="moat-state-2"/>
    <w:p>
      <w:pPr>
        <w:pStyle w:val="Heading3"/>
      </w:pPr>
      <w:r>
        <w:t xml:space="preserve">Moat state</w:t>
      </w:r>
    </w:p>
    <w:p>
      <w:pPr>
        <w:pStyle w:val="FirstParagraph"/>
      </w:pPr>
      <w:r>
        <w:rPr>
          <w:b/>
          <w:bCs/>
        </w:rPr>
        <w:t xml:space="preserve">Strengthening</w:t>
      </w:r>
      <w:r>
        <w:t xml:space="preserve">, with broader consumer and geographic relevance.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3" w:name="operating-model"/>
    <w:p>
      <w:pPr>
        <w:pStyle w:val="Heading1"/>
      </w:pPr>
      <w:r>
        <w:t xml:space="preserve">16. Operating model</w:t>
      </w:r>
    </w:p>
    <w:bookmarkStart w:id="100" w:name="fy2027-management-outlook"/>
    <w:p>
      <w:pPr>
        <w:pStyle w:val="Heading2"/>
      </w:pPr>
      <w:r>
        <w:t xml:space="preserve">16.1 FY2027 management outlook</w:t>
      </w:r>
    </w:p>
    <w:p>
      <w:pPr>
        <w:pStyle w:val="FirstParagraph"/>
      </w:pPr>
      <w:r>
        <w:t xml:space="preserve">Management guides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FY2027 guidance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$5.86–$5.91B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 double digits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UGG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Mid-single digits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56.5%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SG&amp;A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21.5%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$7.30–$7.45</w:t>
            </w:r>
          </w:p>
        </w:tc>
      </w:tr>
    </w:tbl>
    <w:p>
      <w:pPr>
        <w:pStyle w:val="BodyText"/>
      </w:pPr>
      <w:r>
        <w:t xml:space="preserve">Management’s FY2028–FY2030 framework calls for:</w:t>
      </w:r>
    </w:p>
    <w:p>
      <w:pPr>
        <w:pStyle w:val="Compact"/>
        <w:numPr>
          <w:ilvl w:val="0"/>
          <w:numId w:val="1042"/>
        </w:numPr>
      </w:pPr>
      <w:r>
        <w:t xml:space="preserve">High-single-digit consolidated revenue growth.</w:t>
      </w:r>
    </w:p>
    <w:p>
      <w:pPr>
        <w:pStyle w:val="Compact"/>
        <w:numPr>
          <w:ilvl w:val="0"/>
          <w:numId w:val="1042"/>
        </w:numPr>
      </w:pPr>
      <w:r>
        <w:t xml:space="preserve">Low-double-digit HOKA growth.</w:t>
      </w:r>
    </w:p>
    <w:p>
      <w:pPr>
        <w:pStyle w:val="Compact"/>
        <w:numPr>
          <w:ilvl w:val="0"/>
          <w:numId w:val="1042"/>
        </w:numPr>
      </w:pPr>
      <w:r>
        <w:t xml:space="preserve">Mid-single-digit UGG growth.</w:t>
      </w:r>
    </w:p>
    <w:p>
      <w:pPr>
        <w:pStyle w:val="Compact"/>
        <w:numPr>
          <w:ilvl w:val="0"/>
          <w:numId w:val="1042"/>
        </w:numPr>
      </w:pPr>
      <w:r>
        <w:t xml:space="preserve">Operating margin in the low 20% range or better.</w:t>
      </w:r>
    </w:p>
    <w:p>
      <w:pPr>
        <w:pStyle w:val="Compact"/>
        <w:numPr>
          <w:ilvl w:val="0"/>
          <w:numId w:val="1042"/>
        </w:numPr>
      </w:pPr>
      <w:r>
        <w:t xml:space="preserve">Low-double-digit EPS growth, supported by repurchases.</w:t>
      </w:r>
    </w:p>
    <w:bookmarkEnd w:id="100"/>
    <w:bookmarkStart w:id="101" w:name="fy2030-scenarios"/>
    <w:p>
      <w:pPr>
        <w:pStyle w:val="Heading2"/>
      </w:pPr>
      <w:r>
        <w:t xml:space="preserve">16.2 FY2030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FY2030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$6.81B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$7.62B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$8.27B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FY2028–30 revenue CAGR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SG&amp;A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$1.41B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$1.69B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Diluted 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$8.08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$11.10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$13.78</w:t>
            </w:r>
          </w:p>
        </w:tc>
      </w:tr>
    </w:tbl>
    <w:bookmarkEnd w:id="101"/>
    <w:bookmarkStart w:id="102" w:name="revenue-composition"/>
    <w:p>
      <w:pPr>
        <w:pStyle w:val="Heading2"/>
      </w:pPr>
      <w:r>
        <w:t xml:space="preserve">16.3 Revenue composition</w:t>
      </w:r>
    </w:p>
    <w:p>
      <w:pPr>
        <w:pStyle w:val="FirstParagraph"/>
      </w:pPr>
      <w:r>
        <w:t xml:space="preserve">A plausible base-case FY2030 mix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FY2030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$2.59B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$3.8–$4.0B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$2.74B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$3.3–$3.5B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Brands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$0.15B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$0.2–$0.4B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$5.47B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$7.62B</w:t>
            </w:r>
          </w:p>
        </w:tc>
      </w:tr>
    </w:tbl>
    <w:p>
      <w:pPr>
        <w:pStyle w:val="BodyText"/>
      </w:pPr>
      <w:r>
        <w:t xml:space="preserve">This forecast does not require another HOKA-sized brand.</w:t>
      </w:r>
    </w:p>
    <w:p>
      <w:pPr>
        <w:pStyle w:val="BodyText"/>
      </w:pPr>
      <w:r>
        <w:t xml:space="preserve">It requires Deckers to continue compounding its two existing franchises.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top-down-and-bottom-up-reconciliation"/>
    <w:p>
      <w:pPr>
        <w:pStyle w:val="Heading1"/>
      </w:pPr>
      <w:r>
        <w:t xml:space="preserve">17. Top-down and bottom-up reconciliation</w:t>
      </w:r>
    </w:p>
    <w:bookmarkStart w:id="104" w:name="bottom-up"/>
    <w:p>
      <w:pPr>
        <w:pStyle w:val="Heading2"/>
      </w:pPr>
      <w:r>
        <w:t xml:space="preserve">17.1 Bottom-up</w:t>
      </w:r>
    </w:p>
    <w:p>
      <w:pPr>
        <w:pStyle w:val="FirstParagraph"/>
      </w:pPr>
      <w:r>
        <w:t xml:space="preserve">Base-case growth comes from:</w:t>
      </w:r>
    </w:p>
    <w:p>
      <w:pPr>
        <w:pStyle w:val="SourceCode"/>
      </w:pPr>
      <w:r>
        <w:rPr>
          <w:rStyle w:val="VerbatimChar"/>
        </w:rPr>
        <w:t xml:space="preserve">HOKA:</w:t>
      </w:r>
      <w:r>
        <w:br/>
      </w:r>
      <w:r>
        <w:rPr>
          <w:rStyle w:val="VerbatimChar"/>
        </w:rPr>
        <w:t xml:space="preserve">International consumers</w:t>
      </w:r>
      <w:r>
        <w:br/>
      </w:r>
      <w:r>
        <w:rPr>
          <w:rStyle w:val="VerbatimChar"/>
        </w:rPr>
        <w:t xml:space="preserve">+ broader running adoption</w:t>
      </w:r>
      <w:r>
        <w:br/>
      </w:r>
      <w:r>
        <w:rPr>
          <w:rStyle w:val="VerbatimChar"/>
        </w:rPr>
        <w:t xml:space="preserve">+ walking and comfort use cases</w:t>
      </w:r>
      <w:r>
        <w:br/>
      </w:r>
      <w:r>
        <w:rPr>
          <w:rStyle w:val="VerbatimChar"/>
        </w:rPr>
        <w:t xml:space="preserve">+ trail and lifestyle extensions</w:t>
      </w:r>
      <w:r>
        <w:br/>
      </w:r>
      <w:r>
        <w:br/>
      </w:r>
      <w:r>
        <w:rPr>
          <w:rStyle w:val="VerbatimChar"/>
        </w:rPr>
        <w:t xml:space="preserve">UGG:</w:t>
      </w:r>
      <w:r>
        <w:br/>
      </w:r>
      <w:r>
        <w:rPr>
          <w:rStyle w:val="VerbatimChar"/>
        </w:rPr>
        <w:t xml:space="preserve">International penetration</w:t>
      </w:r>
      <w:r>
        <w:br/>
      </w:r>
      <w:r>
        <w:rPr>
          <w:rStyle w:val="VerbatimChar"/>
        </w:rPr>
        <w:t xml:space="preserve">+ year-round footwear</w:t>
      </w:r>
      <w:r>
        <w:br/>
      </w:r>
      <w:r>
        <w:rPr>
          <w:rStyle w:val="VerbatimChar"/>
        </w:rPr>
        <w:t xml:space="preserve">+ new franchises</w:t>
      </w:r>
      <w:r>
        <w:br/>
      </w:r>
      <w:r>
        <w:rPr>
          <w:rStyle w:val="VerbatimChar"/>
        </w:rPr>
        <w:t xml:space="preserve">+ apparel and accessories</w:t>
      </w:r>
    </w:p>
    <w:bookmarkEnd w:id="104"/>
    <w:bookmarkStart w:id="105" w:name="channel-reconciliation"/>
    <w:p>
      <w:pPr>
        <w:pStyle w:val="Heading2"/>
      </w:pPr>
      <w:r>
        <w:t xml:space="preserve">17.2 Channel reconciliation</w:t>
      </w:r>
    </w:p>
    <w:p>
      <w:pPr>
        <w:pStyle w:val="FirstParagraph"/>
      </w:pPr>
      <w:r>
        <w:t xml:space="preserve">FY2026 sales were approximately:</w:t>
      </w:r>
    </w:p>
    <w:p>
      <w:pPr>
        <w:pStyle w:val="Compact"/>
        <w:numPr>
          <w:ilvl w:val="0"/>
          <w:numId w:val="1043"/>
        </w:numPr>
      </w:pPr>
      <w:r>
        <w:t xml:space="preserve">Wholesale: $3.21 billion</w:t>
      </w:r>
    </w:p>
    <w:p>
      <w:pPr>
        <w:pStyle w:val="Compact"/>
        <w:numPr>
          <w:ilvl w:val="0"/>
          <w:numId w:val="1043"/>
        </w:numPr>
      </w:pPr>
      <w:r>
        <w:t xml:space="preserve">DTC: $2.26 billion</w:t>
      </w:r>
    </w:p>
    <w:p>
      <w:pPr>
        <w:pStyle w:val="Compact"/>
        <w:numPr>
          <w:ilvl w:val="0"/>
          <w:numId w:val="1043"/>
        </w:numPr>
      </w:pPr>
      <w:r>
        <w:t xml:space="preserve">Domestic: $3.19 billion</w:t>
      </w:r>
    </w:p>
    <w:p>
      <w:pPr>
        <w:pStyle w:val="Compact"/>
        <w:numPr>
          <w:ilvl w:val="0"/>
          <w:numId w:val="1043"/>
        </w:numPr>
      </w:pPr>
      <w:r>
        <w:t xml:space="preserve">International: $2.28 billion</w:t>
      </w:r>
    </w:p>
    <w:p>
      <w:pPr>
        <w:pStyle w:val="FirstParagraph"/>
      </w:pPr>
      <w:r>
        <w:t xml:space="preserve">International sales increased approximately 27% in FY2026 while domestic sales were approximately flat.</w:t>
      </w:r>
    </w:p>
    <w:p>
      <w:pPr>
        <w:pStyle w:val="BodyText"/>
      </w:pPr>
      <w:r>
        <w:t xml:space="preserve">The base case therefore depends more heavily on international penetration than on a renewed acceleration in the United States.</w:t>
      </w:r>
    </w:p>
    <w:p>
      <w:pPr>
        <w:pStyle w:val="BodyText"/>
      </w:pPr>
      <w:r>
        <w:t xml:space="preserve">International revenue represented approximately 42% of FY2026 sales, compared with approximately 31% in FY2022.</w:t>
      </w:r>
    </w:p>
    <w:bookmarkEnd w:id="105"/>
    <w:bookmarkStart w:id="106" w:name="capacity-reconciliation"/>
    <w:p>
      <w:pPr>
        <w:pStyle w:val="Heading2"/>
      </w:pPr>
      <w:r>
        <w:t xml:space="preserve">17.3 Capacity reconciliation</w:t>
      </w:r>
    </w:p>
    <w:p>
      <w:pPr>
        <w:pStyle w:val="FirstParagraph"/>
      </w:pPr>
      <w:r>
        <w:t xml:space="preserve">Deckers does not require large factory investment to achieve the forecast because production is outsourced.</w:t>
      </w:r>
    </w:p>
    <w:p>
      <w:pPr>
        <w:pStyle w:val="BodyText"/>
      </w:pPr>
      <w:r>
        <w:t xml:space="preserve">The forecast does require:</w:t>
      </w:r>
    </w:p>
    <w:p>
      <w:pPr>
        <w:pStyle w:val="Compact"/>
        <w:numPr>
          <w:ilvl w:val="0"/>
          <w:numId w:val="1044"/>
        </w:numPr>
      </w:pPr>
      <w:r>
        <w:t xml:space="preserve">Supplier capacity.</w:t>
      </w:r>
    </w:p>
    <w:p>
      <w:pPr>
        <w:pStyle w:val="Compact"/>
        <w:numPr>
          <w:ilvl w:val="0"/>
          <w:numId w:val="1044"/>
        </w:numPr>
      </w:pPr>
      <w:r>
        <w:t xml:space="preserve">Raw-material availability.</w:t>
      </w:r>
    </w:p>
    <w:p>
      <w:pPr>
        <w:pStyle w:val="Compact"/>
        <w:numPr>
          <w:ilvl w:val="0"/>
          <w:numId w:val="1044"/>
        </w:numPr>
      </w:pPr>
      <w:r>
        <w:t xml:space="preserve">Freight and distribution capacity.</w:t>
      </w:r>
    </w:p>
    <w:p>
      <w:pPr>
        <w:pStyle w:val="Compact"/>
        <w:numPr>
          <w:ilvl w:val="0"/>
          <w:numId w:val="1044"/>
        </w:numPr>
      </w:pPr>
      <w:r>
        <w:t xml:space="preserve">More international retail and wholesale infrastructure.</w:t>
      </w:r>
    </w:p>
    <w:p>
      <w:pPr>
        <w:pStyle w:val="Compact"/>
        <w:numPr>
          <w:ilvl w:val="0"/>
          <w:numId w:val="1044"/>
        </w:numPr>
      </w:pPr>
      <w:r>
        <w:t xml:space="preserve">Sufficient inventory commitments.</w:t>
      </w:r>
    </w:p>
    <w:p>
      <w:pPr>
        <w:pStyle w:val="Compact"/>
        <w:numPr>
          <w:ilvl w:val="0"/>
          <w:numId w:val="1044"/>
        </w:numPr>
      </w:pPr>
      <w:r>
        <w:t xml:space="preserve">Continued quality control.</w:t>
      </w:r>
    </w:p>
    <w:p>
      <w:pPr>
        <w:pStyle w:val="FirstParagraph"/>
      </w:pPr>
      <w:r>
        <w:t xml:space="preserve">The physical capacity is achievable. The critical uncertainty is consumer demand.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reinvestment-economics"/>
    <w:p>
      <w:pPr>
        <w:pStyle w:val="Heading1"/>
      </w:pPr>
      <w:r>
        <w:t xml:space="preserve">18. Reinvestment economics</w:t>
      </w:r>
    </w:p>
    <w:p>
      <w:pPr>
        <w:pStyle w:val="FirstParagraph"/>
      </w:pPr>
      <w:r>
        <w:t xml:space="preserve">Deckers’ principal economic reinvestment does not appear in capital expenditure.</w:t>
      </w:r>
    </w:p>
    <w:p>
      <w:pPr>
        <w:pStyle w:val="BodyText"/>
      </w:pPr>
      <w:r>
        <w:t xml:space="preserve">It occurs through:</w:t>
      </w:r>
    </w:p>
    <w:p>
      <w:pPr>
        <w:pStyle w:val="Compact"/>
        <w:numPr>
          <w:ilvl w:val="0"/>
          <w:numId w:val="1045"/>
        </w:numPr>
      </w:pPr>
      <w:r>
        <w:t xml:space="preserve">Advertising.</w:t>
      </w:r>
    </w:p>
    <w:p>
      <w:pPr>
        <w:pStyle w:val="Compact"/>
        <w:numPr>
          <w:ilvl w:val="0"/>
          <w:numId w:val="1045"/>
        </w:numPr>
      </w:pPr>
      <w:r>
        <w:t xml:space="preserve">Athlete sponsorship.</w:t>
      </w:r>
    </w:p>
    <w:p>
      <w:pPr>
        <w:pStyle w:val="Compact"/>
        <w:numPr>
          <w:ilvl w:val="0"/>
          <w:numId w:val="1045"/>
        </w:numPr>
      </w:pPr>
      <w:r>
        <w:t xml:space="preserve">Consumer acquisition.</w:t>
      </w:r>
    </w:p>
    <w:p>
      <w:pPr>
        <w:pStyle w:val="Compact"/>
        <w:numPr>
          <w:ilvl w:val="0"/>
          <w:numId w:val="1045"/>
        </w:numPr>
      </w:pPr>
      <w:r>
        <w:t xml:space="preserve">Product designers.</w:t>
      </w:r>
    </w:p>
    <w:p>
      <w:pPr>
        <w:pStyle w:val="Compact"/>
        <w:numPr>
          <w:ilvl w:val="0"/>
          <w:numId w:val="1045"/>
        </w:numPr>
      </w:pPr>
      <w:r>
        <w:t xml:space="preserve">Research and testing.</w:t>
      </w:r>
    </w:p>
    <w:p>
      <w:pPr>
        <w:pStyle w:val="Compact"/>
        <w:numPr>
          <w:ilvl w:val="0"/>
          <w:numId w:val="1045"/>
        </w:numPr>
      </w:pPr>
      <w:r>
        <w:t xml:space="preserve">Wholesale development.</w:t>
      </w:r>
    </w:p>
    <w:p>
      <w:pPr>
        <w:pStyle w:val="Compact"/>
        <w:numPr>
          <w:ilvl w:val="0"/>
          <w:numId w:val="1045"/>
        </w:numPr>
      </w:pPr>
      <w:r>
        <w:t xml:space="preserve">Retail stores.</w:t>
      </w:r>
    </w:p>
    <w:p>
      <w:pPr>
        <w:pStyle w:val="Compact"/>
        <w:numPr>
          <w:ilvl w:val="0"/>
          <w:numId w:val="1045"/>
        </w:numPr>
      </w:pPr>
      <w:r>
        <w:t xml:space="preserve">International teams.</w:t>
      </w:r>
    </w:p>
    <w:p>
      <w:pPr>
        <w:pStyle w:val="Compact"/>
        <w:numPr>
          <w:ilvl w:val="0"/>
          <w:numId w:val="1045"/>
        </w:numPr>
      </w:pPr>
      <w:r>
        <w:t xml:space="preserve">Technology.</w:t>
      </w:r>
    </w:p>
    <w:p>
      <w:pPr>
        <w:pStyle w:val="Compact"/>
        <w:numPr>
          <w:ilvl w:val="0"/>
          <w:numId w:val="1045"/>
        </w:numPr>
      </w:pPr>
      <w:r>
        <w:t xml:space="preserve">Inventory.</w:t>
      </w:r>
    </w:p>
    <w:p>
      <w:pPr>
        <w:pStyle w:val="Compact"/>
        <w:numPr>
          <w:ilvl w:val="0"/>
          <w:numId w:val="1045"/>
        </w:numPr>
      </w:pPr>
      <w:r>
        <w:t xml:space="preserve">Distribution centres.</w:t>
      </w:r>
    </w:p>
    <w:p>
      <w:pPr>
        <w:pStyle w:val="FirstParagraph"/>
      </w:pPr>
      <w:r>
        <w:t xml:space="preserve">Capex of only approximately 1.5% of revenue understates the cost of maintaining the brands.</w:t>
      </w:r>
    </w:p>
    <w:p>
      <w:pPr>
        <w:pStyle w:val="BodyText"/>
      </w:pPr>
      <w:r>
        <w:t xml:space="preserve">Marketing and product-development expenses should therefore not be viewed purely as costs that can be removed to increase margins. A portion is maintenance investment required to preserve the moat.</w:t>
      </w:r>
    </w:p>
    <w:p>
      <w:pPr>
        <w:pStyle w:val="BodyText"/>
      </w:pPr>
      <w:r>
        <w:t xml:space="preserve">The company’s long-term margin potential depends on maintaining sufficiently high returns on this spending.</w:t>
      </w:r>
    </w:p>
    <w:p>
      <w:r>
        <w:pict>
          <v:rect style="width:0;height:1.5pt" o:hralign="center" o:hrstd="t" o:hr="t"/>
        </w:pict>
      </w:r>
    </w:p>
    <w:bookmarkEnd w:id="108"/>
    <w:bookmarkStart w:id="114" w:name="valuation"/>
    <w:p>
      <w:pPr>
        <w:pStyle w:val="Heading1"/>
      </w:pPr>
      <w:r>
        <w:t xml:space="preserve">19. Valuation</w:t>
      </w:r>
    </w:p>
    <w:bookmarkStart w:id="109" w:name="current-valuation"/>
    <w:p>
      <w:pPr>
        <w:pStyle w:val="Heading2"/>
      </w:pPr>
      <w:r>
        <w:t xml:space="preserve">19.1 Current valuation</w:t>
      </w:r>
    </w:p>
    <w:p>
      <w:pPr>
        <w:pStyle w:val="FirstParagraph"/>
      </w:pPr>
      <w:r>
        <w:t xml:space="preserve">At $109.03: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 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Trailing P/E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FY2027 guidance P/E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Price/FY2026 FCF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value/FY2026 FCF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Market-cap FCF yield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FCF yield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per implied current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$13</w:t>
            </w:r>
          </w:p>
        </w:tc>
      </w:tr>
    </w:tbl>
    <w:p>
      <w:pPr>
        <w:pStyle w:val="BodyText"/>
      </w:pPr>
      <w:r>
        <w:t xml:space="preserve">Current market data are based on the July 16, 2026 trading session.</w:t>
      </w:r>
    </w:p>
    <w:bookmarkEnd w:id="109"/>
    <w:bookmarkStart w:id="110" w:name="fy2030-earnings-valuation-matrix"/>
    <w:p>
      <w:pPr>
        <w:pStyle w:val="Heading2"/>
      </w:pPr>
      <w:r>
        <w:t xml:space="preserve">19.2 FY2030 earnings valuation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Operating 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14× P/E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18× P/E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23× P/E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Bear: $8.08 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Base: $11.10 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Bull: $13.78 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$317</w:t>
            </w:r>
          </w:p>
        </w:tc>
      </w:tr>
    </w:tbl>
    <w:bookmarkEnd w:id="110"/>
    <w:bookmarkStart w:id="111" w:name="approximate-annualized-returns"/>
    <w:p>
      <w:pPr>
        <w:pStyle w:val="Heading2"/>
      </w:pPr>
      <w:r>
        <w:t xml:space="preserve">19.3 Approximate annualized returns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Operating 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14× P/E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18× P/E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23× P/E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33.4%</w:t>
            </w:r>
          </w:p>
        </w:tc>
      </w:tr>
    </w:tbl>
    <w:bookmarkEnd w:id="111"/>
    <w:bookmarkStart w:id="112" w:name="free-cash-flow-valuation"/>
    <w:p>
      <w:pPr>
        <w:pStyle w:val="Heading2"/>
      </w:pPr>
      <w:r>
        <w:t xml:space="preserve">19.4 Free-cash-flow valuation</w:t>
      </w:r>
    </w:p>
    <w:p>
      <w:pPr>
        <w:pStyle w:val="FirstParagraph"/>
      </w:pPr>
      <w:r>
        <w:t xml:space="preserve">A simplified FCFE model produces: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Terminal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$214</w:t>
            </w:r>
          </w:p>
        </w:tc>
      </w:tr>
    </w:tbl>
    <w:p>
      <w:pPr>
        <w:pStyle w:val="BodyText"/>
      </w:pPr>
      <w:r>
        <w:t xml:space="preserve">The calculation assumes approximately $1.4 billion of cash is excess to operating requirements rather than adding the entire $1.91 billion cash balance.</w:t>
      </w:r>
    </w:p>
    <w:p>
      <w:pPr>
        <w:pStyle w:val="BodyText"/>
      </w:pPr>
      <w:r>
        <w:t xml:space="preserve">The DCF is sensitive to terminal assumptions because Deckers already generates substantial present cash flow.</w:t>
      </w:r>
    </w:p>
    <w:bookmarkEnd w:id="112"/>
    <w:bookmarkStart w:id="113" w:name="blended-valuation"/>
    <w:p>
      <w:pPr>
        <w:pStyle w:val="Heading2"/>
      </w:pPr>
      <w:r>
        <w:t xml:space="preserve">19.5 Blended valuation</w:t>
      </w:r>
    </w:p>
    <w:p>
      <w:pPr>
        <w:pStyle w:val="FirstParagraph"/>
      </w:pPr>
      <w:r>
        <w:t xml:space="preserve">A reasonable valuation range is:</w:t>
      </w:r>
    </w:p>
    <w:p>
      <w:pPr>
        <w:pStyle w:val="SourceCode"/>
      </w:pPr>
      <w:r>
        <w:rPr>
          <w:rStyle w:val="VerbatimChar"/>
        </w:rPr>
        <w:t xml:space="preserve">Conservative: $110–$145</w:t>
      </w:r>
      <w:r>
        <w:br/>
      </w:r>
      <w:r>
        <w:rPr>
          <w:rStyle w:val="VerbatimChar"/>
        </w:rPr>
        <w:t xml:space="preserve">Base: $160–$200</w:t>
      </w:r>
      <w:r>
        <w:br/>
      </w:r>
      <w:r>
        <w:rPr>
          <w:rStyle w:val="VerbatimChar"/>
        </w:rPr>
        <w:t xml:space="preserve">Bull: $215–$250+</w:t>
      </w:r>
    </w:p>
    <w:p>
      <w:pPr>
        <w:pStyle w:val="FirstParagraph"/>
      </w:pPr>
      <w:r>
        <w:t xml:space="preserve">The current price is close to the lower end of the conservative range.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reverse-valuation"/>
    <w:p>
      <w:pPr>
        <w:pStyle w:val="Heading1"/>
      </w:pPr>
      <w:r>
        <w:t xml:space="preserve">20. Reverse valuation</w:t>
      </w:r>
    </w:p>
    <w:bookmarkStart w:id="115" w:name="what-does-109-imply"/>
    <w:p>
      <w:pPr>
        <w:pStyle w:val="Heading2"/>
      </w:pPr>
      <w:r>
        <w:t xml:space="preserve">20.1 What does $109 imply?</w:t>
      </w:r>
    </w:p>
    <w:p>
      <w:pPr>
        <w:pStyle w:val="FirstParagraph"/>
      </w:pPr>
      <w:r>
        <w:t xml:space="preserve">At a 9% required return and 3% terminal growth:</w:t>
      </w:r>
    </w:p>
    <w:p>
      <w:pPr>
        <w:pStyle w:val="Compact"/>
        <w:numPr>
          <w:ilvl w:val="0"/>
          <w:numId w:val="1046"/>
        </w:numPr>
      </w:pPr>
      <w:r>
        <w:t xml:space="preserve">Excluding all excess cash, the current price implies approximately a 1% annual decline in FCF over the next five years.</w:t>
      </w:r>
    </w:p>
    <w:p>
      <w:pPr>
        <w:pStyle w:val="Compact"/>
        <w:numPr>
          <w:ilvl w:val="0"/>
          <w:numId w:val="1046"/>
        </w:numPr>
      </w:pPr>
      <w:r>
        <w:t xml:space="preserve">Including approximately $1.4 billion of excess cash, it implies approximately a 3% annual decline.</w:t>
      </w:r>
    </w:p>
    <w:p>
      <w:pPr>
        <w:pStyle w:val="FirstParagraph"/>
      </w:pPr>
      <w:r>
        <w:t xml:space="preserve">That expectation is materially below management’s medium-term framework.</w:t>
      </w:r>
    </w:p>
    <w:bookmarkEnd w:id="115"/>
    <w:bookmarkStart w:id="116" w:name="earnings-requirements"/>
    <w:p>
      <w:pPr>
        <w:pStyle w:val="Heading2"/>
      </w:pPr>
      <w:r>
        <w:t xml:space="preserve">20.2 Earnings requirements</w:t>
      </w:r>
    </w:p>
    <w:p>
      <w:pPr>
        <w:pStyle w:val="FirstParagraph"/>
      </w:pPr>
      <w:r>
        <w:t xml:space="preserve">To earn 12% annually through FY2030, Deckers would need to reach approximately:</w:t>
      </w:r>
    </w:p>
    <w:p>
      <w:pPr>
        <w:pStyle w:val="SourceCode"/>
      </w:pPr>
      <w:r>
        <w:rPr>
          <w:rStyle w:val="VerbatimChar"/>
        </w:rPr>
        <w:t xml:space="preserve">Target FY2030 price: $166</w:t>
      </w:r>
    </w:p>
    <w:p>
      <w:pPr>
        <w:pStyle w:val="FirstParagraph"/>
      </w:pPr>
      <w:r>
        <w:t xml:space="preserve">At base-case EPS of $11.10, that requires only:</w:t>
      </w:r>
    </w:p>
    <w:p>
      <w:pPr>
        <w:pStyle w:val="SourceCode"/>
      </w:pPr>
      <w:r>
        <w:rPr>
          <w:rStyle w:val="VerbatimChar"/>
        </w:rPr>
        <w:t xml:space="preserve">FY2030 exit P/E: approximately 15×</w:t>
      </w:r>
    </w:p>
    <w:p>
      <w:pPr>
        <w:pStyle w:val="FirstParagraph"/>
      </w:pPr>
      <w:r>
        <w:t xml:space="preserve">For a 15% annual return, the required FY2030 multiple is approximately 16.5×.</w:t>
      </w:r>
    </w:p>
    <w:p>
      <w:pPr>
        <w:pStyle w:val="BodyText"/>
      </w:pPr>
      <w:r>
        <w:t xml:space="preserve">Deckers therefore does not need to retain a premium 25–30× valuation for the investment to work.</w:t>
      </w:r>
    </w:p>
    <w:bookmarkEnd w:id="116"/>
    <w:bookmarkStart w:id="117" w:name="what-is-the-market-discounting"/>
    <w:p>
      <w:pPr>
        <w:pStyle w:val="Heading2"/>
      </w:pPr>
      <w:r>
        <w:t xml:space="preserve">20.3 What is the market discounting?</w:t>
      </w:r>
    </w:p>
    <w:p>
      <w:pPr>
        <w:pStyle w:val="FirstParagraph"/>
      </w:pPr>
      <w:r>
        <w:t xml:space="preserve">The present valuation appears to assume some combination of:</w:t>
      </w:r>
    </w:p>
    <w:p>
      <w:pPr>
        <w:pStyle w:val="Compact"/>
        <w:numPr>
          <w:ilvl w:val="0"/>
          <w:numId w:val="1047"/>
        </w:numPr>
      </w:pPr>
      <w:r>
        <w:t xml:space="preserve">HOKA growth falling to low single digits.</w:t>
      </w:r>
    </w:p>
    <w:p>
      <w:pPr>
        <w:pStyle w:val="Compact"/>
        <w:numPr>
          <w:ilvl w:val="0"/>
          <w:numId w:val="1047"/>
        </w:numPr>
      </w:pPr>
      <w:r>
        <w:t xml:space="preserve">UGG stagnating.</w:t>
      </w:r>
    </w:p>
    <w:p>
      <w:pPr>
        <w:pStyle w:val="Compact"/>
        <w:numPr>
          <w:ilvl w:val="0"/>
          <w:numId w:val="1047"/>
        </w:numPr>
      </w:pPr>
      <w:r>
        <w:t xml:space="preserve">Operating margin falling below 20%.</w:t>
      </w:r>
    </w:p>
    <w:p>
      <w:pPr>
        <w:pStyle w:val="Compact"/>
        <w:numPr>
          <w:ilvl w:val="0"/>
          <w:numId w:val="1047"/>
        </w:numPr>
      </w:pPr>
      <w:r>
        <w:t xml:space="preserve">Tariff costs remaining permanent.</w:t>
      </w:r>
    </w:p>
    <w:p>
      <w:pPr>
        <w:pStyle w:val="Compact"/>
        <w:numPr>
          <w:ilvl w:val="0"/>
          <w:numId w:val="1047"/>
        </w:numPr>
      </w:pPr>
      <w:r>
        <w:t xml:space="preserve">Weak domestic demand.</w:t>
      </w:r>
    </w:p>
    <w:p>
      <w:pPr>
        <w:pStyle w:val="Compact"/>
        <w:numPr>
          <w:ilvl w:val="0"/>
          <w:numId w:val="1047"/>
        </w:numPr>
      </w:pPr>
      <w:r>
        <w:t xml:space="preserve">Limited value from buybacks.</w:t>
      </w:r>
    </w:p>
    <w:p>
      <w:pPr>
        <w:pStyle w:val="Compact"/>
        <w:numPr>
          <w:ilvl w:val="0"/>
          <w:numId w:val="1047"/>
        </w:numPr>
      </w:pPr>
      <w:r>
        <w:t xml:space="preserve">Brand multiples normalizing toward an ordinary footwear company.</w:t>
      </w:r>
    </w:p>
    <w:p>
      <w:pPr>
        <w:pStyle w:val="FirstParagraph"/>
      </w:pPr>
      <w:r>
        <w:t xml:space="preserve">Some normalization is reasonable. The current price appears to discount more than the base case requires.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expected-return"/>
    <w:p>
      <w:pPr>
        <w:pStyle w:val="Heading1"/>
      </w:pPr>
      <w:r>
        <w:t xml:space="preserve">21. Expected return</w:t>
      </w:r>
    </w:p>
    <w:p>
      <w:pPr>
        <w:pStyle w:val="FirstParagraph"/>
      </w:pPr>
      <w:r>
        <w:t xml:space="preserve">Using illustrative probabilities:</w:t>
      </w:r>
    </w:p>
    <w:bookmarkStart w:id="119" w:name="operating-probabilities"/>
    <w:p>
      <w:pPr>
        <w:pStyle w:val="Heading3"/>
      </w:pPr>
      <w:r>
        <w:t xml:space="preserve">Operating probabilities</w:t>
      </w:r>
    </w:p>
    <w:p>
      <w:pPr>
        <w:pStyle w:val="Compact"/>
        <w:numPr>
          <w:ilvl w:val="0"/>
          <w:numId w:val="1048"/>
        </w:numPr>
      </w:pPr>
      <w:r>
        <w:t xml:space="preserve">Bear: 25%</w:t>
      </w:r>
    </w:p>
    <w:p>
      <w:pPr>
        <w:pStyle w:val="Compact"/>
        <w:numPr>
          <w:ilvl w:val="0"/>
          <w:numId w:val="1048"/>
        </w:numPr>
      </w:pPr>
      <w:r>
        <w:t xml:space="preserve">Base: 50%</w:t>
      </w:r>
    </w:p>
    <w:p>
      <w:pPr>
        <w:pStyle w:val="Compact"/>
        <w:numPr>
          <w:ilvl w:val="0"/>
          <w:numId w:val="1048"/>
        </w:numPr>
      </w:pPr>
      <w:r>
        <w:t xml:space="preserve">Bull: 25%</w:t>
      </w:r>
    </w:p>
    <w:bookmarkEnd w:id="119"/>
    <w:bookmarkStart w:id="120" w:name="valuation-probabilities"/>
    <w:p>
      <w:pPr>
        <w:pStyle w:val="Heading3"/>
      </w:pPr>
      <w:r>
        <w:t xml:space="preserve">Valuation probabilities</w:t>
      </w:r>
    </w:p>
    <w:p>
      <w:pPr>
        <w:pStyle w:val="Compact"/>
        <w:numPr>
          <w:ilvl w:val="0"/>
          <w:numId w:val="1049"/>
        </w:numPr>
      </w:pPr>
      <w:r>
        <w:t xml:space="preserve">14×: 25%</w:t>
      </w:r>
    </w:p>
    <w:p>
      <w:pPr>
        <w:pStyle w:val="Compact"/>
        <w:numPr>
          <w:ilvl w:val="0"/>
          <w:numId w:val="1049"/>
        </w:numPr>
      </w:pPr>
      <w:r>
        <w:t xml:space="preserve">18×: 55%</w:t>
      </w:r>
    </w:p>
    <w:p>
      <w:pPr>
        <w:pStyle w:val="Compact"/>
        <w:numPr>
          <w:ilvl w:val="0"/>
          <w:numId w:val="1049"/>
        </w:numPr>
      </w:pPr>
      <w:r>
        <w:t xml:space="preserve">23×: 20%</w:t>
      </w:r>
    </w:p>
    <w:p>
      <w:pPr>
        <w:pStyle w:val="FirstParagraph"/>
      </w:pPr>
      <w:r>
        <w:t xml:space="preserve">The probability-weighted FY2030 value is approximately:</w:t>
      </w:r>
    </w:p>
    <w:p>
      <w:pPr>
        <w:pStyle w:val="SourceCode"/>
      </w:pPr>
      <w:r>
        <w:rPr>
          <w:rStyle w:val="VerbatimChar"/>
        </w:rPr>
        <w:t xml:space="preserve">$198 per share</w:t>
      </w:r>
    </w:p>
    <w:p>
      <w:pPr>
        <w:pStyle w:val="FirstParagraph"/>
      </w:pPr>
      <w:r>
        <w:t xml:space="preserve">The resulting annualized return is approximately:</w:t>
      </w:r>
    </w:p>
    <w:p>
      <w:pPr>
        <w:pStyle w:val="SourceCode"/>
      </w:pPr>
      <w:r>
        <w:rPr>
          <w:rStyle w:val="VerbatimChar"/>
        </w:rPr>
        <w:t xml:space="preserve">17.5%</w:t>
      </w:r>
    </w:p>
    <w:p>
      <w:pPr>
        <w:pStyle w:val="FirstParagraph"/>
      </w:pPr>
      <w:r>
        <w:t xml:space="preserve">A more conservative practical range is</w:t>
      </w:r>
      <w:r>
        <w:t xml:space="preserve"> </w:t>
      </w:r>
      <w:r>
        <w:rPr>
          <w:b/>
          <w:bCs/>
        </w:rPr>
        <w:t xml:space="preserve">14–17% annually</w:t>
      </w:r>
      <w:r>
        <w:t xml:space="preserve">, allowing for:</w:t>
      </w:r>
    </w:p>
    <w:p>
      <w:pPr>
        <w:pStyle w:val="Compact"/>
        <w:numPr>
          <w:ilvl w:val="0"/>
          <w:numId w:val="1050"/>
        </w:numPr>
      </w:pPr>
      <w:r>
        <w:t xml:space="preserve">Forecast error.</w:t>
      </w:r>
    </w:p>
    <w:p>
      <w:pPr>
        <w:pStyle w:val="Compact"/>
        <w:numPr>
          <w:ilvl w:val="0"/>
          <w:numId w:val="1050"/>
        </w:numPr>
      </w:pPr>
      <w:r>
        <w:t xml:space="preserve">A deeper tariff impact.</w:t>
      </w:r>
    </w:p>
    <w:p>
      <w:pPr>
        <w:pStyle w:val="Compact"/>
        <w:numPr>
          <w:ilvl w:val="0"/>
          <w:numId w:val="1050"/>
        </w:numPr>
      </w:pPr>
      <w:r>
        <w:t xml:space="preserve">Temporary brand weakness.</w:t>
      </w:r>
    </w:p>
    <w:p>
      <w:pPr>
        <w:pStyle w:val="Compact"/>
        <w:numPr>
          <w:ilvl w:val="0"/>
          <w:numId w:val="1050"/>
        </w:numPr>
      </w:pPr>
      <w:r>
        <w:t xml:space="preserve">Less aggressive buybacks.</w:t>
      </w:r>
    </w:p>
    <w:p>
      <w:pPr>
        <w:pStyle w:val="Compact"/>
        <w:numPr>
          <w:ilvl w:val="0"/>
          <w:numId w:val="1050"/>
        </w:numPr>
      </w:pPr>
      <w:r>
        <w:t xml:space="preserve">Execution risk under the new CEO.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strong-business-weak-stock-scenarios"/>
    <w:p>
      <w:pPr>
        <w:pStyle w:val="Heading1"/>
      </w:pPr>
      <w:r>
        <w:t xml:space="preserve">22. Strong-business, weak-stock scenarios</w:t>
      </w:r>
    </w:p>
    <w:bookmarkStart w:id="122" w:name="Xbc10fb9513e55f22f741d62e84cce3bf9fd2edd"/>
    <w:p>
      <w:pPr>
        <w:pStyle w:val="Heading2"/>
      </w:pPr>
      <w:r>
        <w:t xml:space="preserve">22.1 Deckers executes, but valuation remains compressed</w:t>
      </w:r>
    </w:p>
    <w:p>
      <w:pPr>
        <w:pStyle w:val="FirstParagraph"/>
      </w:pPr>
      <w:r>
        <w:t xml:space="preserve">Base EPS reaches $11.10 but the market assigns only 14×:</w:t>
      </w:r>
    </w:p>
    <w:p>
      <w:pPr>
        <w:pStyle w:val="SourceCode"/>
      </w:pPr>
      <w:r>
        <w:rPr>
          <w:rStyle w:val="VerbatimChar"/>
        </w:rPr>
        <w:t xml:space="preserve">Value: $155</w:t>
      </w:r>
      <w:r>
        <w:br/>
      </w:r>
      <w:r>
        <w:rPr>
          <w:rStyle w:val="VerbatimChar"/>
        </w:rPr>
        <w:t xml:space="preserve">Annualized return: approximately 10%</w:t>
      </w:r>
    </w:p>
    <w:p>
      <w:pPr>
        <w:pStyle w:val="FirstParagraph"/>
      </w:pPr>
      <w:r>
        <w:t xml:space="preserve">The business performs well, but the stock produces only moderate returns.</w:t>
      </w:r>
    </w:p>
    <w:bookmarkEnd w:id="122"/>
    <w:bookmarkStart w:id="123" w:name="revenue-grows-but-margins-normalize"/>
    <w:p>
      <w:pPr>
        <w:pStyle w:val="Heading2"/>
      </w:pPr>
      <w:r>
        <w:t xml:space="preserve">22.2 Revenue grows but margins normalize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51"/>
        </w:numPr>
      </w:pPr>
      <w:r>
        <w:t xml:space="preserve">FY2030 revenue: $7.3 billion</w:t>
      </w:r>
    </w:p>
    <w:p>
      <w:pPr>
        <w:pStyle w:val="Compact"/>
        <w:numPr>
          <w:ilvl w:val="0"/>
          <w:numId w:val="1051"/>
        </w:numPr>
      </w:pPr>
      <w:r>
        <w:t xml:space="preserve">Net margin: 15%</w:t>
      </w:r>
    </w:p>
    <w:p>
      <w:pPr>
        <w:pStyle w:val="Compact"/>
        <w:numPr>
          <w:ilvl w:val="0"/>
          <w:numId w:val="1051"/>
        </w:numPr>
      </w:pPr>
      <w:r>
        <w:t xml:space="preserve">Diluted shares: 130 million</w:t>
      </w:r>
    </w:p>
    <w:p>
      <w:pPr>
        <w:pStyle w:val="Compact"/>
        <w:numPr>
          <w:ilvl w:val="0"/>
          <w:numId w:val="1051"/>
        </w:numPr>
      </w:pPr>
      <w:r>
        <w:t xml:space="preserve">EPS: approximately $8.42</w:t>
      </w:r>
    </w:p>
    <w:p>
      <w:pPr>
        <w:pStyle w:val="Compact"/>
        <w:numPr>
          <w:ilvl w:val="0"/>
          <w:numId w:val="1051"/>
        </w:numPr>
      </w:pPr>
      <w:r>
        <w:t xml:space="preserve">Exit multiple: 14×</w:t>
      </w:r>
    </w:p>
    <w:p>
      <w:pPr>
        <w:pStyle w:val="SourceCode"/>
      </w:pPr>
      <w:r>
        <w:rPr>
          <w:rStyle w:val="VerbatimChar"/>
        </w:rPr>
        <w:t xml:space="preserve">Value: approximately $118</w:t>
      </w:r>
    </w:p>
    <w:p>
      <w:pPr>
        <w:pStyle w:val="FirstParagraph"/>
      </w:pPr>
      <w:r>
        <w:t xml:space="preserve">The investor earns little despite revenue growth.</w:t>
      </w:r>
    </w:p>
    <w:bookmarkEnd w:id="123"/>
    <w:bookmarkStart w:id="124" w:name="brands-remain-strong-but-buybacks-stop"/>
    <w:p>
      <w:pPr>
        <w:pStyle w:val="Heading2"/>
      </w:pPr>
      <w:r>
        <w:t xml:space="preserve">22.3 Brands remain strong but buybacks stop</w:t>
      </w:r>
    </w:p>
    <w:p>
      <w:pPr>
        <w:pStyle w:val="FirstParagraph"/>
      </w:pPr>
      <w:r>
        <w:t xml:space="preserve">If base-case net income reaches approximately $1.41 billion but shares remain near 144 million:</w:t>
      </w:r>
    </w:p>
    <w:p>
      <w:pPr>
        <w:pStyle w:val="SourceCode"/>
      </w:pPr>
      <w:r>
        <w:rPr>
          <w:rStyle w:val="VerbatimChar"/>
        </w:rPr>
        <w:t xml:space="preserve">EPS: approximately $9.80</w:t>
      </w:r>
      <w:r>
        <w:br/>
      </w:r>
      <w:r>
        <w:rPr>
          <w:rStyle w:val="VerbatimChar"/>
        </w:rPr>
        <w:t xml:space="preserve">Value at 18×: approximately $176</w:t>
      </w:r>
    </w:p>
    <w:p>
      <w:pPr>
        <w:pStyle w:val="FirstParagraph"/>
      </w:pPr>
      <w:r>
        <w:t xml:space="preserve">Buybacks add meaningful value but are not necessary for a positive outcome.</w:t>
      </w:r>
    </w:p>
    <w:bookmarkEnd w:id="124"/>
    <w:bookmarkStart w:id="125" w:name="hoka-performs-well-but-ugg-declines"/>
    <w:p>
      <w:pPr>
        <w:pStyle w:val="Heading2"/>
      </w:pPr>
      <w:r>
        <w:t xml:space="preserve">22.4 HOKA performs well but UGG declines</w:t>
      </w:r>
    </w:p>
    <w:p>
      <w:pPr>
        <w:pStyle w:val="FirstParagraph"/>
      </w:pPr>
      <w:r>
        <w:t xml:space="preserve">HOKA growth alone may not fully offset:</w:t>
      </w:r>
    </w:p>
    <w:p>
      <w:pPr>
        <w:pStyle w:val="Compact"/>
        <w:numPr>
          <w:ilvl w:val="0"/>
          <w:numId w:val="1052"/>
        </w:numPr>
      </w:pPr>
      <w:r>
        <w:t xml:space="preserve">UGG margin deterioration.</w:t>
      </w:r>
    </w:p>
    <w:p>
      <w:pPr>
        <w:pStyle w:val="Compact"/>
        <w:numPr>
          <w:ilvl w:val="0"/>
          <w:numId w:val="1052"/>
        </w:numPr>
      </w:pPr>
      <w:r>
        <w:t xml:space="preserve">Seasonal inventory risk.</w:t>
      </w:r>
    </w:p>
    <w:p>
      <w:pPr>
        <w:pStyle w:val="Compact"/>
        <w:numPr>
          <w:ilvl w:val="0"/>
          <w:numId w:val="1052"/>
        </w:numPr>
      </w:pPr>
      <w:r>
        <w:t xml:space="preserve">Lower full-price selling.</w:t>
      </w:r>
    </w:p>
    <w:p>
      <w:pPr>
        <w:pStyle w:val="Compact"/>
        <w:numPr>
          <w:ilvl w:val="0"/>
          <w:numId w:val="1052"/>
        </w:numPr>
      </w:pPr>
      <w:r>
        <w:t xml:space="preserve">Weaker cash generation.</w:t>
      </w:r>
    </w:p>
    <w:p>
      <w:pPr>
        <w:pStyle w:val="FirstParagraph"/>
      </w:pPr>
      <w:r>
        <w:t xml:space="preserve">The thesis requires both brands to remain economically healthy, even if HOKA contributes most incremental growth.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thesis-breakers"/>
    <w:p>
      <w:pPr>
        <w:pStyle w:val="Heading1"/>
      </w:pPr>
      <w:r>
        <w:t xml:space="preserve">23. Thesis breakers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Thesis breaker</w:t>
            </w:r>
          </w:p>
        </w:tc>
        <w:tc>
          <w:tcPr/>
          <w:p>
            <w:pPr>
              <w:pStyle w:val="Compact"/>
            </w:pPr>
            <w:r>
              <w:t xml:space="preserve">Failure threshold</w:t>
            </w:r>
          </w:p>
        </w:tc>
        <w:tc>
          <w:tcPr/>
          <w:p>
            <w:pPr>
              <w:pStyle w:val="Compact"/>
            </w:pPr>
            <w:r>
              <w:t xml:space="preserve">Model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 demand deterioration</w:t>
            </w:r>
          </w:p>
        </w:tc>
        <w:tc>
          <w:tcPr/>
          <w:p>
            <w:pPr>
              <w:pStyle w:val="Compact"/>
            </w:pPr>
            <w:r>
              <w:t xml:space="preserve">Growth below 5% for two consecutive quarters</w:t>
            </w:r>
          </w:p>
        </w:tc>
        <w:tc>
          <w:tcPr/>
          <w:p>
            <w:pPr>
              <w:pStyle w:val="Compact"/>
            </w:pPr>
            <w:r>
              <w:t xml:space="preserve">Reduce long-term growth and multiple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 discounting</w:t>
            </w:r>
          </w:p>
        </w:tc>
        <w:tc>
          <w:tcPr/>
          <w:p>
            <w:pPr>
              <w:pStyle w:val="Compact"/>
            </w:pPr>
            <w:r>
              <w:t xml:space="preserve">Material increase in promotions or closeouts</w:t>
            </w:r>
          </w:p>
        </w:tc>
        <w:tc>
          <w:tcPr/>
          <w:p>
            <w:pPr>
              <w:pStyle w:val="Compact"/>
            </w:pPr>
            <w:r>
              <w:t xml:space="preserve">Reduce gross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UGG fashion weakness</w:t>
            </w:r>
          </w:p>
        </w:tc>
        <w:tc>
          <w:tcPr/>
          <w:p>
            <w:pPr>
              <w:pStyle w:val="Compact"/>
            </w:pPr>
            <w:r>
              <w:t xml:space="preserve">Annual UGG revenue decline above 8%</w:t>
            </w:r>
          </w:p>
        </w:tc>
        <w:tc>
          <w:tcPr/>
          <w:p>
            <w:pPr>
              <w:pStyle w:val="Compact"/>
            </w:pPr>
            <w:r>
              <w:t xml:space="preserve">Lower revenue and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Gross-margin deterioration</w:t>
            </w:r>
          </w:p>
        </w:tc>
        <w:tc>
          <w:tcPr/>
          <w:p>
            <w:pPr>
              <w:pStyle w:val="Compact"/>
            </w:pPr>
            <w:r>
              <w:t xml:space="preserve">Below 54% excluding one-off freight or tariffs</w:t>
            </w:r>
          </w:p>
        </w:tc>
        <w:tc>
          <w:tcPr/>
          <w:p>
            <w:pPr>
              <w:pStyle w:val="Compact"/>
            </w:pPr>
            <w:r>
              <w:t xml:space="preserve">Question pricing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deterioration</w:t>
            </w:r>
          </w:p>
        </w:tc>
        <w:tc>
          <w:tcPr/>
          <w:p>
            <w:pPr>
              <w:pStyle w:val="Compact"/>
            </w:pPr>
            <w:r>
              <w:t xml:space="preserve">Inventory growth &gt; sales growth by 10 points</w:t>
            </w:r>
          </w:p>
        </w:tc>
        <w:tc>
          <w:tcPr/>
          <w:p>
            <w:pPr>
              <w:pStyle w:val="Compact"/>
            </w:pPr>
            <w:r>
              <w:t xml:space="preserve">Reduce FCF and increase markdown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Wholesale order weakness</w:t>
            </w:r>
          </w:p>
        </w:tc>
        <w:tc>
          <w:tcPr/>
          <w:p>
            <w:pPr>
              <w:pStyle w:val="Compact"/>
            </w:pPr>
            <w:r>
              <w:t xml:space="preserve">Significant cancellations or retailer reductions</w:t>
            </w:r>
          </w:p>
        </w:tc>
        <w:tc>
          <w:tcPr/>
          <w:p>
            <w:pPr>
              <w:pStyle w:val="Compact"/>
            </w:pPr>
            <w:r>
              <w:t xml:space="preserve">Lower near-term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slowdown</w:t>
            </w:r>
          </w:p>
        </w:tc>
        <w:tc>
          <w:tcPr/>
          <w:p>
            <w:pPr>
              <w:pStyle w:val="Compact"/>
            </w:pPr>
            <w:r>
              <w:t xml:space="preserve">Growth below 10%</w:t>
            </w:r>
          </w:p>
        </w:tc>
        <w:tc>
          <w:tcPr/>
          <w:p>
            <w:pPr>
              <w:pStyle w:val="Compact"/>
            </w:pPr>
            <w:r>
              <w:t xml:space="preserve">Reduce TAM and base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DTC weakness</w:t>
            </w:r>
          </w:p>
        </w:tc>
        <w:tc>
          <w:tcPr/>
          <w:p>
            <w:pPr>
              <w:pStyle w:val="Compact"/>
            </w:pPr>
            <w:r>
              <w:t xml:space="preserve">Negative comparable DTC sales for multiple quarters</w:t>
            </w:r>
          </w:p>
        </w:tc>
        <w:tc>
          <w:tcPr/>
          <w:p>
            <w:pPr>
              <w:pStyle w:val="Compact"/>
            </w:pPr>
            <w:r>
              <w:t xml:space="preserve">Weaken consumer-demand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Operating-margin failure</w:t>
            </w:r>
          </w:p>
        </w:tc>
        <w:tc>
          <w:tcPr/>
          <w:p>
            <w:pPr>
              <w:pStyle w:val="Compact"/>
            </w:pPr>
            <w:r>
              <w:t xml:space="preserve">Below 19% after tariff normalization</w:t>
            </w:r>
          </w:p>
        </w:tc>
        <w:tc>
          <w:tcPr/>
          <w:p>
            <w:pPr>
              <w:pStyle w:val="Compact"/>
            </w:pPr>
            <w:r>
              <w:t xml:space="preserve">Lower terminal 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Excessive distribution</w:t>
            </w:r>
          </w:p>
        </w:tc>
        <w:tc>
          <w:tcPr/>
          <w:p>
            <w:pPr>
              <w:pStyle w:val="Compact"/>
            </w:pPr>
            <w:r>
              <w:t xml:space="preserve">Rising wholesale doors with weaker sell-through</w:t>
            </w:r>
          </w:p>
        </w:tc>
        <w:tc>
          <w:tcPr/>
          <w:p>
            <w:pPr>
              <w:pStyle w:val="Compact"/>
            </w:pPr>
            <w:r>
              <w:t xml:space="preserve">Reduce moat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Buyback misallocation</w:t>
            </w:r>
          </w:p>
        </w:tc>
        <w:tc>
          <w:tcPr/>
          <w:p>
            <w:pPr>
              <w:pStyle w:val="Compact"/>
            </w:pPr>
            <w:r>
              <w:t xml:space="preserve">Large repurchases above conservative value</w:t>
            </w:r>
          </w:p>
        </w:tc>
        <w:tc>
          <w:tcPr/>
          <w:p>
            <w:pPr>
              <w:pStyle w:val="Compact"/>
            </w:pPr>
            <w:r>
              <w:t xml:space="preserve">Reduce per-share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Supply-chain disruption</w:t>
            </w:r>
          </w:p>
        </w:tc>
        <w:tc>
          <w:tcPr/>
          <w:p>
            <w:pPr>
              <w:pStyle w:val="Compact"/>
            </w:pPr>
            <w:r>
              <w:t xml:space="preserve">Material Vietnam interruption</w:t>
            </w:r>
          </w:p>
        </w:tc>
        <w:tc>
          <w:tcPr/>
          <w:p>
            <w:pPr>
              <w:pStyle w:val="Compact"/>
            </w:pPr>
            <w:r>
              <w:t xml:space="preserve">Lower volume and gross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transition failure</w:t>
            </w:r>
          </w:p>
        </w:tc>
        <w:tc>
          <w:tcPr/>
          <w:p>
            <w:pPr>
              <w:pStyle w:val="Compact"/>
            </w:pPr>
            <w:r>
              <w:t xml:space="preserve">Product, inventory or marketplace execution weakens</w:t>
            </w:r>
          </w:p>
        </w:tc>
        <w:tc>
          <w:tcPr/>
          <w:p>
            <w:pPr>
              <w:pStyle w:val="Compact"/>
            </w:pPr>
            <w:r>
              <w:t xml:space="preserve">Reduce forecast confidence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monitoring-dashboard"/>
    <w:p>
      <w:pPr>
        <w:pStyle w:val="Heading1"/>
      </w:pPr>
      <w:r>
        <w:t xml:space="preserve">24. Monitoring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or latest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Bear 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Bull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Consolidated sales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9.8% FY2026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7–10%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15.9% FY2026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9–13%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UGG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8.2% FY2026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26.8% FY2026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DTC comparable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4.6% FY2026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56–58%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21–23%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17–21%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-2%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&gt;sales +10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Near sales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Below sales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75–90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FCF/net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0.95–1.10×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&gt;1.10×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share reduction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Approximately 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$1.91B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&lt;$750M without acquisition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&gt;$1B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&gt;$2B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Full-price selling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Rising closeouts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Wholesale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 ten 23.7% 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30" w:name="confidence-assessment"/>
    <w:p>
      <w:pPr>
        <w:pStyle w:val="Heading1"/>
      </w:pPr>
      <w:r>
        <w:t xml:space="preserve">25. Confidence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Financial-statement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Twenty-quarter normalization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revenue history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Business-process understanding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UGG moat existence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UGG moat durability</w:t>
            </w:r>
          </w:p>
        </w:tc>
        <w:tc>
          <w:tcPr/>
          <w:p>
            <w:pPr>
              <w:pStyle w:val="Compact"/>
            </w:pPr>
            <w:r>
              <w:t xml:space="preserve">Moderate-high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 moat existence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HOKA moat durability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Supply-chain understanding</w:t>
            </w:r>
          </w:p>
        </w:tc>
        <w:tc>
          <w:tcPr/>
          <w:p>
            <w:pPr>
              <w:pStyle w:val="Compact"/>
            </w:pPr>
            <w:r>
              <w:t xml:space="preserve">Moderate-high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FY2027 forecast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FY2030 revenue forecast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 forecast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Buyback forecast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DCF assumptions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No-moat downside estimate</w:t>
            </w:r>
          </w:p>
        </w:tc>
        <w:tc>
          <w:tcPr/>
          <w:p>
            <w:pPr>
              <w:pStyle w:val="Compact"/>
            </w:pPr>
            <w:r>
              <w:t xml:space="preserve">Moderate-low</w:t>
            </w:r>
          </w:p>
        </w:tc>
      </w:tr>
    </w:tbl>
    <w:bookmarkStart w:id="129" w:name="principal-uncertainty"/>
    <w:p>
      <w:pPr>
        <w:pStyle w:val="Heading2"/>
      </w:pPr>
      <w:r>
        <w:t xml:space="preserve">Principal uncertainty</w:t>
      </w:r>
    </w:p>
    <w:p>
      <w:pPr>
        <w:pStyle w:val="FirstParagraph"/>
      </w:pPr>
      <w:r>
        <w:t xml:space="preserve">The main uncertainty is not Deckers’ current profitability.</w:t>
      </w:r>
    </w:p>
    <w:p>
      <w:pPr>
        <w:pStyle w:val="BodyText"/>
      </w:pPr>
      <w:r>
        <w:t xml:space="preserve">It is whether HOKA and UGG’s current demand and full-price economics represent:</w:t>
      </w:r>
    </w:p>
    <w:p>
      <w:pPr>
        <w:pStyle w:val="Compact"/>
        <w:numPr>
          <w:ilvl w:val="0"/>
          <w:numId w:val="1053"/>
        </w:numPr>
      </w:pPr>
      <w:r>
        <w:t xml:space="preserve">Durable brand franchises; or</w:t>
      </w:r>
    </w:p>
    <w:p>
      <w:pPr>
        <w:pStyle w:val="Compact"/>
        <w:numPr>
          <w:ilvl w:val="0"/>
          <w:numId w:val="1053"/>
        </w:numPr>
      </w:pPr>
      <w:r>
        <w:t xml:space="preserve">An unusually favorable period that will normalize sharply.</w:t>
      </w:r>
    </w:p>
    <w:p>
      <w:pPr>
        <w:pStyle w:val="FirstParagraph"/>
      </w:pPr>
      <w:r>
        <w:t xml:space="preserve">The historical evidence supports the durable-franchise interpretation, but the footwear industry’s low switching costs prevent high confidence.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research-completeness-gaps"/>
    <w:p>
      <w:pPr>
        <w:pStyle w:val="Heading1"/>
      </w:pPr>
      <w:r>
        <w:t xml:space="preserve">26. Research completeness gaps</w:t>
      </w:r>
    </w:p>
    <w:p>
      <w:pPr>
        <w:pStyle w:val="FirstParagraph"/>
      </w:pPr>
      <w:r>
        <w:t xml:space="preserve">The following information is unavailable or incompletely disclosed:</w:t>
      </w:r>
    </w:p>
    <w:p>
      <w:pPr>
        <w:pStyle w:val="Compact"/>
        <w:numPr>
          <w:ilvl w:val="0"/>
          <w:numId w:val="1054"/>
        </w:numPr>
      </w:pPr>
      <w:r>
        <w:t xml:space="preserve">Unit volumes and average selling prices by brand.</w:t>
      </w:r>
    </w:p>
    <w:p>
      <w:pPr>
        <w:pStyle w:val="Compact"/>
        <w:numPr>
          <w:ilvl w:val="0"/>
          <w:numId w:val="1054"/>
        </w:numPr>
      </w:pPr>
      <w:r>
        <w:t xml:space="preserve">HOKA and UGG customer-retention rates.</w:t>
      </w:r>
    </w:p>
    <w:p>
      <w:pPr>
        <w:pStyle w:val="Compact"/>
        <w:numPr>
          <w:ilvl w:val="0"/>
          <w:numId w:val="1054"/>
        </w:numPr>
      </w:pPr>
      <w:r>
        <w:t xml:space="preserve">Repeat-purchase frequency.</w:t>
      </w:r>
    </w:p>
    <w:p>
      <w:pPr>
        <w:pStyle w:val="Compact"/>
        <w:numPr>
          <w:ilvl w:val="0"/>
          <w:numId w:val="1054"/>
        </w:numPr>
      </w:pPr>
      <w:r>
        <w:t xml:space="preserve">Consumer-acquisition cost by channel.</w:t>
      </w:r>
    </w:p>
    <w:p>
      <w:pPr>
        <w:pStyle w:val="Compact"/>
        <w:numPr>
          <w:ilvl w:val="0"/>
          <w:numId w:val="1054"/>
        </w:numPr>
      </w:pPr>
      <w:r>
        <w:t xml:space="preserve">Wholesale sell-through by retailer.</w:t>
      </w:r>
    </w:p>
    <w:p>
      <w:pPr>
        <w:pStyle w:val="Compact"/>
        <w:numPr>
          <w:ilvl w:val="0"/>
          <w:numId w:val="1054"/>
        </w:numPr>
      </w:pPr>
      <w:r>
        <w:t xml:space="preserve">Promotional and markdown rates by brand.</w:t>
      </w:r>
    </w:p>
    <w:p>
      <w:pPr>
        <w:pStyle w:val="Compact"/>
        <w:numPr>
          <w:ilvl w:val="0"/>
          <w:numId w:val="1054"/>
        </w:numPr>
      </w:pPr>
      <w:r>
        <w:t xml:space="preserve">Brand-level gross margins.</w:t>
      </w:r>
    </w:p>
    <w:p>
      <w:pPr>
        <w:pStyle w:val="Compact"/>
        <w:numPr>
          <w:ilvl w:val="0"/>
          <w:numId w:val="1054"/>
        </w:numPr>
      </w:pPr>
      <w:r>
        <w:t xml:space="preserve">Brand-level inventory.</w:t>
      </w:r>
    </w:p>
    <w:p>
      <w:pPr>
        <w:pStyle w:val="Compact"/>
        <w:numPr>
          <w:ilvl w:val="0"/>
          <w:numId w:val="1054"/>
        </w:numPr>
      </w:pPr>
      <w:r>
        <w:t xml:space="preserve">Revenue and profitability by individual country.</w:t>
      </w:r>
    </w:p>
    <w:p>
      <w:pPr>
        <w:pStyle w:val="Compact"/>
        <w:numPr>
          <w:ilvl w:val="0"/>
          <w:numId w:val="1054"/>
        </w:numPr>
      </w:pPr>
      <w:r>
        <w:t xml:space="preserve">Product-franchise concentration.</w:t>
      </w:r>
    </w:p>
    <w:p>
      <w:pPr>
        <w:pStyle w:val="Compact"/>
        <w:numPr>
          <w:ilvl w:val="0"/>
          <w:numId w:val="1054"/>
        </w:numPr>
      </w:pPr>
      <w:r>
        <w:t xml:space="preserve">Exact manufacturing concentration by factory.</w:t>
      </w:r>
    </w:p>
    <w:p>
      <w:pPr>
        <w:pStyle w:val="Compact"/>
        <w:numPr>
          <w:ilvl w:val="0"/>
          <w:numId w:val="1054"/>
        </w:numPr>
      </w:pPr>
      <w:r>
        <w:t xml:space="preserve">Detailed tariff sensitivity by product.</w:t>
      </w:r>
    </w:p>
    <w:p>
      <w:pPr>
        <w:pStyle w:val="Compact"/>
        <w:numPr>
          <w:ilvl w:val="0"/>
          <w:numId w:val="1054"/>
        </w:numPr>
      </w:pPr>
      <w:r>
        <w:t xml:space="preserve">Marketing return on investment.</w:t>
      </w:r>
    </w:p>
    <w:p>
      <w:pPr>
        <w:pStyle w:val="Compact"/>
        <w:numPr>
          <w:ilvl w:val="0"/>
          <w:numId w:val="1054"/>
        </w:numPr>
      </w:pPr>
      <w:r>
        <w:t xml:space="preserve">Store-level contribution margins.</w:t>
      </w:r>
    </w:p>
    <w:p>
      <w:pPr>
        <w:pStyle w:val="Compact"/>
        <w:numPr>
          <w:ilvl w:val="0"/>
          <w:numId w:val="1054"/>
        </w:numPr>
      </w:pPr>
      <w:r>
        <w:t xml:space="preserve">Maintenance versus growth marketing expenditure.</w:t>
      </w:r>
    </w:p>
    <w:p>
      <w:pPr>
        <w:pStyle w:val="FirstParagraph"/>
      </w:pPr>
      <w:r>
        <w:t xml:space="preserve">These gaps require greater reliance on gross margin, inventory, channel growth and retailer ordering as indirect moat evidence.</w:t>
      </w:r>
    </w:p>
    <w:p>
      <w:r>
        <w:pict>
          <v:rect style="width:0;height:1.5pt" o:hralign="center" o:hrstd="t" o:hr="t"/>
        </w:pict>
      </w:r>
    </w:p>
    <w:bookmarkEnd w:id="131"/>
    <w:bookmarkStart w:id="136" w:name="final-decision"/>
    <w:p>
      <w:pPr>
        <w:pStyle w:val="Heading1"/>
      </w:pPr>
      <w:r>
        <w:t xml:space="preserve">27. Final decision</w:t>
      </w:r>
    </w:p>
    <w:bookmarkStart w:id="132" w:name="attractive-at-109.03"/>
    <w:p>
      <w:pPr>
        <w:pStyle w:val="Heading2"/>
      </w:pPr>
      <w:r>
        <w:t xml:space="preserve">Attractive at $109.03</w:t>
      </w:r>
    </w:p>
    <w:p>
      <w:pPr>
        <w:pStyle w:val="FirstParagraph"/>
      </w:pPr>
      <w:r>
        <w:t xml:space="preserve">Deckers combines:</w:t>
      </w:r>
    </w:p>
    <w:p>
      <w:pPr>
        <w:pStyle w:val="SourceCode"/>
      </w:pPr>
      <w:r>
        <w:rPr>
          <w:rStyle w:val="VerbatimChar"/>
        </w:rPr>
        <w:t xml:space="preserve">Two valuable global brands</w:t>
      </w:r>
      <w:r>
        <w:br/>
      </w:r>
      <w:r>
        <w:rPr>
          <w:rStyle w:val="VerbatimChar"/>
        </w:rPr>
        <w:t xml:space="preserve">+ premium full-price economics</w:t>
      </w:r>
      <w:r>
        <w:br/>
      </w:r>
      <w:r>
        <w:rPr>
          <w:rStyle w:val="VerbatimChar"/>
        </w:rPr>
        <w:t xml:space="preserve">+ high capital efficiency</w:t>
      </w:r>
      <w:r>
        <w:br/>
      </w:r>
      <w:r>
        <w:rPr>
          <w:rStyle w:val="VerbatimChar"/>
        </w:rPr>
        <w:t xml:space="preserve">+ disciplined inventory</w:t>
      </w:r>
      <w:r>
        <w:br/>
      </w:r>
      <w:r>
        <w:rPr>
          <w:rStyle w:val="VerbatimChar"/>
        </w:rPr>
        <w:t xml:space="preserve">+ international runway</w:t>
      </w:r>
      <w:r>
        <w:br/>
      </w:r>
      <w:r>
        <w:rPr>
          <w:rStyle w:val="VerbatimChar"/>
        </w:rPr>
        <w:t xml:space="preserve">+ no debt</w:t>
      </w:r>
      <w:r>
        <w:br/>
      </w:r>
      <w:r>
        <w:rPr>
          <w:rStyle w:val="VerbatimChar"/>
        </w:rPr>
        <w:t xml:space="preserve">+ substantial cash</w:t>
      </w:r>
      <w:r>
        <w:br/>
      </w:r>
      <w:r>
        <w:rPr>
          <w:rStyle w:val="VerbatimChar"/>
        </w:rPr>
        <w:t xml:space="preserve">+ aggressive share repurchases</w:t>
      </w:r>
      <w:r>
        <w:br/>
      </w:r>
      <w:r>
        <w:rPr>
          <w:rStyle w:val="VerbatimChar"/>
        </w:rPr>
        <w:t xml:space="preserve">+ a moderate valuation</w:t>
      </w:r>
    </w:p>
    <w:bookmarkEnd w:id="132"/>
    <w:bookmarkStart w:id="133" w:name="why-it-is-attractive"/>
    <w:p>
      <w:pPr>
        <w:pStyle w:val="Heading2"/>
      </w:pPr>
      <w:r>
        <w:t xml:space="preserve">Why it is attractive</w:t>
      </w:r>
    </w:p>
    <w:p>
      <w:pPr>
        <w:pStyle w:val="Compact"/>
        <w:numPr>
          <w:ilvl w:val="0"/>
          <w:numId w:val="1055"/>
        </w:numPr>
      </w:pPr>
      <w:r>
        <w:t xml:space="preserve">The stock trades below 15× FY2027 guided EPS.</w:t>
      </w:r>
    </w:p>
    <w:p>
      <w:pPr>
        <w:pStyle w:val="Compact"/>
        <w:numPr>
          <w:ilvl w:val="0"/>
          <w:numId w:val="1055"/>
        </w:numPr>
      </w:pPr>
      <w:r>
        <w:t xml:space="preserve">Free-cash-flow yield is approximately 7%.</w:t>
      </w:r>
    </w:p>
    <w:p>
      <w:pPr>
        <w:pStyle w:val="Compact"/>
        <w:numPr>
          <w:ilvl w:val="0"/>
          <w:numId w:val="1055"/>
        </w:numPr>
      </w:pPr>
      <w:r>
        <w:t xml:space="preserve">Net cash represents a meaningful portion of market value.</w:t>
      </w:r>
    </w:p>
    <w:p>
      <w:pPr>
        <w:pStyle w:val="Compact"/>
        <w:numPr>
          <w:ilvl w:val="0"/>
          <w:numId w:val="1055"/>
        </w:numPr>
      </w:pPr>
      <w:r>
        <w:t xml:space="preserve">Revenue has compounded around 15% over five years.</w:t>
      </w:r>
    </w:p>
    <w:p>
      <w:pPr>
        <w:pStyle w:val="Compact"/>
        <w:numPr>
          <w:ilvl w:val="0"/>
          <w:numId w:val="1055"/>
        </w:numPr>
      </w:pPr>
      <w:r>
        <w:t xml:space="preserve">EPS has compounded around 27%.</w:t>
      </w:r>
    </w:p>
    <w:p>
      <w:pPr>
        <w:pStyle w:val="Compact"/>
        <w:numPr>
          <w:ilvl w:val="0"/>
          <w:numId w:val="1055"/>
        </w:numPr>
      </w:pPr>
      <w:r>
        <w:t xml:space="preserve">HOKA has compounded around 30%.</w:t>
      </w:r>
    </w:p>
    <w:p>
      <w:pPr>
        <w:pStyle w:val="Compact"/>
        <w:numPr>
          <w:ilvl w:val="0"/>
          <w:numId w:val="1055"/>
        </w:numPr>
      </w:pPr>
      <w:r>
        <w:t xml:space="preserve">International revenue has compounded above 20%.</w:t>
      </w:r>
    </w:p>
    <w:p>
      <w:pPr>
        <w:pStyle w:val="Compact"/>
        <w:numPr>
          <w:ilvl w:val="0"/>
          <w:numId w:val="1055"/>
        </w:numPr>
      </w:pPr>
      <w:r>
        <w:t xml:space="preserve">Gross margin has structurally improved.</w:t>
      </w:r>
    </w:p>
    <w:p>
      <w:pPr>
        <w:pStyle w:val="Compact"/>
        <w:numPr>
          <w:ilvl w:val="0"/>
          <w:numId w:val="1055"/>
        </w:numPr>
      </w:pPr>
      <w:r>
        <w:t xml:space="preserve">FCF conversion is strong.</w:t>
      </w:r>
    </w:p>
    <w:p>
      <w:pPr>
        <w:pStyle w:val="Compact"/>
        <w:numPr>
          <w:ilvl w:val="0"/>
          <w:numId w:val="1055"/>
        </w:numPr>
      </w:pPr>
      <w:r>
        <w:t xml:space="preserve">Share count is falling.</w:t>
      </w:r>
    </w:p>
    <w:p>
      <w:pPr>
        <w:pStyle w:val="Compact"/>
        <w:numPr>
          <w:ilvl w:val="0"/>
          <w:numId w:val="1055"/>
        </w:numPr>
      </w:pPr>
      <w:r>
        <w:t xml:space="preserve">The reverse valuation embeds little or negative long-term growth.</w:t>
      </w:r>
    </w:p>
    <w:bookmarkEnd w:id="133"/>
    <w:bookmarkStart w:id="134" w:name="why-it-is-not-exceptionally-low-risk"/>
    <w:p>
      <w:pPr>
        <w:pStyle w:val="Heading2"/>
      </w:pPr>
      <w:r>
        <w:t xml:space="preserve">Why it is not exceptionally low risk</w:t>
      </w:r>
    </w:p>
    <w:p>
      <w:pPr>
        <w:pStyle w:val="Compact"/>
        <w:numPr>
          <w:ilvl w:val="0"/>
          <w:numId w:val="1056"/>
        </w:numPr>
      </w:pPr>
      <w:r>
        <w:t xml:space="preserve">Consumer switching costs are minimal.</w:t>
      </w:r>
    </w:p>
    <w:p>
      <w:pPr>
        <w:pStyle w:val="Compact"/>
        <w:numPr>
          <w:ilvl w:val="0"/>
          <w:numId w:val="1056"/>
        </w:numPr>
      </w:pPr>
      <w:r>
        <w:t xml:space="preserve">HOKA growth is slowing.</w:t>
      </w:r>
    </w:p>
    <w:p>
      <w:pPr>
        <w:pStyle w:val="Compact"/>
        <w:numPr>
          <w:ilvl w:val="0"/>
          <w:numId w:val="1056"/>
        </w:numPr>
      </w:pPr>
      <w:r>
        <w:t xml:space="preserve">UGG is exposed to fashion and weather.</w:t>
      </w:r>
    </w:p>
    <w:p>
      <w:pPr>
        <w:pStyle w:val="Compact"/>
        <w:numPr>
          <w:ilvl w:val="0"/>
          <w:numId w:val="1056"/>
        </w:numPr>
      </w:pPr>
      <w:r>
        <w:t xml:space="preserve">Gross margin is near the high end of its historical distribution.</w:t>
      </w:r>
    </w:p>
    <w:p>
      <w:pPr>
        <w:pStyle w:val="Compact"/>
        <w:numPr>
          <w:ilvl w:val="0"/>
          <w:numId w:val="1056"/>
        </w:numPr>
      </w:pPr>
      <w:r>
        <w:t xml:space="preserve">Production is concentrated in Vietnam.</w:t>
      </w:r>
    </w:p>
    <w:p>
      <w:pPr>
        <w:pStyle w:val="Compact"/>
        <w:numPr>
          <w:ilvl w:val="0"/>
          <w:numId w:val="1056"/>
        </w:numPr>
      </w:pPr>
      <w:r>
        <w:t xml:space="preserve">FY2027 guidance already anticipates tariff pressure.</w:t>
      </w:r>
    </w:p>
    <w:p>
      <w:pPr>
        <w:pStyle w:val="Compact"/>
        <w:numPr>
          <w:ilvl w:val="0"/>
          <w:numId w:val="1056"/>
        </w:numPr>
      </w:pPr>
      <w:r>
        <w:t xml:space="preserve">The company depends on continued brand investment.</w:t>
      </w:r>
    </w:p>
    <w:p>
      <w:pPr>
        <w:pStyle w:val="Compact"/>
        <w:numPr>
          <w:ilvl w:val="0"/>
          <w:numId w:val="1056"/>
        </w:numPr>
      </w:pPr>
      <w:r>
        <w:t xml:space="preserve">The new CEO has not yet been tested through a major downturn.</w:t>
      </w:r>
    </w:p>
    <w:p>
      <w:pPr>
        <w:pStyle w:val="Compact"/>
        <w:numPr>
          <w:ilvl w:val="0"/>
          <w:numId w:val="1056"/>
        </w:numPr>
      </w:pPr>
      <w:r>
        <w:t xml:space="preserve">Aggressive repurchases could become destructive at a higher valuation.</w:t>
      </w:r>
    </w:p>
    <w:bookmarkEnd w:id="134"/>
    <w:bookmarkStart w:id="135" w:name="final-classification"/>
    <w:p>
      <w:pPr>
        <w:pStyle w:val="Heading2"/>
      </w:pPr>
      <w:r>
        <w:t xml:space="preserve">Final classification</w:t>
      </w:r>
    </w:p>
    <w:p>
      <w:pPr>
        <w:pStyle w:val="BlockText"/>
      </w:pPr>
      <w:r>
        <w:rPr>
          <w:b/>
          <w:bCs/>
        </w:rPr>
        <w:t xml:space="preserve">Attractive — moderate-high confidence, with brand durability and tariff exposure as the principal risks.</w:t>
      </w:r>
    </w:p>
    <w:p>
      <w:pPr>
        <w:pStyle w:val="FirstParagraph"/>
      </w:pPr>
      <w:r>
        <w:t xml:space="preserve">A reasonable interpretation of the current price is:</w:t>
      </w:r>
    </w:p>
    <w:p>
      <w:pPr>
        <w:pStyle w:val="BlockText"/>
      </w:pPr>
      <w:r>
        <w:t xml:space="preserve">The market is pricing Deckers as though HOKA and UGG’s recent economics will materially weaken, while the historical evidence and management’s medium-term framework support continued—although slower—growth and high cash generation.</w:t>
      </w:r>
    </w:p>
    <w:p>
      <w:pPr>
        <w:pStyle w:val="FirstParagraph"/>
      </w:pPr>
      <w:r>
        <w:t xml:space="preserve">The investment does not require another period of extraordinary margin expansion.</w:t>
      </w:r>
    </w:p>
    <w:p>
      <w:pPr>
        <w:pStyle w:val="BodyText"/>
      </w:pPr>
      <w:r>
        <w:t xml:space="preserve">It requires:</w:t>
      </w:r>
    </w:p>
    <w:p>
      <w:pPr>
        <w:pStyle w:val="SourceCode"/>
      </w:pPr>
      <w:r>
        <w:rPr>
          <w:rStyle w:val="VerbatimChar"/>
        </w:rPr>
        <w:t xml:space="preserve">HOKA to remain relevant</w:t>
      </w:r>
      <w:r>
        <w:br/>
      </w:r>
      <w:r>
        <w:rPr>
          <w:rStyle w:val="VerbatimChar"/>
        </w:rPr>
        <w:t xml:space="preserve">+ UGG to remain culturally durable</w:t>
      </w:r>
      <w:r>
        <w:br/>
      </w:r>
      <w:r>
        <w:rPr>
          <w:rStyle w:val="VerbatimChar"/>
        </w:rPr>
        <w:t xml:space="preserve">+ gross margin to remain above the mid-50s</w:t>
      </w:r>
      <w:r>
        <w:br/>
      </w:r>
      <w:r>
        <w:rPr>
          <w:rStyle w:val="VerbatimChar"/>
        </w:rPr>
        <w:t xml:space="preserve">+ inventory discipline to continue</w:t>
      </w:r>
      <w:r>
        <w:br/>
      </w:r>
      <w:r>
        <w:rPr>
          <w:rStyle w:val="VerbatimChar"/>
        </w:rPr>
        <w:t xml:space="preserve">+ buybacks to occur below intrinsic value</w:t>
      </w:r>
    </w:p>
    <w:p>
      <w:pPr>
        <w:pStyle w:val="FirstParagraph"/>
      </w:pPr>
      <w:r>
        <w:t xml:space="preserve">Under those conditions, Deckers should generate an attractive long-term return from the present valuation.</w:t>
      </w:r>
    </w:p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2026-07-17T07:29:34Z</dcterms:created>
  <dcterms:modified xsi:type="dcterms:W3CDTF">2026-07-17T07:29:34Z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