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118908">
      <w:pPr>
        <w:jc w:val="center"/>
      </w:pPr>
      <w:r>
        <w:rPr>
          <w:rFonts w:ascii="宋体" w:hAnsi="宋体" w:eastAsia="宋体"/>
          <w:b/>
          <w:sz w:val="40"/>
        </w:rPr>
        <w:t>桌面宠物</w:t>
      </w:r>
      <w:r>
        <w:rPr>
          <w:rFonts w:hint="eastAsia" w:ascii="宋体" w:hAnsi="宋体" w:eastAsia="宋体"/>
          <w:b/>
          <w:sz w:val="40"/>
          <w:lang w:eastAsia="zh-CN"/>
        </w:rPr>
        <w:t>（</w:t>
      </w:r>
      <w:r>
        <w:rPr>
          <w:rFonts w:hint="eastAsia" w:ascii="宋体" w:hAnsi="宋体" w:eastAsia="宋体"/>
          <w:b/>
          <w:sz w:val="40"/>
          <w:lang w:val="en-US" w:eastAsia="zh-CN"/>
        </w:rPr>
        <w:t>北极熊</w:t>
      </w:r>
      <w:r>
        <w:rPr>
          <w:rFonts w:hint="eastAsia" w:ascii="宋体" w:hAnsi="宋体" w:eastAsia="宋体"/>
          <w:b/>
          <w:sz w:val="40"/>
          <w:lang w:eastAsia="zh-CN"/>
        </w:rPr>
        <w:t>）</w:t>
      </w:r>
      <w:r>
        <w:rPr>
          <w:rFonts w:ascii="宋体" w:hAnsi="宋体" w:eastAsia="宋体"/>
          <w:b/>
          <w:sz w:val="40"/>
        </w:rPr>
        <w:t>系统 UML 设计图</w:t>
      </w:r>
    </w:p>
    <w:p w14:paraId="0A6DB71D">
      <w:pPr>
        <w:pStyle w:val="3"/>
      </w:pPr>
      <w:r>
        <w:rPr>
          <w:rFonts w:ascii="宋体" w:hAnsi="宋体" w:eastAsia="宋体"/>
          <w:b/>
          <w:sz w:val="30"/>
        </w:rPr>
        <w:t>1. 系统总体设计</w:t>
      </w:r>
      <w:bookmarkStart w:id="0" w:name="_GoBack"/>
      <w:bookmarkEnd w:id="0"/>
    </w:p>
    <w:p w14:paraId="4ECA8FC1">
      <w:pPr>
        <w:jc w:val="center"/>
      </w:pPr>
      <w:r>
        <w:drawing>
          <wp:inline distT="0" distB="0" distL="114300" distR="114300">
            <wp:extent cx="6191885" cy="3980180"/>
            <wp:effectExtent l="0" t="0" r="571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98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6E04">
      <w:pPr>
        <w:jc w:val="center"/>
      </w:pPr>
      <w:r>
        <w:rPr>
          <w:rFonts w:ascii="宋体" w:hAnsi="宋体" w:eastAsia="宋体"/>
          <w:b w:val="0"/>
          <w:sz w:val="20"/>
        </w:rPr>
        <w:t>图 1  桌面宠物系统总用例图</w:t>
      </w:r>
    </w:p>
    <w:p>
      <w:pPr>
        <w:spacing w:before="120" w:after="160"/>
        <w:ind w:firstLine="420"/>
      </w:pPr>
      <w:r>
        <w:rPr>
          <w:sz w:val="21"/>
          <w:color w:val="44546A"/>
        </w:rPr>
        <w:t>讲解注释：该图展示系统总体功能边界，用户作为主要参与者，可以完成桌宠查看、互动、状态查看、背包喂养、任务成长和系统设置等操作。答辩时可说明该图用于概括整个北极熊桌宠系统的核心用例。</w:t>
      </w:r>
    </w:p>
    <w:p w14:paraId="74526321">
      <w:pPr>
        <w:jc w:val="center"/>
      </w:pPr>
      <w:r>
        <w:drawing>
          <wp:inline distT="0" distB="0" distL="114300" distR="114300">
            <wp:extent cx="6304915" cy="3783330"/>
            <wp:effectExtent l="0" t="0" r="698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4915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9D61">
      <w:pPr>
        <w:jc w:val="center"/>
      </w:pPr>
      <w:r>
        <w:rPr>
          <w:rFonts w:ascii="宋体" w:hAnsi="宋体" w:eastAsia="宋体"/>
          <w:b w:val="0"/>
          <w:sz w:val="20"/>
        </w:rPr>
        <w:t>图 2  桌面宠物系统总顺序图</w:t>
      </w:r>
    </w:p>
    <w:p>
      <w:pPr>
        <w:spacing w:before="120" w:after="160"/>
        <w:ind w:firstLine="420"/>
      </w:pPr>
      <w:r>
        <w:rPr>
          <w:sz w:val="21"/>
          <w:color w:val="44546A"/>
        </w:rPr>
        <w:t>讲解注释：该图展示系统总体运行流程，从用户启动应用开始，系统初始化桌宠窗口、加载状态数据、响应用户互动，并将状态变化、任务结果和日志反馈给用户。答辩时可用它说明各模块之间的调用顺序。</w:t>
      </w:r>
    </w:p>
    <w:p w14:paraId="46F9F4EA">
      <w:r>
        <w:br w:type="page"/>
      </w:r>
    </w:p>
    <w:p w14:paraId="54BBDB23">
      <w:pPr>
        <w:pStyle w:val="3"/>
      </w:pPr>
      <w:r>
        <w:rPr>
          <w:rFonts w:ascii="宋体" w:hAnsi="宋体" w:eastAsia="宋体"/>
          <w:b/>
          <w:sz w:val="30"/>
        </w:rPr>
        <w:t>2. 宠物展示与交互模块</w:t>
      </w:r>
    </w:p>
    <w:p w14:paraId="466874A4">
      <w:pPr>
        <w:jc w:val="center"/>
      </w:pPr>
      <w:r>
        <w:drawing>
          <wp:inline distT="0" distB="0" distL="114300" distR="114300">
            <wp:extent cx="6191885" cy="3980180"/>
            <wp:effectExtent l="0" t="0" r="571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98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3749">
      <w:pPr>
        <w:jc w:val="center"/>
      </w:pPr>
      <w:r>
        <w:rPr>
          <w:rFonts w:ascii="宋体" w:hAnsi="宋体" w:eastAsia="宋体"/>
          <w:b w:val="0"/>
          <w:sz w:val="20"/>
        </w:rPr>
        <w:t>图 3  宠物展示与交互模块用例图</w:t>
      </w:r>
    </w:p>
    <w:p>
      <w:pPr>
        <w:spacing w:before="120" w:after="160"/>
        <w:ind w:firstLine="420"/>
      </w:pPr>
      <w:r>
        <w:rPr>
          <w:sz w:val="21"/>
          <w:color w:val="44546A"/>
        </w:rPr>
        <w:t>讲解注释：该用例图对应桌宠形象与桌面交互模块，重点体现用户查看北极熊桌宠、拖拽移动、点击互动和触发动作反馈等功能，是系统最直观的入口模块。</w:t>
      </w:r>
    </w:p>
    <w:p w14:paraId="2E3E8B78">
      <w:pPr>
        <w:jc w:val="center"/>
      </w:pPr>
      <w:r>
        <w:drawing>
          <wp:inline distT="0" distB="0" distL="114300" distR="114300">
            <wp:extent cx="6083935" cy="3649980"/>
            <wp:effectExtent l="0" t="0" r="1206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3935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D3CB">
      <w:pPr>
        <w:jc w:val="center"/>
      </w:pPr>
      <w:r>
        <w:rPr>
          <w:rFonts w:ascii="宋体" w:hAnsi="宋体" w:eastAsia="宋体"/>
          <w:b w:val="0"/>
          <w:sz w:val="20"/>
        </w:rPr>
        <w:t>图 4  宠物展示与交互模块顺序图</w:t>
      </w:r>
    </w:p>
    <w:p>
      <w:pPr>
        <w:spacing w:before="120" w:after="160"/>
        <w:ind w:firstLine="420"/>
      </w:pPr>
      <w:r>
        <w:rPr>
          <w:sz w:val="21"/>
          <w:color w:val="44546A"/>
        </w:rPr>
        <w:t>讲解注释：该顺序图描述用户与桌宠交互的过程。用户操作桌宠后，桌宠窗口接收事件，调用动作控制逻辑，更新显示效果，并将互动事件写入通知或日志模块。</w:t>
      </w:r>
    </w:p>
    <w:p w14:paraId="67951811">
      <w:r>
        <w:br w:type="page"/>
      </w:r>
    </w:p>
    <w:p w14:paraId="0B3182DA">
      <w:pPr>
        <w:pStyle w:val="3"/>
      </w:pPr>
      <w:r>
        <w:rPr>
          <w:rFonts w:ascii="宋体" w:hAnsi="宋体" w:eastAsia="宋体"/>
          <w:b/>
          <w:sz w:val="30"/>
        </w:rPr>
        <w:t>3. 宠物状态管理模块</w:t>
      </w:r>
    </w:p>
    <w:p w14:paraId="5ACECA7D">
      <w:pPr>
        <w:jc w:val="center"/>
      </w:pPr>
      <w:r>
        <w:drawing>
          <wp:inline distT="0" distB="0" distL="114300" distR="114300">
            <wp:extent cx="6191885" cy="39801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98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1D449">
      <w:pPr>
        <w:jc w:val="center"/>
      </w:pPr>
      <w:r>
        <w:rPr>
          <w:rFonts w:ascii="宋体" w:hAnsi="宋体" w:eastAsia="宋体"/>
          <w:b w:val="0"/>
          <w:sz w:val="20"/>
        </w:rPr>
        <w:t>图 5  宠物状态管理模块用例图</w:t>
      </w:r>
    </w:p>
    <w:p>
      <w:pPr>
        <w:spacing w:before="120" w:after="160"/>
        <w:ind w:firstLine="420"/>
      </w:pPr>
      <w:r>
        <w:rPr>
          <w:sz w:val="21"/>
          <w:color w:val="44546A"/>
        </w:rPr>
        <w:t>讲解注释：该用例图对应宠物状态管理模块，主要体现用户查看饱食度、心情值、好感度、成长值等状态，以及系统根据互动和时间变化更新宠物状态。</w:t>
      </w:r>
    </w:p>
    <w:p w14:paraId="21D5C1FF">
      <w:pPr>
        <w:jc w:val="center"/>
      </w:pPr>
      <w:r>
        <w:drawing>
          <wp:inline distT="0" distB="0" distL="114300" distR="114300">
            <wp:extent cx="5949950" cy="3569970"/>
            <wp:effectExtent l="0" t="0" r="635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DBB5">
      <w:pPr>
        <w:jc w:val="center"/>
      </w:pPr>
      <w:r>
        <w:rPr>
          <w:rFonts w:ascii="宋体" w:hAnsi="宋体" w:eastAsia="宋体"/>
          <w:b w:val="0"/>
          <w:sz w:val="20"/>
        </w:rPr>
        <w:t>图 6  宠物状态管理模块顺序图</w:t>
      </w:r>
    </w:p>
    <w:p>
      <w:pPr>
        <w:spacing w:before="120" w:after="160"/>
        <w:ind w:firstLine="420"/>
      </w:pPr>
      <w:r>
        <w:rPr>
          <w:sz w:val="21"/>
          <w:color w:val="44546A"/>
        </w:rPr>
        <w:t>讲解注释：该顺序图展示状态更新流程。用户触发互动、投喂或任务操作后，状态管理模块计算属性变化，再同步到界面显示和本地存档中。</w:t>
      </w:r>
    </w:p>
    <w:p w14:paraId="70E117FF">
      <w:r>
        <w:br w:type="page"/>
      </w:r>
    </w:p>
    <w:p w14:paraId="44CAC2C3">
      <w:pPr>
        <w:pStyle w:val="3"/>
      </w:pPr>
      <w:r>
        <w:rPr>
          <w:rFonts w:ascii="宋体" w:hAnsi="宋体" w:eastAsia="宋体"/>
          <w:b/>
          <w:sz w:val="30"/>
        </w:rPr>
        <w:t>4. 背包与喂养模块</w:t>
      </w:r>
    </w:p>
    <w:p w14:paraId="7146976B">
      <w:pPr>
        <w:jc w:val="center"/>
      </w:pPr>
      <w:r>
        <w:drawing>
          <wp:inline distT="0" distB="0" distL="114300" distR="114300">
            <wp:extent cx="6191885" cy="39801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98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BAC6">
      <w:pPr>
        <w:jc w:val="center"/>
      </w:pPr>
      <w:r>
        <w:rPr>
          <w:rFonts w:ascii="宋体" w:hAnsi="宋体" w:eastAsia="宋体"/>
          <w:b w:val="0"/>
          <w:sz w:val="20"/>
        </w:rPr>
        <w:t>图 7  背包与喂养模块用例图</w:t>
      </w:r>
    </w:p>
    <w:p>
      <w:pPr>
        <w:spacing w:before="120" w:after="160"/>
        <w:ind w:firstLine="420"/>
      </w:pPr>
      <w:r>
        <w:rPr>
          <w:sz w:val="21"/>
          <w:color w:val="44546A"/>
        </w:rPr>
        <w:t>讲解注释：该用例图对应背包与喂养模块，体现用户查看背包、选择食物、投喂桌宠和管理物品数量等功能。该模块与宠物状态模块存在直接联动。</w:t>
      </w:r>
    </w:p>
    <w:p w14:paraId="258BDB7B">
      <w:pPr>
        <w:jc w:val="center"/>
      </w:pPr>
      <w:r>
        <w:drawing>
          <wp:inline distT="0" distB="0" distL="114300" distR="114300">
            <wp:extent cx="6064250" cy="3638550"/>
            <wp:effectExtent l="0" t="0" r="635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6425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65923">
      <w:pPr>
        <w:jc w:val="center"/>
      </w:pPr>
      <w:r>
        <w:rPr>
          <w:rFonts w:ascii="宋体" w:hAnsi="宋体" w:eastAsia="宋体"/>
          <w:b w:val="0"/>
          <w:sz w:val="20"/>
        </w:rPr>
        <w:t>图 8  背包与喂养模块顺序图</w:t>
      </w:r>
    </w:p>
    <w:p>
      <w:pPr>
        <w:spacing w:before="120" w:after="160"/>
        <w:ind w:firstLine="420"/>
      </w:pPr>
      <w:r>
        <w:rPr>
          <w:sz w:val="21"/>
          <w:color w:val="44546A"/>
        </w:rPr>
        <w:t>讲解注释：该顺序图展示投喂流程。用户选择物品后，背包模块扣减物品数量，桌宠模块播放投喂反馈，状态模块更新饱食度或好感度，日志模块记录本次操作。</w:t>
      </w:r>
    </w:p>
    <w:p w14:paraId="63C28F6E">
      <w:r>
        <w:br w:type="page"/>
      </w:r>
    </w:p>
    <w:p w14:paraId="45D0F40F">
      <w:pPr>
        <w:pStyle w:val="3"/>
      </w:pPr>
      <w:r>
        <w:rPr>
          <w:rFonts w:ascii="宋体" w:hAnsi="宋体" w:eastAsia="宋体"/>
          <w:b/>
          <w:sz w:val="30"/>
        </w:rPr>
        <w:t>5. 任务与成长模块</w:t>
      </w:r>
    </w:p>
    <w:p w14:paraId="1C63ED1E">
      <w:pPr>
        <w:jc w:val="center"/>
      </w:pPr>
      <w:r>
        <w:drawing>
          <wp:inline distT="0" distB="0" distL="114300" distR="114300">
            <wp:extent cx="6191885" cy="39801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98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5824">
      <w:pPr>
        <w:jc w:val="center"/>
      </w:pPr>
      <w:r>
        <w:rPr>
          <w:rFonts w:ascii="宋体" w:hAnsi="宋体" w:eastAsia="宋体"/>
          <w:b w:val="0"/>
          <w:sz w:val="20"/>
        </w:rPr>
        <w:t>图 9  任务与成长模块用例图</w:t>
      </w:r>
    </w:p>
    <w:p>
      <w:pPr>
        <w:spacing w:before="120" w:after="160"/>
        <w:ind w:firstLine="420"/>
      </w:pPr>
      <w:r>
        <w:rPr>
          <w:sz w:val="21"/>
          <w:color w:val="44546A"/>
        </w:rPr>
        <w:t>讲解注释：该用例图对应任务与成长模块，体现用户查看每日任务、执行专注任务、完成任务并获得经验奖励等功能，用于增强桌宠的养成感和持续使用价值。</w:t>
      </w:r>
    </w:p>
    <w:p w14:paraId="61BB6E90">
      <w:pPr>
        <w:jc w:val="center"/>
      </w:pPr>
      <w:r>
        <w:drawing>
          <wp:inline distT="0" distB="0" distL="114300" distR="114300">
            <wp:extent cx="5916295" cy="3549650"/>
            <wp:effectExtent l="0" t="0" r="1905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6295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B7924">
      <w:pPr>
        <w:jc w:val="center"/>
      </w:pPr>
      <w:r>
        <w:rPr>
          <w:rFonts w:ascii="宋体" w:hAnsi="宋体" w:eastAsia="宋体"/>
          <w:b w:val="0"/>
          <w:sz w:val="20"/>
        </w:rPr>
        <w:t>图 10  任务与成长模块顺序图</w:t>
      </w:r>
    </w:p>
    <w:p>
      <w:pPr>
        <w:spacing w:before="120" w:after="160"/>
        <w:ind w:firstLine="420"/>
      </w:pPr>
      <w:r>
        <w:rPr>
          <w:sz w:val="21"/>
          <w:color w:val="44546A"/>
        </w:rPr>
        <w:t>讲解注释：该顺序图展示任务完成流程。用户开始或完成任务后，任务模块校验任务状态，更新成长经验和等级信息，并向通知日志模块发送任务完成反馈。</w:t>
      </w:r>
    </w:p>
    <w:p w14:paraId="07A67A86">
      <w:r>
        <w:br w:type="page"/>
      </w:r>
    </w:p>
    <w:p w14:paraId="0277860B">
      <w:pPr>
        <w:pStyle w:val="3"/>
      </w:pPr>
      <w:r>
        <w:rPr>
          <w:rFonts w:ascii="宋体" w:hAnsi="宋体" w:eastAsia="宋体"/>
          <w:b/>
          <w:sz w:val="30"/>
        </w:rPr>
        <w:t>6. 系统设置与数据管理模块</w:t>
      </w:r>
    </w:p>
    <w:p w14:paraId="67EA69A9">
      <w:pPr>
        <w:jc w:val="center"/>
      </w:pPr>
      <w:r>
        <w:drawing>
          <wp:inline distT="0" distB="0" distL="114300" distR="114300">
            <wp:extent cx="6191885" cy="39801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98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7EB9">
      <w:pPr>
        <w:jc w:val="center"/>
      </w:pPr>
      <w:r>
        <w:rPr>
          <w:rFonts w:ascii="宋体" w:hAnsi="宋体" w:eastAsia="宋体"/>
          <w:b w:val="0"/>
          <w:sz w:val="20"/>
        </w:rPr>
        <w:t>图 11  系统设置与数据管理模块用例图</w:t>
      </w:r>
    </w:p>
    <w:p>
      <w:pPr>
        <w:spacing w:before="120" w:after="160"/>
        <w:ind w:firstLine="420"/>
      </w:pPr>
      <w:r>
        <w:rPr>
          <w:sz w:val="21"/>
          <w:color w:val="44546A"/>
        </w:rPr>
        <w:t>讲解注释：该用例图对应系统设置与数据管理模块，体现用户修改置顶、缩放、声音、主题、开机自启以及保存和读取本地数据等功能。</w:t>
      </w:r>
    </w:p>
    <w:p w14:paraId="2E85E2B5">
      <w:pPr>
        <w:jc w:val="center"/>
      </w:pPr>
      <w:r>
        <w:drawing>
          <wp:inline distT="0" distB="0" distL="114300" distR="114300">
            <wp:extent cx="5763260" cy="3457575"/>
            <wp:effectExtent l="0" t="0" r="254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E68E">
      <w:pPr>
        <w:jc w:val="center"/>
      </w:pPr>
      <w:r>
        <w:rPr>
          <w:rFonts w:ascii="宋体" w:hAnsi="宋体" w:eastAsia="宋体"/>
          <w:b w:val="0"/>
          <w:sz w:val="20"/>
        </w:rPr>
        <w:t>图 12  系统设置与数据管理模块顺序图</w:t>
      </w:r>
    </w:p>
    <w:p>
      <w:pPr>
        <w:spacing w:before="120" w:after="160"/>
        <w:ind w:firstLine="420"/>
      </w:pPr>
      <w:r>
        <w:rPr>
          <w:sz w:val="21"/>
          <w:color w:val="44546A"/>
        </w:rPr>
        <w:t>讲解注释：该顺序图展示设置保存与数据恢复流程。用户修改设置后，系统写入本地配置文件；应用再次启动时读取配置和存档，恢复桌宠状态、窗口位置和用户偏好。</w:t>
      </w:r>
    </w:p>
    <w:sectPr>
      <w:pgSz w:w="12240" w:h="15840"/>
      <w:pgMar w:top="1020" w:right="1020" w:bottom="102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ＭＳ 明朝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ＭＳ 明朝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ＭＳ 明朝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方正VDL哥特明朝 简 M">
    <w:panose1 w:val="02000600000000000000"/>
    <w:charset w:val="86"/>
    <w:family w:val="auto"/>
    <w:pitch w:val="default"/>
    <w:sig w:usb0="A00002BF" w:usb1="184F6CFA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4E166A7"/>
    <w:rsid w:val="7A7D2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方正VDL哥特明朝 简 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 New" w:hAnsi="Courier New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118</Words>
  <Characters>122</Characters>
  <Lines>0</Lines>
  <Paragraphs>0</Paragraphs>
  <TotalTime>5</TotalTime>
  <ScaleCrop>false</ScaleCrop>
  <LinksUpToDate>false</LinksUpToDate>
  <CharactersWithSpaces>135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WPS_1602072364</cp:lastModifiedBy>
  <dcterms:modified xsi:type="dcterms:W3CDTF">2026-04-29T07:17:20Z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eyJoZGlkIjoiZjI1ZGU1MzVkM2Q0NjE0Zjk0MWMzNmY3NWM4ZTgwYTgiLCJ1c2VySWQiOiIxMTI4MjQ4MzUyIn0=</vt:lpwstr>
  </property>
  <property fmtid="{D5CDD505-2E9C-101B-9397-08002B2CF9AE}" pid="3" name="KSOProductBuildVer">
    <vt:lpwstr>2052-12.1.0.25865</vt:lpwstr>
  </property>
  <property fmtid="{D5CDD505-2E9C-101B-9397-08002B2CF9AE}" pid="4" name="ICV">
    <vt:lpwstr>D079598236174267BF06A33C14C566D5_12</vt:lpwstr>
  </property>
</Properties>
</file>