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1A37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TỔNG CÔNG TY BECAMEX IDC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 XÚC TIẾN ĐẦU TƯ</w:t>
            </w:r>
          </w:p>
        </w:tc>
        <w:tc>
          <w:tcPr>
            <w:tcW w:type="dxa" w:w="5669"/>
            <w:shd w:val="clear" w:color="auto" w:fill="1A37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BÁO CÁO HOẠT ĐỘNG</w:t>
            </w:r>
          </w:p>
          <w:p>
            <w:pPr>
              <w:jc w:val="center"/>
            </w:pPr>
            <w:r>
              <w:rPr>
                <w:b/>
                <w:color w:val="ED7D31"/>
                <w:sz w:val="26"/>
              </w:rPr>
              <w:t>XÚC TIẾN ĐẦU TƯ THÁNG 4/2026</w:t>
            </w:r>
          </w:p>
        </w:tc>
      </w:tr>
    </w:tbl>
    <w:p/>
    <w:p>
      <w:pPr>
        <w:spacing w:after="160"/>
        <w:jc w:val="right"/>
      </w:pPr>
      <w:r>
        <w:rPr>
          <w:i/>
          <w:color w:val="808080"/>
          <w:sz w:val="18"/>
        </w:rPr>
        <w:t>Ngày báo cáo: 02/05/2026  |  Kỳ báo cáo: Tháng 4/2026  |  Người lập: Ban XTĐT</w:t>
      </w:r>
    </w:p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I. TỔNG QUAN CHỈ SỐ THÁNG 4/2026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Key Performance Indicators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Cuộc gặp NĐT</w:t>
            </w:r>
          </w:p>
        </w:tc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Hội nghị XTĐT</w:t>
            </w:r>
          </w:p>
        </w:tc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Đại biểu dự HN</w:t>
            </w:r>
          </w:p>
        </w:tc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Leads mới</w:t>
            </w:r>
          </w:p>
        </w:tc>
        <w:tc>
          <w:tcPr>
            <w:tcW w:type="dxa" w:w="155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Pipeline</w:t>
            </w:r>
          </w:p>
        </w:tc>
      </w:tr>
      <w:tr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12</w:t>
            </w:r>
            <w:r>
              <w:rPr>
                <w:color w:val="606060"/>
                <w:sz w:val="16"/>
              </w:rPr>
              <w:br/>
              <w:t>nhà đầu tư tiềm năng</w:t>
            </w:r>
          </w:p>
        </w:tc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6</w:t>
            </w:r>
            <w:r>
              <w:rPr>
                <w:color w:val="606060"/>
                <w:sz w:val="16"/>
              </w:rPr>
              <w:br/>
              <w:t>Hàn · Nhật · Đài · SG · Mỹ · Đức</w:t>
            </w:r>
          </w:p>
        </w:tc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1</w:t>
            </w:r>
            <w:r>
              <w:rPr>
                <w:color w:val="606060"/>
                <w:sz w:val="16"/>
              </w:rPr>
              <w:br/>
              <w:t>lần tổ chức</w:t>
            </w:r>
          </w:p>
        </w:tc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80</w:t>
            </w:r>
            <w:r>
              <w:rPr>
                <w:color w:val="606060"/>
                <w:sz w:val="16"/>
              </w:rPr>
              <w:br/>
              <w:t>người tham dự</w:t>
            </w:r>
          </w:p>
        </w:tc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15</w:t>
            </w:r>
            <w:r>
              <w:rPr>
                <w:color w:val="606060"/>
                <w:sz w:val="16"/>
              </w:rPr>
              <w:br/>
              <w:t>từ hội nghị</w:t>
            </w:r>
          </w:p>
        </w:tc>
        <w:tc>
          <w:tcPr>
            <w:tcW w:type="dxa" w:w="1559"/>
            <w:shd w:val="clear" w:color="auto" w:fill="F2F7FF"/>
          </w:tcPr>
          <w:p>
            <w:pPr>
              <w:jc w:val="center"/>
            </w:pPr>
            <w:r>
              <w:rPr>
                <w:b/>
                <w:color w:val="1A376E"/>
                <w:sz w:val="32"/>
              </w:rPr>
              <w:t>12</w:t>
            </w:r>
            <w:r>
              <w:rPr>
                <w:color w:val="606060"/>
                <w:sz w:val="16"/>
              </w:rPr>
              <w:br/>
              <w:t>công ty theo dõi</w:t>
            </w:r>
          </w:p>
        </w:tc>
      </w:tr>
    </w:tbl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II. ĐIỂM NỔI BẬT THÁNG 4/2026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Key Highlights</w:t>
      </w:r>
    </w:p>
    <w:p>
      <w:pPr>
        <w:spacing w:before="120"/>
      </w:pPr>
      <w:r>
        <w:rPr>
          <w:b/>
          <w:color w:val="ED7D31"/>
          <w:sz w:val="22"/>
        </w:rPr>
        <w:t xml:space="preserve">  Hội nghị Xúc tiến Đầu tư Becamex lần thứ 3 (15/04/2026)</w:t>
      </w:r>
    </w:p>
    <w:p>
      <w:pPr>
        <w:pStyle w:val="ListBullet"/>
        <w:spacing w:before="20" w:after="20"/>
      </w:pPr>
      <w:r>
        <w:rPr>
          <w:sz w:val="21"/>
        </w:rPr>
        <w:t>Tổ chức thành công ngày 15/04/2026 tại Becamex Tower, Bình Dương</w:t>
      </w:r>
    </w:p>
    <w:p>
      <w:pPr>
        <w:pStyle w:val="ListBullet"/>
        <w:spacing w:before="20" w:after="20"/>
      </w:pPr>
      <w:r>
        <w:rPr>
          <w:sz w:val="21"/>
        </w:rPr>
        <w:t>Số đại biểu tham dự: 80 người, gồm đại diện doanh nghiệp FDI và nội địa, đại sứ quán, hiệp hội thương mại</w:t>
      </w:r>
    </w:p>
    <w:p>
      <w:pPr>
        <w:pStyle w:val="ListBullet"/>
        <w:spacing w:before="20" w:after="20"/>
      </w:pPr>
      <w:r>
        <w:rPr>
          <w:sz w:val="21"/>
        </w:rPr>
        <w:t>Thu thập được 15 leads nhà đầu tư tiềm năng từ hội nghị</w:t>
      </w:r>
    </w:p>
    <w:p>
      <w:pPr>
        <w:pStyle w:val="ListBullet"/>
        <w:spacing w:before="20" w:after="20"/>
      </w:pPr>
      <w:r>
        <w:rPr>
          <w:sz w:val="21"/>
        </w:rPr>
        <w:t>Các chủ đề chính: Chuỗi cung ứng bán dẫn, Khu công nghệ cao, Hạ tầng logistics thông minh</w:t>
      </w:r>
    </w:p>
    <w:p/>
    <w:p>
      <w:r>
        <w:rPr>
          <w:b/>
          <w:color w:val="ED7D31"/>
          <w:sz w:val="22"/>
        </w:rPr>
        <w:t xml:space="preserve">  12 cuộc gặp nhà đầu tư tiềm năng từ 6 quốc gia</w:t>
      </w:r>
    </w:p>
    <w:p>
      <w:pPr>
        <w:pStyle w:val="ListBullet"/>
        <w:spacing w:before="20" w:after="20"/>
      </w:pPr>
      <w:r>
        <w:rPr>
          <w:sz w:val="21"/>
        </w:rPr>
        <w:t>Hàn Quốc: 3 cuộc gặp (điện tử, linh kiện ô tô, logistics)</w:t>
      </w:r>
    </w:p>
    <w:p>
      <w:pPr>
        <w:pStyle w:val="ListBullet"/>
        <w:spacing w:before="20" w:after="20"/>
      </w:pPr>
      <w:r>
        <w:rPr>
          <w:sz w:val="21"/>
        </w:rPr>
        <w:t>Nhật Bản: 3 cuộc gặp (thiết bị y tế, FMCG, R&amp;D center)</w:t>
      </w:r>
    </w:p>
    <w:p>
      <w:pPr>
        <w:pStyle w:val="ListBullet"/>
        <w:spacing w:before="20" w:after="20"/>
      </w:pPr>
      <w:r>
        <w:rPr>
          <w:sz w:val="21"/>
        </w:rPr>
        <w:t>Đài Loan: 2 cuộc gặp (bán dẫn, linh kiện điện tử)</w:t>
      </w:r>
    </w:p>
    <w:p>
      <w:pPr>
        <w:pStyle w:val="ListBullet"/>
        <w:spacing w:before="20" w:after="20"/>
      </w:pPr>
      <w:r>
        <w:rPr>
          <w:sz w:val="21"/>
        </w:rPr>
        <w:t>Singapore: 2 cuộc gặp (fintech, data center)</w:t>
      </w:r>
    </w:p>
    <w:p>
      <w:pPr>
        <w:pStyle w:val="ListBullet"/>
        <w:spacing w:before="20" w:after="20"/>
      </w:pPr>
      <w:r>
        <w:rPr>
          <w:sz w:val="21"/>
        </w:rPr>
        <w:t>Mỹ: 1 cuộc gặp (công nghệ AI &amp; phần mềm)</w:t>
      </w:r>
    </w:p>
    <w:p>
      <w:pPr>
        <w:pStyle w:val="ListBullet"/>
        <w:spacing w:before="20" w:after="20"/>
      </w:pPr>
      <w:r>
        <w:rPr>
          <w:sz w:val="21"/>
        </w:rPr>
        <w:t>Đức: 1 cuộc gặp (thiết bị công nghiệp, tự động hóa)</w:t>
      </w:r>
    </w:p>
    <w:p/>
    <w:p>
      <w:r>
        <w:rPr>
          <w:b/>
          <w:color w:val="ED7D31"/>
          <w:sz w:val="22"/>
        </w:rPr>
        <w:t xml:space="preserve">  3 công ty lớn đang trong giai đoạn đàm phán tích cực</w:t>
      </w:r>
    </w:p>
    <w:p>
      <w:pPr>
        <w:pStyle w:val="ListBullet"/>
        <w:spacing w:before="20" w:after="20"/>
      </w:pPr>
      <w:r>
        <w:rPr>
          <w:sz w:val="21"/>
        </w:rPr>
        <w:t>Công ty A (Hàn Quốc) – Lĩnh vực điện tử: Đang xem xét diện tích ~5ha tại VSIP III</w:t>
      </w:r>
    </w:p>
    <w:p>
      <w:pPr>
        <w:pStyle w:val="ListBullet"/>
        <w:spacing w:before="20" w:after="20"/>
      </w:pPr>
      <w:r>
        <w:rPr>
          <w:sz w:val="21"/>
        </w:rPr>
        <w:t>Công ty B (Nhật Bản) – Thiết bị y tế: Đề xuất thuê nhà xưởng xây sẵn 10.000m²</w:t>
      </w:r>
    </w:p>
    <w:p>
      <w:pPr>
        <w:pStyle w:val="ListBullet"/>
        <w:spacing w:before="20" w:after="20"/>
      </w:pPr>
      <w:r>
        <w:rPr>
          <w:sz w:val="21"/>
        </w:rPr>
        <w:t>Công ty C (Đài Loan) – Bán dẫn/Chip: Đang thẩm định dự án, nhu cầu 8ha tại Khu CNC</w:t>
      </w:r>
    </w:p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III. CHI TIẾT CÁC CUỘC GẶP NHÀ ĐẦU TƯ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Investor Meeting Log — Tháng 4/2026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Công ty / Tổ chức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Ngày gặp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Nội dung chính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Công ty Điện tử KST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02/04/2026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Khảo sát lô đất VSIP III, trao đổi ưu đãi thuế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Đàm phán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Hyundai Logistics VN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07/04/2026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Tìm hiểu kho vận, tiện ích cảng ICD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Quan tâm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Shinhan Auto Parts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18/04/2026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Giới thiệu KCN, khảo sát thực địa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Quan tâm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Nippon Medical Tech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04/04/2026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Nhà xưởng xây sẵn, PCCC, tiện ích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Đàm phán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Ajinomoto Vietnam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10/04/2026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Mở rộng nhà máy FMCG hiện hữu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Quan tâm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Ricoh R&amp;D Asia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22/04/2026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Tìm hiểu tổng thể, gặp lần đầu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Mới tiếp cận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Đài Loan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TSMC Supplier (Chip)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15/04/2026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Hội nghị – đàm phán khu vực bán dẫn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Đàm phán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Đài Loan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Foxconn Component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25/04/2026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Tìm hiểu chính sách GPMB, tiến độ hạ tầng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Mới tiếp cận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CapitaLand Fintech SG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08/04/2026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Khảo sát quỹ đất data center, IUH hub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Quan tâm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GLP Logistics Asia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17/04/2026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Khu logistics thông minh, diện tích 20ha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Quan tâm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Palantir Vietnam Dev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20/04/2026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AI/SW office, BPO center, nhân lực chất lượng cao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Mới tiếp cận</w:t>
            </w:r>
          </w:p>
        </w:tc>
      </w:tr>
      <w:tr>
        <w:tc>
          <w:tcPr>
            <w:tcW w:type="dxa" w:w="454"/>
            <w:shd w:val="clear" w:color="auto" w:fill="DEEBF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Đức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Siemens Industrial AG</w:t>
            </w:r>
          </w:p>
        </w:tc>
        <w:tc>
          <w:tcPr>
            <w:tcW w:type="dxa" w:w="1247"/>
            <w:shd w:val="clear" w:color="auto" w:fill="DEEBF7"/>
          </w:tcPr>
          <w:p>
            <w:r>
              <w:rPr>
                <w:sz w:val="18"/>
              </w:rPr>
              <w:t>28/04/2026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Thiết bị tự động hóa &amp; after-sales facility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Quan tâm</w:t>
            </w:r>
          </w:p>
        </w:tc>
      </w:tr>
    </w:tbl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IV. HOẠT ĐỘNG PHÒNG THƯƠNG MẠI &amp; HIỆP HỘI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Chamber of Commerce Activities</w:t>
      </w:r>
    </w:p>
    <w:p/>
    <w:p>
      <w:pPr>
        <w:spacing w:after="80"/>
      </w:pPr>
      <w:r>
        <w:rPr>
          <w:b/>
          <w:color w:val="1A376E"/>
          <w:sz w:val="21"/>
        </w:rPr>
        <w:t>Tổng kết hoạt động phòng thương mại tháng 4/2026: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Tổ chức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Hoạt động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/ Nội dung chính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KCCI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Họp định kỳ – Korea Chamber of Commerce &amp; Industry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03/04/2026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Cập nhật chính sách đầu tư mới, chia sẻ danh sách DN Hàn tiềm năng muốn mở rộng sang VN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KOCHAM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Họp định kỳ – Korean Business Association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11/04/2026</w:t>
            </w:r>
          </w:p>
        </w:tc>
        <w:tc>
          <w:tcPr>
            <w:tcW w:type="dxa" w:w="5102"/>
            <w:shd w:val="clear" w:color="auto" w:fill="DEEBF7"/>
          </w:tcPr>
          <w:p>
            <w:r>
              <w:rPr>
                <w:sz w:val="18"/>
              </w:rPr>
              <w:t>Giải quyết vướng mắc thủ tục cho 2 DN thành viên; giới thiệu gói hỗ trợ nhà máy xây sẵn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JETRO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Họp định kỳ – Japan External Trade Organization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16/04/2026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Ký kết biên bản hợp tác hỗ trợ 10 DN Nhật B2B matchmaking tháng 6/2026</w:t>
            </w:r>
          </w:p>
        </w:tc>
      </w:tr>
      <w:tr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EuroCham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Gặp gỡ không định kỳ – European Chamber</w:t>
            </w:r>
          </w:p>
        </w:tc>
        <w:tc>
          <w:tcPr>
            <w:tcW w:type="dxa" w:w="1417"/>
            <w:shd w:val="clear" w:color="auto" w:fill="DEEBF7"/>
          </w:tcPr>
          <w:p>
            <w:r>
              <w:rPr>
                <w:sz w:val="18"/>
              </w:rPr>
              <w:t>24/04/2026</w:t>
            </w:r>
          </w:p>
        </w:tc>
        <w:tc>
          <w:tcPr>
            <w:tcW w:type="dxa" w:w="5102"/>
            <w:shd w:val="clear" w:color="auto" w:fill="DEEBF7"/>
          </w:tcPr>
          <w:p>
            <w:r>
              <w:rPr>
                <w:sz w:val="18"/>
              </w:rPr>
              <w:t>Thảo luận cơ hội xúc tiến DN châu Âu vào Bình Dương; kế hoạch tham gia Bavaria Business Mission</w:t>
            </w:r>
          </w:p>
        </w:tc>
      </w:tr>
    </w:tbl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V. TRẠNG THÁI PIPELINE ĐẦU TƯ HIỆN TẠI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Investment Pipeline — Cập nhật đến 30/04/2026</w:t>
      </w:r>
    </w:p>
    <w:p/>
    <w:p>
      <w:pPr>
        <w:spacing w:before="80" w:after="160"/>
        <w:jc w:val="center"/>
        <w:shd w:val="clear" w:color="auto" w:fill="F2F7FF"/>
      </w:pPr>
      <w:r>
        <w:rPr>
          <w:b/>
          <w:color w:val="1A376E"/>
          <w:sz w:val="21"/>
        </w:rPr>
        <w:t>Tổng pipeline: 12 công ty  |  Đàm phán: 5  |  Quan tâm: 4  |  Mới tiếp cận: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Công ty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Ngành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Quy mô DT dự kiến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Người phụ trách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KST Electronics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Điện tử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~50 triệu USD</w:t>
            </w:r>
          </w:p>
        </w:tc>
        <w:tc>
          <w:tcPr>
            <w:tcW w:type="dxa" w:w="1417"/>
            <w:shd w:val="clear" w:color="auto" w:fill="FFE599"/>
          </w:tcPr>
          <w:p>
            <w:r>
              <w:rPr>
                <w:sz w:val="18"/>
              </w:rPr>
              <w:t>Đàm phán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Nguyễn Văn A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Nippon Medical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Thiết bị y tế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~20 triệu USD</w:t>
            </w:r>
          </w:p>
        </w:tc>
        <w:tc>
          <w:tcPr>
            <w:tcW w:type="dxa" w:w="1417"/>
            <w:shd w:val="clear" w:color="auto" w:fill="FFE599"/>
          </w:tcPr>
          <w:p>
            <w:r>
              <w:rPr>
                <w:sz w:val="18"/>
              </w:rPr>
              <w:t>Đàm phán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Trần Thị 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TSMC Supplier Co.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Đài Loan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Bán dẫn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~80 triệu USD</w:t>
            </w:r>
          </w:p>
        </w:tc>
        <w:tc>
          <w:tcPr>
            <w:tcW w:type="dxa" w:w="1417"/>
            <w:shd w:val="clear" w:color="auto" w:fill="FFE599"/>
          </w:tcPr>
          <w:p>
            <w:r>
              <w:rPr>
                <w:sz w:val="18"/>
              </w:rPr>
              <w:t>Đàm phán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Lê Văn C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Hyundai Logistics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Logistics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~30 triệu USD</w:t>
            </w:r>
          </w:p>
        </w:tc>
        <w:tc>
          <w:tcPr>
            <w:tcW w:type="dxa" w:w="1417"/>
            <w:shd w:val="clear" w:color="auto" w:fill="FFE599"/>
          </w:tcPr>
          <w:p>
            <w:r>
              <w:rPr>
                <w:sz w:val="18"/>
              </w:rPr>
              <w:t>Đàm phán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Nguyễn Văn 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CapitaLand Fintech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Center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~100 triệu USD</w:t>
            </w:r>
          </w:p>
        </w:tc>
        <w:tc>
          <w:tcPr>
            <w:tcW w:type="dxa" w:w="1417"/>
            <w:shd w:val="clear" w:color="auto" w:fill="FFE599"/>
          </w:tcPr>
          <w:p>
            <w:r>
              <w:rPr>
                <w:sz w:val="18"/>
              </w:rPr>
              <w:t>Đàm phán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Phạm Thị D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Ajinomoto Vietnam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FMCG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~15 triệu USD</w:t>
            </w:r>
          </w:p>
        </w:tc>
        <w:tc>
          <w:tcPr>
            <w:tcW w:type="dxa" w:w="1417"/>
            <w:shd w:val="clear" w:color="auto" w:fill="C6EFCE"/>
          </w:tcPr>
          <w:p>
            <w:r>
              <w:rPr>
                <w:sz w:val="18"/>
              </w:rPr>
              <w:t>Quan tâm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Trần Thị 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Shinhan Auto Parts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Hàn Quốc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Linh kiện ô tô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~25 triệu USD</w:t>
            </w:r>
          </w:p>
        </w:tc>
        <w:tc>
          <w:tcPr>
            <w:tcW w:type="dxa" w:w="1417"/>
            <w:shd w:val="clear" w:color="auto" w:fill="C6EFCE"/>
          </w:tcPr>
          <w:p>
            <w:r>
              <w:rPr>
                <w:sz w:val="18"/>
              </w:rPr>
              <w:t>Quan tâm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Nguyễn Văn A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GLP Logistics Asia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Logistics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~40 triệu USD</w:t>
            </w:r>
          </w:p>
        </w:tc>
        <w:tc>
          <w:tcPr>
            <w:tcW w:type="dxa" w:w="1417"/>
            <w:shd w:val="clear" w:color="auto" w:fill="C6EFCE"/>
          </w:tcPr>
          <w:p>
            <w:r>
              <w:rPr>
                <w:sz w:val="18"/>
              </w:rPr>
              <w:t>Quan tâm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Phạm Thị 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Siemens Industrial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Đức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Thiết bị CN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~35 triệu USD</w:t>
            </w:r>
          </w:p>
        </w:tc>
        <w:tc>
          <w:tcPr>
            <w:tcW w:type="dxa" w:w="1417"/>
            <w:shd w:val="clear" w:color="auto" w:fill="C6EFCE"/>
          </w:tcPr>
          <w:p>
            <w:r>
              <w:rPr>
                <w:sz w:val="18"/>
              </w:rPr>
              <w:t>Quan tâm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Lê Văn C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Foxconn Component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Đài Loan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Điện tử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~60 triệu USD</w:t>
            </w:r>
          </w:p>
        </w:tc>
        <w:tc>
          <w:tcPr>
            <w:tcW w:type="dxa" w:w="1417"/>
            <w:shd w:val="clear" w:color="auto" w:fill="DDEBF7"/>
          </w:tcPr>
          <w:p>
            <w:r>
              <w:rPr>
                <w:sz w:val="18"/>
              </w:rPr>
              <w:t>Mới tiếp cận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Lê Văn 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Palantir Vietnam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Công nghệ AI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~12 triệu USD</w:t>
            </w:r>
          </w:p>
        </w:tc>
        <w:tc>
          <w:tcPr>
            <w:tcW w:type="dxa" w:w="1417"/>
            <w:shd w:val="clear" w:color="auto" w:fill="DDEBF7"/>
          </w:tcPr>
          <w:p>
            <w:r>
              <w:rPr>
                <w:sz w:val="18"/>
              </w:rPr>
              <w:t>Mới tiếp cận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Phạm Thị D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sz w:val="18"/>
              </w:rPr>
              <w:t>Ricoh R&amp;D Asia</w:t>
            </w:r>
          </w:p>
        </w:tc>
        <w:tc>
          <w:tcPr>
            <w:tcW w:type="dxa" w:w="1134"/>
            <w:shd w:val="clear" w:color="auto" w:fill="DEEBF7"/>
          </w:tcPr>
          <w:p>
            <w:r>
              <w:rPr>
                <w:sz w:val="18"/>
              </w:rPr>
              <w:t>Nhật Bản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R&amp;D Center</w:t>
            </w:r>
          </w:p>
        </w:tc>
        <w:tc>
          <w:tcPr>
            <w:tcW w:type="dxa" w:w="1984"/>
            <w:shd w:val="clear" w:color="auto" w:fill="DEEBF7"/>
          </w:tcPr>
          <w:p>
            <w:r>
              <w:rPr>
                <w:sz w:val="18"/>
              </w:rPr>
              <w:t>~10 triệu USD</w:t>
            </w:r>
          </w:p>
        </w:tc>
        <w:tc>
          <w:tcPr>
            <w:tcW w:type="dxa" w:w="1417"/>
            <w:shd w:val="clear" w:color="auto" w:fill="DDEBF7"/>
          </w:tcPr>
          <w:p>
            <w:r>
              <w:rPr>
                <w:sz w:val="18"/>
              </w:rPr>
              <w:t>Mới tiếp cận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Trần Thị B</w:t>
            </w:r>
          </w:p>
        </w:tc>
      </w:tr>
    </w:tbl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VI. KHÓ KHĂN &amp; KIẾN NGHỊ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Issues &amp; Recommendations</w:t>
      </w:r>
    </w:p>
    <w:p>
      <w:pPr>
        <w:spacing w:before="120" w:after="60"/>
      </w:pPr>
      <w:r>
        <w:rPr>
          <w:b/>
          <w:color w:val="C00000"/>
          <w:sz w:val="21"/>
        </w:rPr>
        <w:t>Khó khăn nhận diện trong tháng:</w:t>
      </w:r>
    </w:p>
    <w:p>
      <w:pPr>
        <w:pStyle w:val="ListBullet"/>
        <w:spacing w:before="20" w:after="20"/>
      </w:pPr>
      <w:r>
        <w:rPr>
          <w:sz w:val="21"/>
        </w:rPr>
        <w:t>Thủ tục cấp giấy phép đầu tư cho dự án bán dẫn còn chậm (Công ty C – Đài Loan) do chưa có hướng dẫn cụ thể về lĩnh vực công nghệ cao mới</w:t>
      </w:r>
    </w:p>
    <w:p>
      <w:pPr>
        <w:pStyle w:val="ListBullet"/>
        <w:spacing w:before="20" w:after="20"/>
      </w:pPr>
      <w:r>
        <w:rPr>
          <w:sz w:val="21"/>
        </w:rPr>
        <w:t>Một số nhà đầu tư Nhật Bản phản ánh hạ tầng điện – nước tại một khu vực phát triển mới chưa hoàn thiện, ảnh hưởng quyết định đầu tư</w:t>
      </w:r>
    </w:p>
    <w:p>
      <w:pPr>
        <w:pStyle w:val="ListBullet"/>
        <w:spacing w:before="20" w:after="20"/>
      </w:pPr>
      <w:r>
        <w:rPr>
          <w:sz w:val="21"/>
        </w:rPr>
        <w:t>Thiếu tài liệu giới thiệu khu công nghiệp phiên bản tiếng Đức, gây khó khăn trong làm việc với doanh nghiệp Đức</w:t>
      </w:r>
    </w:p>
    <w:p>
      <w:pPr>
        <w:pStyle w:val="ListBullet"/>
        <w:spacing w:before="20" w:after="20"/>
      </w:pPr>
      <w:r>
        <w:rPr>
          <w:sz w:val="21"/>
        </w:rPr>
        <w:t>Nguồn nhân lực kỹ thuật cao (bán dẫn, AI) tại Bình Dương còn hạn chế — một số NĐT lo ngại</w:t>
      </w:r>
    </w:p>
    <w:p>
      <w:pPr>
        <w:spacing w:before="120" w:after="60"/>
      </w:pPr>
      <w:r>
        <w:rPr>
          <w:b/>
          <w:color w:val="378644"/>
          <w:sz w:val="21"/>
        </w:rPr>
        <w:t>Kiến nghị &amp; Đề xuất:</w:t>
      </w:r>
    </w:p>
    <w:p>
      <w:pPr>
        <w:pStyle w:val="ListBullet"/>
        <w:spacing w:before="20" w:after="20"/>
      </w:pPr>
      <w:r>
        <w:rPr>
          <w:sz w:val="21"/>
        </w:rPr>
        <w:t>Đề nghị BQL KCN khẩn trương ban hành hướng dẫn thủ tục đặc thù cho dự án chip/bán dẫn trước 15/05/2026</w:t>
      </w:r>
    </w:p>
    <w:p>
      <w:pPr>
        <w:pStyle w:val="ListBullet"/>
        <w:spacing w:before="20" w:after="20"/>
      </w:pPr>
      <w:r>
        <w:rPr>
          <w:sz w:val="21"/>
        </w:rPr>
        <w:t>Đề xuất Ban Đầu tư tổng công ty phê duyệt kinh phí làm tài liệu marketing tiếng Đức và tiếng Tây Ban Nha trong quý 2/2026</w:t>
      </w:r>
    </w:p>
    <w:p>
      <w:pPr>
        <w:pStyle w:val="ListBullet"/>
        <w:spacing w:before="20" w:after="20"/>
      </w:pPr>
      <w:r>
        <w:rPr>
          <w:sz w:val="21"/>
        </w:rPr>
        <w:t>Kiến nghị phối hợp với IUH, HUTECH xây dựng chương trình đào tạo nhân lực bán dẫn theo đặt hàng doanh nghiệp FDI</w:t>
      </w:r>
    </w:p>
    <w:p>
      <w:pPr>
        <w:pStyle w:val="ListBullet"/>
        <w:spacing w:before="20" w:after="20"/>
      </w:pPr>
      <w:r>
        <w:rPr>
          <w:sz w:val="21"/>
        </w:rPr>
        <w:t>Đẩy nhanh tiến độ hoàn thiện hạ tầng điện – nước tại Khu mở rộng phía Đông, dự kiến Q3/2026</w:t>
      </w:r>
    </w:p>
    <w:p/>
    <w:p>
      <w:pPr>
        <w:spacing w:before="240" w:after="120"/>
        <w:shd w:val="clear" w:color="auto" w:fill="2E75B6"/>
      </w:pPr>
      <w:r>
        <w:rPr>
          <w:b/>
          <w:color w:val="FFFFFF"/>
          <w:sz w:val="24"/>
        </w:rPr>
        <w:t xml:space="preserve">  VII. KẾ HOẠCH HÀNH ĐỘNG THÁNG 5/2026</w:t>
      </w:r>
    </w:p>
    <w:p>
      <w:pPr>
        <w:spacing w:before="40" w:after="80"/>
      </w:pPr>
      <w:r>
        <w:rPr>
          <w:i/>
          <w:color w:val="1A376E"/>
          <w:sz w:val="20"/>
        </w:rPr>
        <w:t xml:space="preserve">    Action Plan — May 2026</w:t>
      </w:r>
    </w:p>
    <w:p/>
    <w:p>
      <w:pPr>
        <w:spacing w:after="60"/>
      </w:pPr>
      <w:r>
        <w:rPr>
          <w:b/>
          <w:color w:val="1A376E"/>
          <w:sz w:val="21"/>
        </w:rPr>
        <w:t>Hoạt động trọng tâm: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Hoạt động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Roadshow Seoul 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20/05/2026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 cuộc gặp mới, tập trung điện tử &amp; bán dẫn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Phối hợp KOTRA &amp; KCCI</w:t>
            </w:r>
          </w:p>
        </w:tc>
      </w:tr>
      <w:tr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Follow-up 5 công ty đàm phán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01–15/05/2026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Đẩy ít nhất 2 công ty sang ký LOI/MOU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KST, Nippon, TSMC Supplier ưu tiên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Gặp gỡ 15 leads từ Hội nghị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Tuần 1–2/5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Phân loại, xác định 5 leads tiềm năng nhất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Gửi proposal trước 10/05</w:t>
            </w:r>
          </w:p>
        </w:tc>
      </w:tr>
      <w:tr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Họp nội bộ rà soát pipeline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30/05/2026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Cập nhật trạng thái 12 công ty trong pipeline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Chuẩn bị báo cáo tháng 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Xuất bản tài liệu tiếng Đức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Cuối tháng 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Bộ tài liệu KCN tiếng Đức hoàn chỉnh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Giao phòng Truyền thông thực hiện</w:t>
            </w:r>
          </w:p>
        </w:tc>
      </w:tr>
      <w:tr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Matchmaking JETRO (B2B)</w:t>
            </w:r>
          </w:p>
        </w:tc>
        <w:tc>
          <w:tcPr>
            <w:tcW w:type="dxa" w:w="1701"/>
            <w:shd w:val="clear" w:color="auto" w:fill="DEEBF7"/>
          </w:tcPr>
          <w:p>
            <w:r>
              <w:rPr>
                <w:sz w:val="18"/>
              </w:rPr>
              <w:t>Dự kiến 12/06</w:t>
            </w:r>
          </w:p>
        </w:tc>
        <w:tc>
          <w:tcPr>
            <w:tcW w:type="dxa" w:w="3402"/>
            <w:shd w:val="clear" w:color="auto" w:fill="DEEBF7"/>
          </w:tcPr>
          <w:p>
            <w:r>
              <w:rPr>
                <w:sz w:val="18"/>
              </w:rPr>
              <w:t>Kết nối 10 DN Nhật với các đối tác nội địa</w:t>
            </w:r>
          </w:p>
        </w:tc>
        <w:tc>
          <w:tcPr>
            <w:tcW w:type="dxa" w:w="2551"/>
            <w:shd w:val="clear" w:color="auto" w:fill="DEEBF7"/>
          </w:tcPr>
          <w:p>
            <w:r>
              <w:rPr>
                <w:sz w:val="18"/>
              </w:rPr>
              <w:t>Xác nhận danh sách trước 20/05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  <w:sz w:val="20"/>
              </w:rPr>
              <w:t>Người lập báo cáo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  <w:sz w:val="20"/>
              </w:rPr>
              <w:t>Trưởng Ban Xúc tiến Đầu tư</w:t>
            </w:r>
          </w:p>
        </w:tc>
      </w:tr>
      <w:tr>
        <w:tc>
          <w:tcPr>
            <w:tcW w:type="dxa" w:w="4677"/>
          </w:tcPr>
          <w:p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i/>
                <w:sz w:val="18"/>
              </w:rPr>
              <w:t>(Ký, đóng dấu)</w:t>
            </w:r>
          </w:p>
        </w:tc>
      </w:tr>
      <w:tr>
        <w:tc>
          <w:tcPr>
            <w:tcW w:type="dxa" w:w="4677"/>
          </w:tcPr>
          <w:p>
            <w:r>
              <w:br/>
              <w:br/>
            </w:r>
          </w:p>
        </w:tc>
        <w:tc>
          <w:tcPr>
            <w:tcW w:type="dxa" w:w="4677"/>
          </w:tcPr>
          <w:p>
            <w:r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