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BECAMEX IDC — KHU CÔNG NGHIỆP</w:t>
      </w:r>
    </w:p>
    <w:p>
      <w:pPr>
        <w:jc w:val="center"/>
      </w:pPr>
      <w:r>
        <w:rPr>
          <w:b/>
          <w:color w:val="1F4E79"/>
          <w:sz w:val="32"/>
        </w:rPr>
        <w:t>BÁO CÁO HOẠT ĐỘNG XÚC TIẾN ĐẦU TƯ TUẦN</w:t>
      </w:r>
    </w:p>
    <w:p>
      <w:pPr>
        <w:jc w:val="center"/>
      </w:pPr>
      <w:r>
        <w:rPr>
          <w:sz w:val="22"/>
        </w:rPr>
        <w:t xml:space="preserve">Kỳ báo cáo: </w:t>
      </w:r>
      <w:r>
        <w:rPr>
          <w:b/>
          <w:color w:val="2E75B6"/>
          <w:sz w:val="22"/>
        </w:rPr>
        <w:t>Tuần 19, 05/05 – 09/05/2026</w:t>
      </w:r>
    </w:p>
    <w:p>
      <w:pPr>
        <w:jc w:val="center"/>
      </w:pPr>
      <w:r>
        <w:rPr>
          <w:sz w:val="20"/>
        </w:rPr>
        <w:t>Ngày lập: 09/05/2026</w:t>
      </w:r>
    </w:p>
    <w:p/>
    <w:p>
      <w:pPr>
        <w:spacing w:before="240" w:after="80"/>
      </w:pPr>
      <w:r>
        <w:rPr>
          <w:b/>
          <w:color w:val="1F4E79"/>
          <w:sz w:val="26"/>
        </w:rPr>
        <w:t>I. TÓM TẮT ĐIỀU HÀNH</w:t>
      </w:r>
    </w:p>
    <w:p>
      <w:r>
        <w:rPr>
          <w:b/>
        </w:rPr>
        <w:t>Số liệu nhanh trong tuần:</w:t>
      </w:r>
    </w:p>
    <w:p>
      <w:pPr>
        <w:pStyle w:val="ListBullet"/>
      </w:pPr>
      <w:r>
        <w:rPr>
          <w:sz w:val="22"/>
        </w:rPr>
        <w:t>Số cuộc gặp nhà đầu tư tiềm năng: 1 (Hyundai Engineering — site visit)</w:t>
      </w:r>
    </w:p>
    <w:p>
      <w:pPr>
        <w:pStyle w:val="ListBullet"/>
      </w:pPr>
      <w:r>
        <w:rPr>
          <w:sz w:val="22"/>
        </w:rPr>
        <w:t>Số hoạt động phòng thương mại/hiệp hội: 0 (Không có trong tuần)</w:t>
      </w:r>
    </w:p>
    <w:p>
      <w:pPr>
        <w:pStyle w:val="ListBullet"/>
      </w:pPr>
      <w:r>
        <w:rPr>
          <w:sz w:val="22"/>
        </w:rPr>
        <w:t>Số sự kiện tham dự/tổ chức: 1 (Vietnam Investment Forum 2026 — vai trò diễn giả)</w:t>
      </w:r>
    </w:p>
    <w:p>
      <w:pPr>
        <w:pStyle w:val="ListBullet"/>
      </w:pPr>
      <w:r>
        <w:rPr>
          <w:sz w:val="22"/>
        </w:rPr>
        <w:t>Follow-up proposals gửi đi: 4 công ty</w:t>
      </w:r>
    </w:p>
    <w:p>
      <w:r>
        <w:rPr>
          <w:b/>
        </w:rPr>
        <w:t>Điểm nổi bật:</w:t>
      </w:r>
    </w:p>
    <w:p>
      <w:pPr>
        <w:pStyle w:val="ListBullet"/>
      </w:pPr>
      <w:r>
        <w:rPr>
          <w:sz w:val="22"/>
        </w:rPr>
        <w:t>Hyundai Engineering (Hàn Quốc) site visit kết quả tích cực — xác nhận sẽ làm LOI. Trạng thái: Chờ quyết định.</w:t>
      </w:r>
    </w:p>
    <w:p>
      <w:pPr>
        <w:pStyle w:val="ListBullet"/>
      </w:pPr>
      <w:r>
        <w:rPr>
          <w:sz w:val="22"/>
        </w:rPr>
        <w:t>Tham dự Vietnam Investment Forum 2026 tại TP.HCM với vai trò diễn giả — thu 8 business cards từ nhà đầu tư tiềm năng.</w:t>
      </w:r>
    </w:p>
    <w:p>
      <w:pPr>
        <w:pStyle w:val="ListBullet"/>
      </w:pPr>
      <w:r>
        <w:rPr>
          <w:sz w:val="22"/>
        </w:rPr>
        <w:t>Gửi proposal đến 4 công ty đang trong pipeline.</w:t>
      </w:r>
    </w:p>
    <w:p>
      <w:pPr>
        <w:spacing w:before="240" w:after="80"/>
      </w:pPr>
      <w:r>
        <w:rPr>
          <w:b/>
          <w:color w:val="1F4E79"/>
          <w:sz w:val="26"/>
        </w:rPr>
        <w:t>II. GẶP GỠ NHÀ ĐẦU TƯ TIỀM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type="dxa" w:w="13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Tên công ty</w:t>
            </w:r>
          </w:p>
        </w:tc>
        <w:tc>
          <w:tcPr>
            <w:tcW w:type="dxa" w:w="13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Quốc gia</w:t>
            </w:r>
          </w:p>
        </w:tc>
        <w:tc>
          <w:tcPr>
            <w:tcW w:type="dxa" w:w="13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Ngành</w:t>
            </w:r>
          </w:p>
        </w:tc>
        <w:tc>
          <w:tcPr>
            <w:tcW w:type="dxa" w:w="13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Hình thức</w:t>
            </w:r>
          </w:p>
        </w:tc>
        <w:tc>
          <w:tcPr>
            <w:tcW w:type="dxa" w:w="13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Trạng thái pipeline</w:t>
            </w:r>
          </w:p>
        </w:tc>
        <w:tc>
          <w:tcPr>
            <w:tcW w:type="dxa" w:w="13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Người phụ trách</w:t>
            </w:r>
          </w:p>
        </w:tc>
      </w:tr>
      <w:tr>
        <w:tc>
          <w:tcPr>
            <w:tcW w:type="dxa" w:w="1384"/>
            <w:shd w:val="clear" w:color="auto" w:fill="D6E4F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18"/>
              </w:rPr>
              <w:t>Hyundai Engineering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18"/>
              </w:rPr>
              <w:t>Hàn Quốc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18"/>
              </w:rPr>
              <w:t>Xây dựng / Hạ tầng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18"/>
              </w:rPr>
              <w:t>Site visit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18"/>
              </w:rPr>
              <w:t>Chờ quyết định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18"/>
              </w:rPr>
              <w:t>[Cần bổ sung]</w:t>
            </w:r>
          </w:p>
        </w:tc>
      </w:tr>
    </w:tbl>
    <w:p/>
    <w:p>
      <w:r>
        <w:rPr>
          <w:b/>
          <w:color w:val="2E75B6"/>
          <w:sz w:val="22"/>
        </w:rPr>
        <w:t>Chi tiết — Hyundai Engineering</w:t>
      </w:r>
    </w:p>
    <w:p>
      <w:pPr>
        <w:pStyle w:val="ListBullet"/>
      </w:pPr>
      <w:r>
        <w:rPr>
          <w:sz w:val="22"/>
        </w:rPr>
        <w:t>Ngành / Quy mô: Xây dựng khu nhà ở công nhân tại khu công nghiệp Becamex</w:t>
      </w:r>
    </w:p>
    <w:p>
      <w:pPr>
        <w:pStyle w:val="ListBullet"/>
      </w:pPr>
      <w:r>
        <w:rPr>
          <w:sz w:val="22"/>
        </w:rPr>
        <w:t>Nội dung: Site visit tại khu vực đề xuất — phía Hyundai Engineering đánh giá tích cực về hạ tầng và vị trí</w:t>
      </w:r>
    </w:p>
    <w:p>
      <w:pPr>
        <w:pStyle w:val="ListBullet"/>
      </w:pPr>
      <w:r>
        <w:rPr>
          <w:sz w:val="22"/>
        </w:rPr>
        <w:t>Kết quả: Xác nhận sẽ ký LOI (Letter of Intent) — chờ phê duyệt nội bộ</w:t>
      </w:r>
    </w:p>
    <w:p>
      <w:pPr>
        <w:pStyle w:val="ListBullet"/>
      </w:pPr>
      <w:r>
        <w:rPr>
          <w:sz w:val="22"/>
        </w:rPr>
        <w:t>Bước tiếp theo: Soạn thảo LOI và gửi cho Hyundai Engineering để xem xét — Deadline: [Cần bổ sung]</w:t>
      </w:r>
    </w:p>
    <w:p>
      <w:pPr>
        <w:spacing w:before="240" w:after="80"/>
      </w:pPr>
      <w:r>
        <w:rPr>
          <w:b/>
          <w:color w:val="1F4E79"/>
          <w:sz w:val="26"/>
        </w:rPr>
        <w:t>III. HOẠT ĐỘNG PHÒNG THƯƠNG MẠI &amp; HIỆP HỘI</w:t>
      </w:r>
    </w:p>
    <w:p>
      <w:r>
        <w:rPr>
          <w:i/>
          <w:color w:val="595959"/>
          <w:sz w:val="22"/>
        </w:rPr>
        <w:t>Không có hoạt động phòng thương mại hoặc hiệp hội ngành nghề trong Tuần 19.</w:t>
      </w:r>
    </w:p>
    <w:p>
      <w:r>
        <w:rPr>
          <w:sz w:val="22"/>
        </w:rPr>
        <w:t xml:space="preserve">Lịch dự kiến gần nhất: </w:t>
      </w:r>
      <w:r>
        <w:rPr>
          <w:sz w:val="22"/>
        </w:rPr>
        <w:t>[Cần bổ sung — xem kế hoạch tuần 20]</w:t>
      </w:r>
    </w:p>
    <w:p>
      <w:pPr>
        <w:spacing w:before="240" w:after="80"/>
      </w:pPr>
      <w:r>
        <w:rPr>
          <w:b/>
          <w:color w:val="1F4E79"/>
          <w:sz w:val="26"/>
        </w:rPr>
        <w:t>IV. SỰ KIỆN XÚC TIẾN ĐẦU TƯ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Tên sự kiện</w:t>
            </w:r>
          </w:p>
        </w:tc>
        <w:tc>
          <w:tcPr>
            <w:tcW w:type="dxa" w:w="193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Địa điểm</w:t>
            </w:r>
          </w:p>
        </w:tc>
        <w:tc>
          <w:tcPr>
            <w:tcW w:type="dxa" w:w="193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Vai trò Becamex</w:t>
            </w:r>
          </w:p>
        </w:tc>
        <w:tc>
          <w:tcPr>
            <w:tcW w:type="dxa" w:w="193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Số contacts</w:t>
            </w:r>
          </w:p>
        </w:tc>
        <w:tc>
          <w:tcPr>
            <w:tcW w:type="dxa" w:w="193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Leads tiềm năng</w:t>
            </w:r>
          </w:p>
        </w:tc>
      </w:tr>
      <w:tr>
        <w:tc>
          <w:tcPr>
            <w:tcW w:type="dxa" w:w="1938"/>
            <w:shd w:val="clear" w:color="auto" w:fill="D6E4F0"/>
          </w:tcPr>
          <w:p>
            <w:r/>
            <w:r>
              <w:rPr>
                <w:sz w:val="18"/>
              </w:rPr>
              <w:t>Vietnam Investment Forum 2026</w:t>
            </w:r>
          </w:p>
        </w:tc>
        <w:tc>
          <w:tcPr>
            <w:tcW w:type="dxa" w:w="1938"/>
            <w:shd w:val="clear" w:color="auto" w:fill="D6E4F0"/>
          </w:tcPr>
          <w:p>
            <w:r/>
            <w:r>
              <w:rPr>
                <w:sz w:val="18"/>
              </w:rPr>
              <w:t>TP. Hồ Chí Minh</w:t>
            </w:r>
          </w:p>
        </w:tc>
        <w:tc>
          <w:tcPr>
            <w:tcW w:type="dxa" w:w="1938"/>
            <w:shd w:val="clear" w:color="auto" w:fill="D6E4F0"/>
          </w:tcPr>
          <w:p>
            <w:r/>
            <w:r>
              <w:rPr>
                <w:sz w:val="18"/>
              </w:rPr>
              <w:t>Tham dự (Diễn giả)</w:t>
            </w:r>
          </w:p>
        </w:tc>
        <w:tc>
          <w:tcPr>
            <w:tcW w:type="dxa" w:w="1938"/>
            <w:shd w:val="clear" w:color="auto" w:fill="D6E4F0"/>
          </w:tcPr>
          <w:p>
            <w:r/>
            <w:r>
              <w:rPr>
                <w:sz w:val="18"/>
              </w:rPr>
              <w:t>8 business cards</w:t>
            </w:r>
          </w:p>
        </w:tc>
        <w:tc>
          <w:tcPr>
            <w:tcW w:type="dxa" w:w="1938"/>
            <w:shd w:val="clear" w:color="auto" w:fill="D6E4F0"/>
          </w:tcPr>
          <w:p>
            <w:r/>
            <w:r>
              <w:rPr>
                <w:sz w:val="18"/>
              </w:rPr>
              <w:t>[Cần theo dõi — 8 contacts từ sự kiện]</w:t>
            </w:r>
          </w:p>
        </w:tc>
      </w:tr>
    </w:tbl>
    <w:p/>
    <w:p>
      <w:pPr>
        <w:pStyle w:val="ListBullet"/>
      </w:pPr>
      <w:r>
        <w:rPr>
          <w:sz w:val="22"/>
        </w:rPr>
        <w:t>Ngày: 07/05/2026 | Sự kiện có quy mô quốc gia, nhiều nhà đầu tư nước ngoài tham dự</w:t>
      </w:r>
    </w:p>
    <w:p>
      <w:pPr>
        <w:pStyle w:val="ListBullet"/>
      </w:pPr>
      <w:r>
        <w:rPr>
          <w:sz w:val="22"/>
        </w:rPr>
        <w:t>Becamex đóng vai trò diễn giả — cơ hội tốt để quảng bá khu công nghiệp</w:t>
      </w:r>
    </w:p>
    <w:p>
      <w:pPr>
        <w:pStyle w:val="ListBullet"/>
      </w:pPr>
      <w:r>
        <w:rPr>
          <w:sz w:val="22"/>
        </w:rPr>
        <w:t>8 business cards thu được — cần follow-up trong tuần 20</w:t>
      </w:r>
    </w:p>
    <w:p>
      <w:pPr>
        <w:spacing w:before="240" w:after="80"/>
      </w:pPr>
      <w:r>
        <w:rPr>
          <w:b/>
          <w:color w:val="1F4E79"/>
          <w:sz w:val="26"/>
        </w:rPr>
        <w:t>V. KẾ HOẠCH TUẦN TỚI (Tuần 20, 12/05–16/05/2026)</w:t>
      </w:r>
    </w:p>
    <w:p>
      <w:r>
        <w:rPr>
          <w:b/>
        </w:rPr>
        <w:t>Ưu tiên:</w:t>
      </w:r>
    </w:p>
    <w:p>
      <w:pPr>
        <w:pStyle w:val="ListBullet"/>
      </w:pPr>
      <w:r>
        <w:rPr>
          <w:sz w:val="22"/>
        </w:rPr>
        <w:t>Soạn thảo và gửi LOI cho Hyundai Engineering</w:t>
      </w:r>
    </w:p>
    <w:p>
      <w:pPr>
        <w:pStyle w:val="ListBullet"/>
      </w:pPr>
      <w:r>
        <w:rPr>
          <w:sz w:val="22"/>
        </w:rPr>
        <w:t>Follow-up 8 contacts từ Vietnam Investment Forum 2026</w:t>
      </w:r>
    </w:p>
    <w:p>
      <w:pPr>
        <w:pStyle w:val="ListBullet"/>
      </w:pPr>
      <w:r>
        <w:rPr>
          <w:sz w:val="22"/>
        </w:rPr>
        <w:t>Theo dõi phản hồi proposals đã gửi cho 4 công ty trong tuần 19</w:t>
      </w:r>
    </w:p>
    <w:p>
      <w:r>
        <w:rPr>
          <w:b/>
        </w:rPr>
        <w:t>Sự kiện:</w:t>
      </w:r>
    </w:p>
    <w:p>
      <w:pPr>
        <w:pStyle w:val="ListBullet"/>
      </w:pPr>
      <w:r>
        <w:rPr>
          <w:sz w:val="22"/>
        </w:rPr>
        <w:t>[Cần bổ sung — kiểm tra lịch sự kiện tháng 5]</w:t>
      </w:r>
    </w:p>
    <w:p>
      <w:r>
        <w:rPr>
          <w:b/>
        </w:rPr>
        <w:t>Hoạt động phòng thương mại:</w:t>
      </w:r>
    </w:p>
    <w:p>
      <w:pPr>
        <w:pStyle w:val="ListBullet"/>
      </w:pPr>
      <w:r>
        <w:rPr>
          <w:sz w:val="22"/>
        </w:rPr>
        <w:t>[Cần bổ sung — xem lịch KCCI, KOCHAM, JETRO tháng 5]</w:t>
      </w:r>
    </w:p>
    <w:p/>
    <w:p>
      <w:pPr>
        <w:jc w:val="center"/>
      </w:pPr>
      <w:r>
        <w:rPr>
          <w:color w:val="595959"/>
          <w:sz w:val="18"/>
        </w:rPr>
        <w:t>Người lập: _____________      Ngày lập: 09/05/2026      Phân phối: Ban lãnh đạo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