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ascii="Times New Roman" w:hAnsi="Times New Roman" w:eastAsia="Times New Roman" w:cs="Times New Roman"/>
          <w:sz w:val="48"/>
          <w:szCs w:val="48"/>
          <w:lang w:val="pl-PL"/>
        </w:rPr>
      </w:pPr>
      <w:r>
        <w:rPr>
          <w:rFonts w:ascii="Times New Roman" w:hAnsi="Times New Roman" w:eastAsia="Times New Roman" w:cs="Times New Roman"/>
          <w:sz w:val="48"/>
          <w:szCs w:val="48"/>
          <w:lang w:val="pl-PL"/>
        </w:rPr>
        <w:t>Akademia Górniczo-Hutnicza</w:t>
      </w:r>
    </w:p>
    <w:p>
      <w:pPr>
        <w:bidi w:val="0"/>
        <w:jc w:val="center"/>
        <w:rPr>
          <w:rFonts w:ascii="Times New Roman" w:hAnsi="Times New Roman" w:eastAsia="Times New Roman" w:cs="Times New Roman"/>
          <w:sz w:val="32"/>
          <w:szCs w:val="32"/>
          <w:lang w:val="pl-PL"/>
        </w:rPr>
      </w:pPr>
      <w:r>
        <w:rPr>
          <w:rFonts w:ascii="Times New Roman" w:hAnsi="Times New Roman" w:eastAsia="Times New Roman" w:cs="Times New Roman"/>
          <w:sz w:val="32"/>
          <w:szCs w:val="32"/>
          <w:lang w:val="pl-PL"/>
        </w:rPr>
        <w:t>im. Stanisława Staszica w Krakowie</w:t>
      </w:r>
    </w:p>
    <w:p>
      <w:pPr>
        <w:bidi w:val="0"/>
      </w:pPr>
      <w:r>
        <w:rPr>
          <w:rFonts w:ascii="Calibri" w:hAnsi="Calibri" w:eastAsia="Calibri" w:cs="Calibri"/>
          <w:sz w:val="22"/>
          <w:szCs w:val="22"/>
          <w:lang w:val="pl-PL"/>
        </w:rPr>
        <w:t xml:space="preserve"> </w:t>
      </w:r>
    </w:p>
    <w:p>
      <w:pPr>
        <w:bidi w:val="0"/>
        <w:jc w:val="center"/>
        <w:rPr>
          <w:rFonts w:ascii="Times New Roman" w:hAnsi="Times New Roman" w:eastAsia="Times New Roman" w:cs="Times New Roman"/>
          <w:sz w:val="32"/>
          <w:szCs w:val="32"/>
          <w:lang w:val="pl-PL"/>
        </w:rPr>
      </w:pPr>
      <w:r>
        <w:rPr>
          <w:rFonts w:ascii="Times New Roman" w:hAnsi="Times New Roman" w:eastAsia="Times New Roman" w:cs="Times New Roman"/>
          <w:sz w:val="32"/>
          <w:szCs w:val="32"/>
          <w:lang w:val="pl-PL"/>
        </w:rPr>
        <w:t>Wydział Informatyki, Elektroniki i Telekomunikacji</w:t>
      </w:r>
    </w:p>
    <w:p>
      <w:pPr>
        <w:bidi w:val="0"/>
        <w:jc w:val="center"/>
      </w:pPr>
      <w:r>
        <w:rPr>
          <w:rFonts w:ascii="Calibri" w:hAnsi="Calibri" w:eastAsia="Calibri" w:cs="Calibri"/>
          <w:sz w:val="22"/>
          <w:szCs w:val="22"/>
          <w:lang w:val="pl-PL"/>
        </w:rPr>
        <w:t xml:space="preserve"> </w:t>
      </w:r>
    </w:p>
    <w:p>
      <w:pPr>
        <w:bidi w:val="0"/>
        <w:jc w:val="center"/>
        <w:rPr>
          <w:rFonts w:ascii="Times New Roman" w:hAnsi="Times New Roman" w:eastAsia="Times New Roman" w:cs="Times New Roman"/>
          <w:sz w:val="32"/>
          <w:szCs w:val="32"/>
          <w:lang w:val="pl-PL"/>
        </w:rPr>
      </w:pPr>
      <w:r>
        <w:rPr>
          <w:rFonts w:ascii="Times New Roman" w:hAnsi="Times New Roman" w:eastAsia="Times New Roman" w:cs="Times New Roman"/>
          <w:sz w:val="32"/>
          <w:szCs w:val="32"/>
          <w:lang w:val="pl-PL"/>
        </w:rPr>
        <w:t>Katedra Informatyki</w:t>
      </w:r>
    </w:p>
    <w:p>
      <w:pPr>
        <w:bidi w:val="0"/>
        <w:jc w:val="center"/>
      </w:pPr>
      <w:r>
        <w:drawing>
          <wp:inline distT="0" distB="0" distL="114300" distR="114300">
            <wp:extent cx="2618740" cy="3611880"/>
            <wp:effectExtent l="0" t="0" r="0" b="0"/>
            <wp:docPr id="759611122" name="Obraz 7596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11122" name="Obraz 75961112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18927" cy="3612313"/>
                    </a:xfrm>
                    <a:prstGeom prst="rect">
                      <a:avLst/>
                    </a:prstGeom>
                  </pic:spPr>
                </pic:pic>
              </a:graphicData>
            </a:graphic>
          </wp:inline>
        </w:drawing>
      </w:r>
    </w:p>
    <w:p>
      <w:pPr>
        <w:bidi w:val="0"/>
        <w:jc w:val="center"/>
        <w:rPr>
          <w:rFonts w:ascii="Times New Roman" w:hAnsi="Times New Roman" w:eastAsia="Times New Roman" w:cs="Times New Roman"/>
          <w:b/>
          <w:bCs/>
          <w:i/>
          <w:iCs/>
          <w:sz w:val="48"/>
          <w:szCs w:val="48"/>
          <w:u w:val="single"/>
          <w:lang w:val="pl-PL"/>
        </w:rPr>
      </w:pPr>
      <w:r>
        <w:rPr>
          <w:rFonts w:ascii="Times New Roman" w:hAnsi="Times New Roman" w:eastAsia="Times New Roman" w:cs="Times New Roman"/>
          <w:b/>
          <w:bCs/>
          <w:i/>
          <w:iCs/>
          <w:sz w:val="48"/>
          <w:szCs w:val="48"/>
          <w:u w:val="single"/>
          <w:lang w:val="pl-PL"/>
        </w:rPr>
        <w:t>Projekt dyplomowy</w:t>
      </w:r>
    </w:p>
    <w:p>
      <w:pPr>
        <w:pStyle w:val="8"/>
        <w:bidi w:val="0"/>
        <w:jc w:val="center"/>
        <w:rPr>
          <w:i/>
          <w:iCs/>
          <w:sz w:val="40"/>
          <w:szCs w:val="40"/>
        </w:rPr>
      </w:pPr>
      <w:r>
        <w:rPr>
          <w:i/>
          <w:iCs/>
          <w:sz w:val="40"/>
          <w:szCs w:val="40"/>
        </w:rPr>
        <w:t xml:space="preserve">Analiza wpływu </w:t>
      </w:r>
      <w:r>
        <w:rPr>
          <w:i/>
          <w:iCs/>
          <w:sz w:val="40"/>
          <w:szCs w:val="40"/>
          <w:lang w:val="pl-PL"/>
        </w:rPr>
        <w:t>twittów</w:t>
      </w:r>
      <w:r>
        <w:rPr>
          <w:i/>
          <w:iCs/>
          <w:sz w:val="40"/>
          <w:szCs w:val="40"/>
        </w:rPr>
        <w:t xml:space="preserve"> na kurs akcji </w:t>
      </w:r>
    </w:p>
    <w:p>
      <w:pPr>
        <w:bidi w:val="0"/>
        <w:jc w:val="center"/>
        <w:rPr>
          <w:b/>
          <w:bCs/>
          <w:i w:val="0"/>
          <w:iCs w:val="0"/>
          <w:sz w:val="32"/>
          <w:szCs w:val="32"/>
        </w:rPr>
      </w:pPr>
      <w:r>
        <w:rPr>
          <w:b/>
          <w:bCs/>
          <w:i w:val="0"/>
          <w:iCs w:val="0"/>
          <w:sz w:val="32"/>
          <w:szCs w:val="32"/>
        </w:rPr>
        <w:t>Marek Grzyb</w:t>
      </w:r>
    </w:p>
    <w:p>
      <w:pPr>
        <w:bidi w:val="0"/>
        <w:jc w:val="center"/>
        <w:rPr>
          <w:b/>
          <w:bCs/>
          <w:i w:val="0"/>
          <w:iCs w:val="0"/>
          <w:sz w:val="32"/>
          <w:szCs w:val="32"/>
        </w:rPr>
      </w:pPr>
    </w:p>
    <w:p>
      <w:pPr>
        <w:bidi w:val="0"/>
        <w:ind w:left="708"/>
        <w:jc w:val="right"/>
        <w:rPr>
          <w:rFonts w:ascii="Times New Roman" w:hAnsi="Times New Roman" w:eastAsia="Times New Roman" w:cs="Times New Roman"/>
          <w:b/>
          <w:bCs/>
          <w:sz w:val="28"/>
          <w:szCs w:val="28"/>
          <w:lang w:val="pl-PL"/>
        </w:rPr>
      </w:pPr>
      <w:r>
        <w:rPr>
          <w:rFonts w:ascii="Times New Roman" w:hAnsi="Times New Roman" w:eastAsia="Times New Roman" w:cs="Times New Roman"/>
          <w:b/>
          <w:bCs/>
          <w:sz w:val="28"/>
          <w:szCs w:val="28"/>
          <w:lang w:val="pl-PL"/>
        </w:rPr>
        <w:t>Opiekun Projektu: dr inż. Robert Marcjan</w:t>
      </w:r>
    </w:p>
    <w:p>
      <w:pPr>
        <w:bidi w:val="0"/>
        <w:jc w:val="center"/>
        <w:rPr>
          <w:b/>
          <w:bCs/>
          <w:i w:val="0"/>
          <w:iCs w:val="0"/>
          <w:sz w:val="32"/>
          <w:szCs w:val="32"/>
        </w:rPr>
      </w:pPr>
    </w:p>
    <w:p>
      <w:pPr>
        <w:bidi w:val="0"/>
        <w:jc w:val="center"/>
        <w:rPr>
          <w:rFonts w:ascii="Times New Roman" w:hAnsi="Times New Roman" w:eastAsia="Times New Roman" w:cs="Times New Roman"/>
          <w:b/>
          <w:bCs/>
          <w:sz w:val="28"/>
          <w:szCs w:val="28"/>
          <w:lang w:val="pl-PL"/>
        </w:rPr>
      </w:pPr>
      <w:r>
        <w:rPr>
          <w:rFonts w:ascii="Times New Roman" w:hAnsi="Times New Roman" w:eastAsia="Times New Roman" w:cs="Times New Roman"/>
          <w:b/>
          <w:bCs/>
          <w:sz w:val="28"/>
          <w:szCs w:val="28"/>
          <w:lang w:val="pl-PL"/>
        </w:rPr>
        <w:t>Kraków 2019</w:t>
      </w:r>
    </w:p>
    <w:p>
      <w:pPr>
        <w:bidi w:val="0"/>
      </w:pPr>
    </w:p>
    <w:p>
      <w:pPr>
        <w:bidi w:val="0"/>
      </w:pPr>
    </w:p>
    <w:sdt>
      <w:sdtPr>
        <w:rPr>
          <w:lang w:val="pl-PL" w:eastAsia="en-US"/>
        </w:rPr>
        <w:id w:val="147453352"/>
        <w:docPartObj>
          <w:docPartGallery w:val="Table of Contents"/>
          <w:docPartUnique/>
        </w:docPartObj>
      </w:sdtPr>
      <w:sdtEndPr>
        <w:rPr>
          <w:rFonts w:asciiTheme="minorHAnsi" w:hAnsiTheme="minorHAnsi" w:eastAsiaTheme="minorHAnsi" w:cstheme="minorBidi"/>
          <w:sz w:val="20"/>
          <w:szCs w:val="20"/>
        </w:rPr>
      </w:sdtEndPr>
      <w:sdtContent>
        <w:p>
          <w:pPr>
            <w:pStyle w:val="2"/>
          </w:pPr>
          <w:bookmarkStart w:id="0" w:name="_Toc9982_WPSOffice_Type3"/>
          <w:r>
            <w:t>Spis 
treści</w:t>
          </w:r>
          <w:bookmarkStart w:id="31" w:name="_GoBack"/>
          <w:bookmarkEnd w:id="31"/>
        </w:p>
        <w:p>
          <w:pPr>
            <w:pStyle w:val="19"/>
            <w:tabs>
              <w:tab w:val="right" w:leader="dot" w:pos="9026"/>
            </w:tabs>
          </w:pPr>
          <w:r>
            <w:fldChar w:fldCharType="begin"/>
          </w:r>
          <w:r>
            <w:instrText xml:space="preserve"> HYPERLINK \l _Toc4468_WPSOffice_Level1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ce384b0c-73c6-463f-ab86-eecd53e87399}"/>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1. Wstęp</w:t>
              </w:r>
            </w:sdtContent>
          </w:sdt>
          <w:r>
            <w:tab/>
          </w:r>
          <w:bookmarkStart w:id="1" w:name="_Toc4468_WPSOffice_Level1Page"/>
          <w:r>
            <w:t>1</w:t>
          </w:r>
          <w:bookmarkEnd w:id="1"/>
          <w:r>
            <w:fldChar w:fldCharType="end"/>
          </w:r>
        </w:p>
        <w:p>
          <w:pPr>
            <w:pStyle w:val="19"/>
            <w:tabs>
              <w:tab w:val="right" w:leader="dot" w:pos="9026"/>
            </w:tabs>
          </w:pPr>
          <w:r>
            <w:fldChar w:fldCharType="begin"/>
          </w:r>
          <w:r>
            <w:instrText xml:space="preserve"> HYPERLINK \l _Toc9982_WPSOffice_Level1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648050e0-f243-414f-92f4-6a72c32e57be}"/>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2. Notowania spółek</w:t>
              </w:r>
            </w:sdtContent>
          </w:sdt>
          <w:r>
            <w:tab/>
          </w:r>
          <w:bookmarkStart w:id="2" w:name="_Toc9982_WPSOffice_Level1Page"/>
          <w:r>
            <w:t>2</w:t>
          </w:r>
          <w:bookmarkEnd w:id="2"/>
          <w:r>
            <w:fldChar w:fldCharType="end"/>
          </w:r>
        </w:p>
        <w:p>
          <w:pPr>
            <w:pStyle w:val="19"/>
            <w:tabs>
              <w:tab w:val="right" w:leader="dot" w:pos="9026"/>
            </w:tabs>
          </w:pPr>
          <w:r>
            <w:fldChar w:fldCharType="begin"/>
          </w:r>
          <w:r>
            <w:instrText xml:space="preserve"> HYPERLINK \l _Toc32481_WPSOffice_Level1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6cc509b6-d4b2-4884-926a-c541c82bfaf3}"/>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3. Twitter</w:t>
              </w:r>
            </w:sdtContent>
          </w:sdt>
          <w:r>
            <w:tab/>
          </w:r>
          <w:bookmarkStart w:id="3" w:name="_Toc32481_WPSOffice_Level1Page"/>
          <w:r>
            <w:t>3</w:t>
          </w:r>
          <w:bookmarkEnd w:id="3"/>
          <w:r>
            <w:fldChar w:fldCharType="end"/>
          </w:r>
        </w:p>
        <w:p>
          <w:pPr>
            <w:pStyle w:val="20"/>
            <w:tabs>
              <w:tab w:val="right" w:leader="dot" w:pos="9026"/>
            </w:tabs>
          </w:pPr>
          <w:r>
            <w:fldChar w:fldCharType="begin"/>
          </w:r>
          <w:r>
            <w:instrText xml:space="preserve"> HYPERLINK \l _Toc9982_WPSOffice_Level2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68914583-c10d-417c-b416-d3d6326dc173}"/>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3.1. </w:t>
              </w:r>
              <w:r>
                <w:rPr>
                  <w:rFonts w:asciiTheme="majorHAnsi" w:hAnsiTheme="majorHAnsi" w:eastAsiaTheme="majorEastAsia" w:cstheme="majorBidi"/>
                </w:rPr>
                <w:t>Konto deweloperskie</w:t>
              </w:r>
            </w:sdtContent>
          </w:sdt>
          <w:r>
            <w:tab/>
          </w:r>
          <w:bookmarkStart w:id="4" w:name="_Toc9982_WPSOffice_Level2Page"/>
          <w:r>
            <w:t>3</w:t>
          </w:r>
          <w:bookmarkEnd w:id="4"/>
          <w:r>
            <w:fldChar w:fldCharType="end"/>
          </w:r>
        </w:p>
        <w:p>
          <w:pPr>
            <w:pStyle w:val="20"/>
            <w:tabs>
              <w:tab w:val="right" w:leader="dot" w:pos="9026"/>
            </w:tabs>
          </w:pPr>
          <w:r>
            <w:fldChar w:fldCharType="begin"/>
          </w:r>
          <w:r>
            <w:instrText xml:space="preserve"> HYPERLINK \l _Toc32481_WPSOffice_Level2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70ec6eba-f968-4cd0-b3e3-a36ac4e66b22}"/>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3.2. </w:t>
              </w:r>
              <w:r>
                <w:rPr>
                  <w:rFonts w:asciiTheme="majorHAnsi" w:hAnsiTheme="majorHAnsi" w:eastAsiaTheme="majorEastAsia" w:cstheme="majorBidi"/>
                </w:rPr>
                <w:t>Autoryzacja</w:t>
              </w:r>
            </w:sdtContent>
          </w:sdt>
          <w:r>
            <w:tab/>
          </w:r>
          <w:bookmarkStart w:id="5" w:name="_Toc32481_WPSOffice_Level2Page"/>
          <w:r>
            <w:t>4</w:t>
          </w:r>
          <w:bookmarkEnd w:id="5"/>
          <w:r>
            <w:fldChar w:fldCharType="end"/>
          </w:r>
        </w:p>
        <w:p>
          <w:pPr>
            <w:pStyle w:val="20"/>
            <w:tabs>
              <w:tab w:val="right" w:leader="dot" w:pos="9026"/>
            </w:tabs>
          </w:pPr>
          <w:r>
            <w:fldChar w:fldCharType="begin"/>
          </w:r>
          <w:r>
            <w:instrText xml:space="preserve"> HYPERLINK \l _Toc22624_WPSOffice_Level2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fad01bcf-eb05-47ad-a04d-ce1e979249f7}"/>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3.3. </w:t>
              </w:r>
              <w:r>
                <w:rPr>
                  <w:rFonts w:asciiTheme="majorHAnsi" w:hAnsiTheme="majorHAnsi" w:eastAsiaTheme="majorEastAsia" w:cstheme="majorBidi"/>
                </w:rPr>
                <w:t>Pobieranie twittów</w:t>
              </w:r>
            </w:sdtContent>
          </w:sdt>
          <w:r>
            <w:tab/>
          </w:r>
          <w:bookmarkStart w:id="6" w:name="_Toc22624_WPSOffice_Level2Page"/>
          <w:r>
            <w:t>4</w:t>
          </w:r>
          <w:bookmarkEnd w:id="6"/>
          <w:r>
            <w:fldChar w:fldCharType="end"/>
          </w:r>
        </w:p>
        <w:p>
          <w:pPr>
            <w:pStyle w:val="20"/>
            <w:tabs>
              <w:tab w:val="right" w:leader="dot" w:pos="9026"/>
            </w:tabs>
          </w:pPr>
          <w:r>
            <w:fldChar w:fldCharType="begin"/>
          </w:r>
          <w:r>
            <w:instrText xml:space="preserve"> HYPERLINK \l _Toc3164_WPSOffice_Level2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97979d61-24bf-47f8-91be-14eb9c4d844d}"/>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3.4. </w:t>
              </w:r>
              <w:r>
                <w:rPr>
                  <w:rFonts w:asciiTheme="majorHAnsi" w:hAnsiTheme="majorHAnsi" w:eastAsiaTheme="majorEastAsia" w:cstheme="majorBidi"/>
                </w:rPr>
                <w:t>Struktura wiadomości</w:t>
              </w:r>
            </w:sdtContent>
          </w:sdt>
          <w:r>
            <w:tab/>
          </w:r>
          <w:bookmarkStart w:id="7" w:name="_Toc3164_WPSOffice_Level2Page"/>
          <w:r>
            <w:t>5</w:t>
          </w:r>
          <w:bookmarkEnd w:id="7"/>
          <w:r>
            <w:fldChar w:fldCharType="end"/>
          </w:r>
        </w:p>
        <w:p>
          <w:pPr>
            <w:pStyle w:val="19"/>
            <w:tabs>
              <w:tab w:val="right" w:leader="dot" w:pos="9026"/>
            </w:tabs>
          </w:pPr>
          <w:r>
            <w:fldChar w:fldCharType="begin"/>
          </w:r>
          <w:r>
            <w:instrText xml:space="preserve"> HYPERLINK \l _Toc22624_WPSOffice_Level1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bb864d6c-a6e3-4a62-817f-c2bf6886ed5a}"/>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4. Przetwarzanie języka naturalnego</w:t>
              </w:r>
            </w:sdtContent>
          </w:sdt>
          <w:r>
            <w:tab/>
          </w:r>
          <w:bookmarkStart w:id="8" w:name="_Toc22624_WPSOffice_Level1Page"/>
          <w:r>
            <w:t>6</w:t>
          </w:r>
          <w:bookmarkEnd w:id="8"/>
          <w:r>
            <w:fldChar w:fldCharType="end"/>
          </w:r>
        </w:p>
        <w:p>
          <w:pPr>
            <w:pStyle w:val="19"/>
            <w:tabs>
              <w:tab w:val="right" w:leader="dot" w:pos="9026"/>
            </w:tabs>
          </w:pPr>
          <w:r>
            <w:fldChar w:fldCharType="begin"/>
          </w:r>
          <w:r>
            <w:instrText xml:space="preserve"> HYPERLINK \l _Toc3164_WPSOffice_Level1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bda1b170-5015-4ca0-882e-cc491592fd6d}"/>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5. Analiza</w:t>
              </w:r>
            </w:sdtContent>
          </w:sdt>
          <w:r>
            <w:tab/>
          </w:r>
          <w:bookmarkStart w:id="9" w:name="_Toc3164_WPSOffice_Level1Page"/>
          <w:r>
            <w:t>7</w:t>
          </w:r>
          <w:bookmarkEnd w:id="9"/>
          <w:r>
            <w:fldChar w:fldCharType="end"/>
          </w:r>
        </w:p>
        <w:p>
          <w:pPr>
            <w:pStyle w:val="20"/>
            <w:tabs>
              <w:tab w:val="right" w:leader="dot" w:pos="9026"/>
            </w:tabs>
          </w:pPr>
          <w:r>
            <w:fldChar w:fldCharType="begin"/>
          </w:r>
          <w:r>
            <w:instrText xml:space="preserve"> HYPERLINK \l _Toc17201_WPSOffice_Level2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60b8aba3-d60e-471b-bb79-ceae47b8d541}"/>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5.1. </w:t>
              </w:r>
              <w:r>
                <w:rPr>
                  <w:rFonts w:asciiTheme="majorHAnsi" w:hAnsiTheme="majorHAnsi" w:eastAsiaTheme="majorEastAsia" w:cstheme="majorBidi"/>
                </w:rPr>
                <w:t>Studium przepadku: PKN ORLEN</w:t>
              </w:r>
            </w:sdtContent>
          </w:sdt>
          <w:r>
            <w:tab/>
          </w:r>
          <w:bookmarkStart w:id="10" w:name="_Toc17201_WPSOffice_Level2Page"/>
          <w:r>
            <w:t>8</w:t>
          </w:r>
          <w:bookmarkEnd w:id="10"/>
          <w:r>
            <w:fldChar w:fldCharType="end"/>
          </w:r>
        </w:p>
        <w:p>
          <w:pPr>
            <w:pStyle w:val="20"/>
            <w:tabs>
              <w:tab w:val="right" w:leader="dot" w:pos="9026"/>
            </w:tabs>
          </w:pPr>
          <w:r>
            <w:fldChar w:fldCharType="begin"/>
          </w:r>
          <w:r>
            <w:instrText xml:space="preserve"> HYPERLINK \l _Toc10693_WPSOffice_Level2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7a02f737-26e4-431b-9808-77a040c18fd2}"/>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5.2. </w:t>
              </w:r>
              <w:r>
                <w:rPr>
                  <w:rFonts w:asciiTheme="majorHAnsi" w:hAnsiTheme="majorHAnsi" w:eastAsiaTheme="majorEastAsia" w:cstheme="majorBidi"/>
                </w:rPr>
                <w:t>Studium przepadku: CD PROJECT</w:t>
              </w:r>
            </w:sdtContent>
          </w:sdt>
          <w:r>
            <w:tab/>
          </w:r>
          <w:bookmarkStart w:id="11" w:name="_Toc10693_WPSOffice_Level2Page"/>
          <w:r>
            <w:t>9</w:t>
          </w:r>
          <w:bookmarkEnd w:id="11"/>
          <w:r>
            <w:fldChar w:fldCharType="end"/>
          </w:r>
        </w:p>
        <w:p>
          <w:pPr>
            <w:pStyle w:val="20"/>
            <w:tabs>
              <w:tab w:val="right" w:leader="dot" w:pos="9026"/>
            </w:tabs>
          </w:pPr>
          <w:r>
            <w:fldChar w:fldCharType="begin"/>
          </w:r>
          <w:r>
            <w:instrText xml:space="preserve"> HYPERLINK \l _Toc2691_WPSOffice_Level2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d5f3330a-f65a-4eb4-95b1-ee68d824756e}"/>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5.3. </w:t>
              </w:r>
              <w:r>
                <w:rPr>
                  <w:rFonts w:asciiTheme="majorHAnsi" w:hAnsiTheme="majorHAnsi" w:eastAsiaTheme="majorEastAsia" w:cstheme="majorBidi"/>
                </w:rPr>
                <w:t>Studium przepadku: GRUPA AZOTY</w:t>
              </w:r>
            </w:sdtContent>
          </w:sdt>
          <w:r>
            <w:tab/>
          </w:r>
          <w:bookmarkStart w:id="12" w:name="_Toc2691_WPSOffice_Level2Page"/>
          <w:r>
            <w:t>10</w:t>
          </w:r>
          <w:bookmarkEnd w:id="12"/>
          <w:r>
            <w:fldChar w:fldCharType="end"/>
          </w:r>
        </w:p>
        <w:p>
          <w:pPr>
            <w:pStyle w:val="20"/>
            <w:tabs>
              <w:tab w:val="right" w:leader="dot" w:pos="9026"/>
            </w:tabs>
          </w:pPr>
          <w:r>
            <w:fldChar w:fldCharType="begin"/>
          </w:r>
          <w:r>
            <w:instrText xml:space="preserve"> HYPERLINK \l _Toc18889_WPSOffice_Level2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757184b8-9023-433b-8fad-fc2e272c7d17}"/>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5.4. </w:t>
              </w:r>
              <w:r>
                <w:rPr>
                  <w:rFonts w:asciiTheme="majorHAnsi" w:hAnsiTheme="majorHAnsi" w:eastAsiaTheme="majorEastAsia" w:cstheme="majorBidi"/>
                </w:rPr>
                <w:t>Studium przepadku:  LPP</w:t>
              </w:r>
            </w:sdtContent>
          </w:sdt>
          <w:r>
            <w:tab/>
          </w:r>
          <w:bookmarkStart w:id="13" w:name="_Toc18889_WPSOffice_Level2Page"/>
          <w:r>
            <w:t>10</w:t>
          </w:r>
          <w:bookmarkEnd w:id="13"/>
          <w:r>
            <w:fldChar w:fldCharType="end"/>
          </w:r>
        </w:p>
        <w:p>
          <w:pPr>
            <w:pStyle w:val="20"/>
            <w:tabs>
              <w:tab w:val="right" w:leader="dot" w:pos="9026"/>
            </w:tabs>
          </w:pPr>
          <w:r>
            <w:fldChar w:fldCharType="begin"/>
          </w:r>
          <w:r>
            <w:instrText xml:space="preserve"> HYPERLINK \l _Toc19111_WPSOffice_Level2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b9a902b6-8c64-4b15-b370-2bc893a06a22}"/>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5.5. </w:t>
              </w:r>
              <w:r>
                <w:rPr>
                  <w:rFonts w:asciiTheme="majorHAnsi" w:hAnsiTheme="majorHAnsi" w:eastAsiaTheme="majorEastAsia" w:cstheme="majorBidi"/>
                </w:rPr>
                <w:t>Podsumowanie</w:t>
              </w:r>
            </w:sdtContent>
          </w:sdt>
          <w:r>
            <w:tab/>
          </w:r>
          <w:bookmarkStart w:id="14" w:name="_Toc19111_WPSOffice_Level2Page"/>
          <w:r>
            <w:t>11</w:t>
          </w:r>
          <w:bookmarkEnd w:id="14"/>
          <w:r>
            <w:fldChar w:fldCharType="end"/>
          </w:r>
        </w:p>
        <w:p>
          <w:pPr>
            <w:pStyle w:val="19"/>
            <w:tabs>
              <w:tab w:val="right" w:leader="dot" w:pos="9026"/>
            </w:tabs>
          </w:pPr>
          <w:r>
            <w:fldChar w:fldCharType="begin"/>
          </w:r>
          <w:r>
            <w:instrText xml:space="preserve"> HYPERLINK \l _Toc17201_WPSOffice_Level1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454f2050-2fff-4da1-bf8d-383e7c444272}"/>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6. Referencje</w:t>
              </w:r>
            </w:sdtContent>
          </w:sdt>
          <w:r>
            <w:tab/>
          </w:r>
          <w:bookmarkStart w:id="15" w:name="_Toc17201_WPSOffice_Level1Page"/>
          <w:r>
            <w:t>12</w:t>
          </w:r>
          <w:bookmarkEnd w:id="15"/>
          <w:r>
            <w:fldChar w:fldCharType="end"/>
          </w:r>
          <w:bookmarkEnd w:id="0"/>
        </w:p>
      </w:sdtContent>
    </w:sdt>
    <w:p>
      <w:pPr>
        <w:pStyle w:val="2"/>
        <w:bidi w:val="0"/>
        <w:sectPr>
          <w:headerReference r:id="rId3" w:type="default"/>
          <w:footerReference r:id="rId4" w:type="default"/>
          <w:pgSz w:w="11906" w:h="16838"/>
          <w:pgMar w:top="1440" w:right="1440" w:bottom="1440" w:left="1440" w:header="708" w:footer="708" w:gutter="0"/>
          <w:pgNumType w:fmt="decimal"/>
          <w:cols w:space="708" w:num="1"/>
          <w:docGrid w:linePitch="360" w:charSpace="0"/>
        </w:sectPr>
      </w:pPr>
    </w:p>
    <w:p>
      <w:pPr>
        <w:pStyle w:val="2"/>
        <w:numPr>
          <w:ilvl w:val="0"/>
          <w:numId w:val="1"/>
        </w:numPr>
      </w:pPr>
      <w:bookmarkStart w:id="16" w:name="_Toc4468_WPSOffice_Level1"/>
      <w:r>
        <w:t>Wstęp</w:t>
      </w:r>
      <w:bookmarkEnd w:id="16"/>
    </w:p>
    <w:p>
      <w:pPr>
        <w:bidi w:val="0"/>
      </w:pPr>
    </w:p>
    <w:p>
      <w:r>
        <w:t xml:space="preserve">Celem pracy jest zbadanie jaki wpływ na decyzje inwestorów mają informacje zamieszczane w serwisach społecznościowych. W tym opracowaniu przedstawię związki między informacjami umieszczanymi na Twitterze a kursami akcji spółek notowanych na Giełdzie Papierów Wartościowych.   </w:t>
      </w:r>
    </w:p>
    <w:p>
      <w:r>
        <w:t>Podczas analizy wykorzystam informacje o kursie akcji pobrane za pośrednictwem API Bankier.pl oraz treść Twittów.</w:t>
      </w:r>
    </w:p>
    <w:p>
      <w:pPr>
        <w:rPr>
          <w:lang w:val="pl-PL"/>
        </w:rPr>
      </w:pPr>
      <w:r>
        <w:rPr>
          <w:lang w:val="pl-PL"/>
        </w:rPr>
        <w:t xml:space="preserve">W pacy przeprowadzę analizę twittów, sprawdzę skorelowanie ich sentymentu z kursem akcji. Będę poszukiwał twittów które wyprzedzają zmianę kursu oraz osoby mające znaczny wpływ na kurs akcji. </w:t>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numPr>
          <w:ilvl w:val="0"/>
          <w:numId w:val="1"/>
        </w:numPr>
        <w:ind w:left="0" w:leftChars="0" w:firstLine="0" w:firstLineChars="0"/>
      </w:pPr>
      <w:bookmarkStart w:id="17" w:name="_Toc9982_WPSOffice_Level1"/>
      <w:r>
        <w:t>Notowania spółek</w:t>
      </w:r>
      <w:bookmarkEnd w:id="17"/>
    </w:p>
    <w:p>
      <w:pPr>
        <w:bidi w:val="0"/>
      </w:pPr>
    </w:p>
    <w:p>
      <w:r>
        <w:t xml:space="preserve">W przeprowadzonym eksperymencie wykorzystam informacje o kursach akcji spółek notowanych na Giełdzie Papierów Wartościowych uwzględnionych w indeksie WIG20. </w:t>
      </w:r>
    </w:p>
    <w:p>
      <w:pPr>
        <w:rPr>
          <w:lang w:val="pl-PL"/>
        </w:rPr>
      </w:pPr>
      <w:r>
        <w:t xml:space="preserve">Notowania spółek pobierane są ze strony </w:t>
      </w:r>
      <w:r>
        <w:rPr>
          <w:lang w:val="pl-PL"/>
        </w:rPr>
        <w:t xml:space="preserve">bankier.pl. Do pobierania danych wykorzystywane jest zapytanie HTTP GET: </w:t>
      </w:r>
    </w:p>
    <w:p>
      <w:pPr>
        <w:rPr>
          <w:lang w:val="pl-PL"/>
        </w:rPr>
      </w:pPr>
      <w:r>
        <w:fldChar w:fldCharType="begin"/>
      </w:r>
      <w:r>
        <w:instrText xml:space="preserve"> HYPERLINK "https://www.bankier.pl/new-charts/get-data?symbol={symbol}&amp;intraday=true&amp;type=area" \h </w:instrText>
      </w:r>
      <w:r>
        <w:fldChar w:fldCharType="separate"/>
      </w:r>
      <w:r>
        <w:rPr>
          <w:rStyle w:val="10"/>
        </w:rPr>
        <w:t>https://www.bankier.pl/new-charts/get-data?symbol=</w:t>
      </w:r>
      <w:r>
        <w:rPr>
          <w:rStyle w:val="10"/>
          <w:b/>
          <w:bCs/>
        </w:rPr>
        <w:t>{symbol}</w:t>
      </w:r>
      <w:r>
        <w:rPr>
          <w:rStyle w:val="10"/>
        </w:rPr>
        <w:t>&amp;intraday=true&amp;type=area</w:t>
      </w:r>
      <w:r>
        <w:rPr>
          <w:rStyle w:val="10"/>
        </w:rPr>
        <w:fldChar w:fldCharType="end"/>
      </w:r>
    </w:p>
    <w:p>
      <w:r>
        <w:t>gdzie {symbol} oznacza symbol spółki giełdowej której notowania chcemy pozyskać.</w:t>
      </w:r>
    </w:p>
    <w:p>
      <w:pPr>
        <w:rPr>
          <w:lang w:val="pl-PL"/>
        </w:rPr>
      </w:pPr>
      <w:r>
        <w:t>Pobrane dane mają format JSON o strukturze</w:t>
      </w:r>
      <w:r>
        <w:rPr>
          <w:lang w:val="pl-PL"/>
        </w:rPr>
        <w:t xml:space="preserve"> zobrazowanej na Rys. 1.</w:t>
      </w:r>
    </w:p>
    <w:p>
      <w:pPr>
        <w:bidi w:val="0"/>
      </w:pPr>
      <w:r>
        <w:drawing>
          <wp:inline distT="0" distB="0" distL="114300" distR="114300">
            <wp:extent cx="2251710" cy="1858010"/>
            <wp:effectExtent l="0" t="0" r="0" b="0"/>
            <wp:docPr id="981526555" name="Obraz 98152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26555" name="Obraz 98152655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52318" cy="1858163"/>
                    </a:xfrm>
                    <a:prstGeom prst="rect">
                      <a:avLst/>
                    </a:prstGeom>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1</w:t>
      </w:r>
      <w:r>
        <w:fldChar w:fldCharType="end"/>
      </w:r>
      <w:r>
        <w:rPr>
          <w:lang w:val="pl-PL"/>
        </w:rPr>
        <w:t>. Struktura wiadomości JSON zwracanej prze API b</w:t>
      </w:r>
      <w:r>
        <w:t xml:space="preserve">ankier.pl </w:t>
      </w:r>
    </w:p>
    <w:p>
      <w:pPr>
        <w:bidi w:val="0"/>
        <w:rPr>
          <w:lang w:val="pl-PL"/>
        </w:rPr>
      </w:pPr>
    </w:p>
    <w:p>
      <w:pPr>
        <w:bidi w:val="0"/>
      </w:pPr>
      <w:r>
        <w:t>Atrybut “main” zawiera kolekcje kursy spółki w postaci:</w:t>
      </w:r>
    </w:p>
    <w:p>
      <w:pPr>
        <w:bidi w:val="0"/>
      </w:pPr>
      <w:r>
        <w:drawing>
          <wp:inline distT="0" distB="0" distL="114300" distR="114300">
            <wp:extent cx="2248535" cy="2120900"/>
            <wp:effectExtent l="0" t="0" r="0" b="0"/>
            <wp:docPr id="1279510889" name="Obraz 127951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10889" name="Obraz 127951088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48773" cy="2121484"/>
                    </a:xfrm>
                    <a:prstGeom prst="rect">
                      <a:avLst/>
                    </a:prstGeom>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2</w:t>
      </w:r>
      <w:r>
        <w:fldChar w:fldCharType="end"/>
      </w:r>
      <w:r>
        <w:rPr>
          <w:lang w:val="pl-PL"/>
        </w:rPr>
        <w:t>. Struktura JSON kursów akcji zwracana przez API b</w:t>
      </w:r>
      <w:r>
        <w:t xml:space="preserve">ankier.pl </w:t>
      </w:r>
    </w:p>
    <w:p>
      <w:pPr>
        <w:bidi w:val="0"/>
      </w:pPr>
    </w:p>
    <w:p>
      <w:pPr>
        <w:bidi w:val="0"/>
      </w:pPr>
      <w:r>
        <w:t xml:space="preserve">gdzie pierwsza wartość oznacza czas wyrażony w formacje POSIX (liczba sekund od roku 1970) dodatkowo pomnożona przez 1000, drugi to cena. </w:t>
      </w:r>
    </w:p>
    <w:p>
      <w:pPr>
        <w:bidi w:val="0"/>
        <w:spacing w:before="0" w:beforeAutospacing="0" w:after="160" w:afterAutospacing="0" w:line="259" w:lineRule="auto"/>
        <w:ind w:left="0" w:right="0"/>
        <w:jc w:val="left"/>
      </w:pPr>
      <w:r>
        <w:t>Pobrane dane wyrażają kurs spółki z interwałem 1 min w dni robocze od 9:00 do 17:00 (godziny pracy GPW).</w:t>
      </w:r>
    </w:p>
    <w:p>
      <w:pPr>
        <w:pStyle w:val="2"/>
        <w:numPr>
          <w:ilvl w:val="0"/>
          <w:numId w:val="1"/>
        </w:numPr>
        <w:bidi w:val="0"/>
        <w:ind w:left="0" w:leftChars="0" w:firstLine="0" w:firstLineChars="0"/>
      </w:pPr>
      <w:bookmarkStart w:id="18" w:name="_Toc32481_WPSOffice_Level1"/>
      <w:r>
        <w:t>Twitter</w:t>
      </w:r>
      <w:bookmarkEnd w:id="18"/>
    </w:p>
    <w:p>
      <w:pPr>
        <w:bidi w:val="0"/>
      </w:pPr>
    </w:p>
    <w:p>
      <w:pPr>
        <w:bidi w:val="0"/>
        <w:spacing w:before="0" w:beforeAutospacing="0" w:after="160" w:afterAutospacing="0" w:line="259" w:lineRule="auto"/>
        <w:ind w:left="0" w:right="0"/>
        <w:jc w:val="left"/>
      </w:pPr>
      <w:r>
        <w:t xml:space="preserve">Twitter udostępnia API dzięki któremu możemy w prosty sposób pobierać informacje o treściach zamieszczanych na portalu.  </w:t>
      </w:r>
    </w:p>
    <w:p>
      <w:pPr>
        <w:bidi w:val="0"/>
        <w:spacing w:before="0" w:beforeAutospacing="0" w:after="160" w:afterAutospacing="0" w:line="259" w:lineRule="auto"/>
        <w:ind w:left="0" w:right="0"/>
        <w:jc w:val="left"/>
      </w:pPr>
      <w:r>
        <w:t>Wyszukiwanie dostępne jest w trzech wersjach:</w:t>
      </w:r>
    </w:p>
    <w:p>
      <w:pPr>
        <w:pStyle w:val="18"/>
        <w:numPr>
          <w:ilvl w:val="0"/>
          <w:numId w:val="2"/>
        </w:numPr>
        <w:bidi w:val="0"/>
        <w:spacing w:before="0" w:beforeAutospacing="0" w:after="160" w:afterAutospacing="0" w:line="259" w:lineRule="auto"/>
        <w:ind w:right="0"/>
        <w:jc w:val="left"/>
        <w:rPr>
          <w:sz w:val="22"/>
          <w:szCs w:val="22"/>
        </w:rPr>
      </w:pPr>
      <w:r>
        <w:t>Standard</w:t>
      </w:r>
    </w:p>
    <w:p>
      <w:pPr>
        <w:bidi w:val="0"/>
        <w:spacing w:before="0" w:beforeAutospacing="0" w:after="160" w:afterAutospacing="0" w:line="259" w:lineRule="auto"/>
        <w:ind w:left="360" w:right="0"/>
        <w:jc w:val="left"/>
      </w:pPr>
      <w:r>
        <w:t xml:space="preserve">Wyszukiwanie jedynie na próbce twittów z ostatnich 7 dni. </w:t>
      </w:r>
    </w:p>
    <w:p>
      <w:pPr>
        <w:pStyle w:val="18"/>
        <w:numPr>
          <w:ilvl w:val="0"/>
          <w:numId w:val="2"/>
        </w:numPr>
        <w:bidi w:val="0"/>
        <w:spacing w:before="0" w:beforeAutospacing="0" w:after="160" w:afterAutospacing="0" w:line="259" w:lineRule="auto"/>
        <w:ind w:right="0"/>
        <w:jc w:val="left"/>
        <w:rPr>
          <w:sz w:val="22"/>
          <w:szCs w:val="22"/>
        </w:rPr>
      </w:pPr>
      <w:r>
        <w:t>Premium</w:t>
      </w:r>
    </w:p>
    <w:p>
      <w:pPr>
        <w:bidi w:val="0"/>
        <w:spacing w:before="0" w:beforeAutospacing="0" w:after="160" w:afterAutospacing="0" w:line="259" w:lineRule="auto"/>
        <w:ind w:left="360" w:right="0"/>
        <w:jc w:val="left"/>
      </w:pPr>
      <w:r>
        <w:t>Wyszukiwanie na pełnym zbiorze twittów. Darmowe konto ma jednak ograniczenia, 250 zapytam miesięcznie albo 1MB danych miesięcznie. Postaram się zmieścić w tym limicie dla celów eksperymentu.</w:t>
      </w:r>
    </w:p>
    <w:p>
      <w:pPr>
        <w:pStyle w:val="18"/>
        <w:numPr>
          <w:ilvl w:val="0"/>
          <w:numId w:val="2"/>
        </w:numPr>
        <w:bidi w:val="0"/>
        <w:spacing w:before="0" w:beforeAutospacing="0" w:after="160" w:afterAutospacing="0" w:line="259" w:lineRule="auto"/>
        <w:ind w:right="0"/>
        <w:jc w:val="left"/>
        <w:rPr>
          <w:sz w:val="22"/>
          <w:szCs w:val="22"/>
        </w:rPr>
      </w:pPr>
      <w:r>
        <w:t xml:space="preserve">Enterprsie </w:t>
      </w:r>
    </w:p>
    <w:p>
      <w:pPr>
        <w:bidi w:val="0"/>
        <w:spacing w:before="0" w:beforeAutospacing="0" w:after="160" w:afterAutospacing="0" w:line="259" w:lineRule="auto"/>
        <w:ind w:left="360" w:right="0"/>
        <w:jc w:val="left"/>
      </w:pPr>
      <w:r>
        <w:t xml:space="preserve">Dostępne tylko po podpisana stosownej umowy. </w:t>
      </w:r>
    </w:p>
    <w:p>
      <w:pPr>
        <w:bidi w:val="0"/>
        <w:spacing w:before="0" w:beforeAutospacing="0" w:after="160" w:afterAutospacing="0" w:line="259" w:lineRule="auto"/>
        <w:ind w:left="0" w:right="0"/>
        <w:jc w:val="left"/>
      </w:pPr>
    </w:p>
    <w:p>
      <w:pPr>
        <w:bidi w:val="0"/>
        <w:spacing w:before="0" w:beforeAutospacing="0" w:after="160" w:afterAutospacing="0" w:line="259" w:lineRule="auto"/>
        <w:ind w:left="0" w:right="0"/>
        <w:jc w:val="left"/>
      </w:pPr>
      <w:r>
        <w:t>Cennik dodatkowych wyszukiwani w opcji Premium</w:t>
      </w:r>
      <w:r>
        <w:rPr>
          <w:lang w:val="pl-PL"/>
        </w:rPr>
        <w:t xml:space="preserve"> został zamieszczony na Rys 3.</w:t>
      </w:r>
      <w:r>
        <w:t xml:space="preserve"> </w:t>
      </w:r>
    </w:p>
    <w:p>
      <w:pPr>
        <w:bidi w:val="0"/>
        <w:spacing w:before="0" w:beforeAutospacing="0" w:after="160" w:afterAutospacing="0" w:line="259" w:lineRule="auto"/>
        <w:ind w:left="0" w:right="0"/>
        <w:jc w:val="left"/>
      </w:pPr>
      <w:r>
        <w:drawing>
          <wp:inline distT="0" distB="0" distL="114300" distR="114300">
            <wp:extent cx="5289550" cy="1641475"/>
            <wp:effectExtent l="0" t="0" r="0" b="0"/>
            <wp:docPr id="1210212505" name="Obraz 121021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2505" name="Obraz 121021250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89952" cy="1642089"/>
                    </a:xfrm>
                    <a:prstGeom prst="rect">
                      <a:avLst/>
                    </a:prstGeom>
                  </pic:spPr>
                </pic:pic>
              </a:graphicData>
            </a:graphic>
          </wp:inline>
        </w:drawing>
      </w:r>
    </w:p>
    <w:p>
      <w:pPr>
        <w:pStyle w:val="4"/>
        <w:bidi w:val="0"/>
        <w:spacing w:before="0" w:beforeAutospacing="0" w:after="160" w:afterAutospacing="0" w:line="259" w:lineRule="auto"/>
        <w:ind w:left="0" w:right="0"/>
        <w:jc w:val="left"/>
        <w:rPr>
          <w:lang w:val="pl-PL"/>
        </w:rPr>
      </w:pPr>
      <w:r>
        <w:t xml:space="preserve">Rys. </w:t>
      </w:r>
      <w:r>
        <w:fldChar w:fldCharType="begin"/>
      </w:r>
      <w:r>
        <w:instrText xml:space="preserve"> SEQ Rys. \* ARABIC </w:instrText>
      </w:r>
      <w:r>
        <w:fldChar w:fldCharType="separate"/>
      </w:r>
      <w:r>
        <w:t>3</w:t>
      </w:r>
      <w:r>
        <w:fldChar w:fldCharType="end"/>
      </w:r>
      <w:r>
        <w:rPr>
          <w:lang w:val="pl-PL"/>
        </w:rPr>
        <w:t xml:space="preserve">. Cennik usługi Premium Twittera </w:t>
      </w:r>
    </w:p>
    <w:p>
      <w:pPr>
        <w:bidi w:val="0"/>
        <w:spacing w:before="0" w:beforeAutospacing="0" w:after="160" w:afterAutospacing="0" w:line="259" w:lineRule="auto"/>
        <w:ind w:left="0" w:right="0"/>
        <w:jc w:val="left"/>
      </w:pPr>
    </w:p>
    <w:p>
      <w:pPr>
        <w:pStyle w:val="3"/>
        <w:numPr>
          <w:ilvl w:val="1"/>
          <w:numId w:val="1"/>
        </w:numPr>
        <w:bidi w:val="0"/>
      </w:pPr>
      <w:bookmarkStart w:id="19" w:name="_Toc9982_WPSOffice_Level2"/>
      <w:r>
        <w:t>Konto deweloperskie</w:t>
      </w:r>
      <w:bookmarkEnd w:id="19"/>
    </w:p>
    <w:p>
      <w:pPr>
        <w:bidi w:val="0"/>
      </w:pPr>
      <w:r>
        <w:t>Aby móc korzystać z API twitttera potrzebne jest konto deweloperskie, aby je założyć należy szczegółowo wyjaśnić w jakim cepu dane pochodzące z twistera będą wykorzystane.</w:t>
      </w:r>
    </w:p>
    <w:p>
      <w:pPr>
        <w:bidi w:val="0"/>
      </w:pPr>
    </w:p>
    <w:p>
      <w:pPr>
        <w:bidi w:val="0"/>
      </w:pPr>
    </w:p>
    <w:p>
      <w:pPr>
        <w:bidi w:val="0"/>
      </w:pPr>
    </w:p>
    <w:p>
      <w:pPr>
        <w:bidi w:val="0"/>
      </w:pPr>
    </w:p>
    <w:p>
      <w:pPr>
        <w:bidi w:val="0"/>
      </w:pPr>
    </w:p>
    <w:p>
      <w:pPr>
        <w:bidi w:val="0"/>
      </w:pPr>
    </w:p>
    <w:p>
      <w:pPr>
        <w:bidi w:val="0"/>
      </w:pPr>
    </w:p>
    <w:p>
      <w:pPr>
        <w:pStyle w:val="3"/>
        <w:numPr>
          <w:ilvl w:val="1"/>
          <w:numId w:val="1"/>
        </w:numPr>
        <w:bidi w:val="0"/>
        <w:spacing w:before="40" w:beforeAutospacing="0" w:after="0" w:afterAutospacing="0" w:line="259" w:lineRule="auto"/>
        <w:ind w:left="0" w:leftChars="0" w:right="0" w:firstLine="0" w:firstLineChars="0"/>
        <w:jc w:val="left"/>
      </w:pPr>
      <w:bookmarkStart w:id="20" w:name="_Toc32481_WPSOffice_Level2"/>
      <w:r>
        <w:t>Autoryzacja</w:t>
      </w:r>
      <w:bookmarkEnd w:id="20"/>
    </w:p>
    <w:p>
      <w:pPr>
        <w:bidi w:val="0"/>
      </w:pPr>
      <w:r>
        <w:t xml:space="preserve">Dostęp do API wymaga autoryzacji protokołem OAuth 2.0, polega on na przesłaniu nazwy aplikacji oraz sekretnego klucza, w odpowiedzi otrzymujemy token który pozwala wykonywać udostępniane metody API.  </w:t>
      </w:r>
    </w:p>
    <w:p>
      <w:pPr>
        <w:bidi w:val="0"/>
      </w:pPr>
    </w:p>
    <w:p>
      <w:pPr>
        <w:spacing w:before="0" w:beforeAutospacing="0" w:after="160" w:afterAutospacing="0" w:line="259" w:lineRule="auto"/>
        <w:ind w:left="0" w:right="0"/>
        <w:jc w:val="left"/>
      </w:pPr>
      <w:r>
        <w:drawing>
          <wp:inline distT="0" distB="0" distL="114300" distR="114300">
            <wp:extent cx="3783965" cy="2830195"/>
            <wp:effectExtent l="0" t="0" r="3175" b="4445"/>
            <wp:docPr id="141281966" name="Obraz 14128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966" name="Obraz 14128196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83965" cy="2830195"/>
                    </a:xfrm>
                    <a:prstGeom prst="rect">
                      <a:avLst/>
                    </a:prstGeom>
                  </pic:spPr>
                </pic:pic>
              </a:graphicData>
            </a:graphic>
          </wp:inline>
        </w:drawing>
      </w:r>
    </w:p>
    <w:p>
      <w:pPr>
        <w:pStyle w:val="4"/>
        <w:spacing w:before="0" w:beforeAutospacing="0" w:after="160" w:afterAutospacing="0" w:line="259" w:lineRule="auto"/>
        <w:ind w:left="0" w:right="0"/>
        <w:jc w:val="left"/>
        <w:rPr>
          <w:lang w:val="pl-PL"/>
        </w:rPr>
      </w:pPr>
      <w:r>
        <w:t xml:space="preserve">Rys. </w:t>
      </w:r>
      <w:r>
        <w:fldChar w:fldCharType="begin"/>
      </w:r>
      <w:r>
        <w:instrText xml:space="preserve"> SEQ Rys. \* ARABIC </w:instrText>
      </w:r>
      <w:r>
        <w:fldChar w:fldCharType="separate"/>
      </w:r>
      <w:r>
        <w:t>4</w:t>
      </w:r>
      <w:r>
        <w:fldChar w:fldCharType="end"/>
      </w:r>
      <w:r>
        <w:rPr>
          <w:lang w:val="pl-PL"/>
        </w:rPr>
        <w:t>. Diagram obrazujący sposób wymiany wiadomości podczas autoryzacji OAuth 2.0</w:t>
      </w:r>
    </w:p>
    <w:p>
      <w:pPr>
        <w:bidi w:val="0"/>
        <w:spacing w:before="0" w:beforeAutospacing="0" w:after="160" w:afterAutospacing="0" w:line="259" w:lineRule="auto"/>
        <w:ind w:left="0" w:right="0"/>
        <w:jc w:val="left"/>
      </w:pPr>
    </w:p>
    <w:p>
      <w:pPr>
        <w:bidi w:val="0"/>
        <w:spacing w:before="0" w:beforeAutospacing="0" w:after="160" w:afterAutospacing="0" w:line="259" w:lineRule="auto"/>
        <w:ind w:left="0" w:right="0"/>
        <w:jc w:val="left"/>
      </w:pPr>
    </w:p>
    <w:p>
      <w:pPr>
        <w:pStyle w:val="3"/>
        <w:numPr>
          <w:ilvl w:val="1"/>
          <w:numId w:val="1"/>
        </w:numPr>
        <w:bidi w:val="0"/>
        <w:ind w:left="0" w:leftChars="0" w:firstLine="0" w:firstLineChars="0"/>
      </w:pPr>
      <w:bookmarkStart w:id="21" w:name="_Toc22624_WPSOffice_Level2"/>
      <w:r>
        <w:t>Pobieranie twittów</w:t>
      </w:r>
      <w:bookmarkEnd w:id="21"/>
    </w:p>
    <w:p>
      <w:pPr>
        <w:bidi w:val="0"/>
        <w:spacing w:before="0" w:beforeAutospacing="0" w:after="160" w:afterAutospacing="0" w:line="259" w:lineRule="auto"/>
      </w:pPr>
      <w:r>
        <w:t xml:space="preserve">Wykorzystane API dostępne jest pod adresem: </w:t>
      </w:r>
      <w:r>
        <w:fldChar w:fldCharType="begin"/>
      </w:r>
      <w:r>
        <w:instrText xml:space="preserve"> HYPERLINK "https://api.twitter.com/1.1/search/tweets.json" \h </w:instrText>
      </w:r>
      <w:r>
        <w:fldChar w:fldCharType="separate"/>
      </w:r>
      <w:r>
        <w:rPr>
          <w:rStyle w:val="10"/>
        </w:rPr>
        <w:t>https://api.twitter.com/1.1//tweets/search/30day/DEV.json</w:t>
      </w:r>
      <w:r>
        <w:rPr>
          <w:rStyle w:val="10"/>
        </w:rPr>
        <w:fldChar w:fldCharType="end"/>
      </w:r>
    </w:p>
    <w:p>
      <w:pPr>
        <w:bidi w:val="0"/>
        <w:spacing w:before="0" w:beforeAutospacing="0" w:after="160" w:afterAutospacing="0" w:line="259" w:lineRule="auto"/>
        <w:ind w:left="0" w:right="0"/>
        <w:jc w:val="left"/>
      </w:pPr>
      <w:r>
        <w:t xml:space="preserve">Mechanizm komunikacji z tym API został zaimplementowany w wielu bibliotekach, jedna z nich to ‘tweepy’ (strona projektu </w:t>
      </w:r>
      <w:r>
        <w:fldChar w:fldCharType="begin"/>
      </w:r>
      <w:r>
        <w:instrText xml:space="preserve"> HYPERLINK "http://www.tweepy.org" \h </w:instrText>
      </w:r>
      <w:r>
        <w:fldChar w:fldCharType="separate"/>
      </w:r>
      <w:r>
        <w:rPr>
          <w:rStyle w:val="10"/>
          <w:rFonts w:ascii="Calibri" w:hAnsi="Calibri" w:eastAsia="Calibri" w:cs="Calibri"/>
          <w:sz w:val="22"/>
          <w:szCs w:val="22"/>
          <w:lang w:val="pl-PL"/>
        </w:rPr>
        <w:t>http://www.tweepy.org</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która zostanie wykorzystana w tym opracowaniu.</w:t>
      </w:r>
    </w:p>
    <w:p>
      <w:pPr>
        <w:bidi w:val="0"/>
      </w:pPr>
      <w:r>
        <w:t xml:space="preserve"> </w:t>
      </w:r>
    </w:p>
    <w:p>
      <w:pPr>
        <w:bidi w:val="0"/>
      </w:pPr>
    </w:p>
    <w:p>
      <w:pPr>
        <w:bidi w:val="0"/>
      </w:pPr>
    </w:p>
    <w:p>
      <w:pPr>
        <w:bidi w:val="0"/>
      </w:pPr>
    </w:p>
    <w:p>
      <w:pPr>
        <w:bidi w:val="0"/>
      </w:pPr>
    </w:p>
    <w:p>
      <w:pPr>
        <w:bidi w:val="0"/>
      </w:pPr>
    </w:p>
    <w:p>
      <w:pPr>
        <w:bidi w:val="0"/>
      </w:pPr>
    </w:p>
    <w:p>
      <w:pPr>
        <w:bidi w:val="0"/>
      </w:pPr>
    </w:p>
    <w:p>
      <w:pPr>
        <w:bidi w:val="0"/>
      </w:pPr>
    </w:p>
    <w:p>
      <w:pPr>
        <w:pStyle w:val="3"/>
        <w:numPr>
          <w:ilvl w:val="1"/>
          <w:numId w:val="1"/>
        </w:numPr>
        <w:bidi w:val="0"/>
        <w:ind w:left="0" w:leftChars="0" w:firstLine="0" w:firstLineChars="0"/>
      </w:pPr>
      <w:bookmarkStart w:id="22" w:name="_Toc3164_WPSOffice_Level2"/>
      <w:r>
        <w:t>Struktura wiadomości</w:t>
      </w:r>
      <w:bookmarkEnd w:id="22"/>
    </w:p>
    <w:p>
      <w:pPr>
        <w:bidi w:val="0"/>
      </w:pPr>
      <w:r>
        <w:t>Pobrane dane mają format JSON. Z pośród kilkunastu dostępnych atrybutów do dalszej analizy wybierzemy tylko kilka najważniejszych:</w:t>
      </w:r>
    </w:p>
    <w:p>
      <w:pPr>
        <w:pStyle w:val="18"/>
        <w:numPr>
          <w:ilvl w:val="0"/>
          <w:numId w:val="3"/>
        </w:numPr>
        <w:bidi w:val="0"/>
        <w:spacing w:before="0" w:beforeAutospacing="0" w:after="160" w:afterAutospacing="0" w:line="259" w:lineRule="auto"/>
        <w:ind w:right="0"/>
        <w:jc w:val="left"/>
        <w:rPr>
          <w:sz w:val="22"/>
          <w:szCs w:val="22"/>
        </w:rPr>
      </w:pPr>
      <w:r>
        <w:t>id - identyfikator</w:t>
      </w:r>
    </w:p>
    <w:p>
      <w:pPr>
        <w:pStyle w:val="18"/>
        <w:numPr>
          <w:ilvl w:val="0"/>
          <w:numId w:val="3"/>
        </w:numPr>
        <w:bidi w:val="0"/>
        <w:spacing w:before="0" w:beforeAutospacing="0" w:after="160" w:afterAutospacing="0" w:line="259" w:lineRule="auto"/>
        <w:ind w:right="0"/>
        <w:jc w:val="left"/>
        <w:rPr>
          <w:sz w:val="22"/>
          <w:szCs w:val="22"/>
        </w:rPr>
      </w:pPr>
      <w:r>
        <w:t>created_at – data utworzenia</w:t>
      </w:r>
    </w:p>
    <w:p>
      <w:pPr>
        <w:pStyle w:val="18"/>
        <w:numPr>
          <w:ilvl w:val="0"/>
          <w:numId w:val="3"/>
        </w:numPr>
        <w:bidi w:val="0"/>
        <w:spacing w:before="0" w:beforeAutospacing="0" w:after="160" w:afterAutospacing="0" w:line="259" w:lineRule="auto"/>
        <w:ind w:left="720" w:right="0" w:hanging="360"/>
        <w:jc w:val="left"/>
        <w:rPr>
          <w:sz w:val="22"/>
          <w:szCs w:val="22"/>
        </w:rPr>
      </w:pPr>
      <w:r>
        <w:t>full_text - pełny tekst wiadomości</w:t>
      </w:r>
    </w:p>
    <w:p>
      <w:pPr>
        <w:pStyle w:val="18"/>
        <w:numPr>
          <w:ilvl w:val="0"/>
          <w:numId w:val="3"/>
        </w:numPr>
        <w:bidi w:val="0"/>
        <w:spacing w:before="0" w:beforeAutospacing="0" w:after="160" w:afterAutospacing="0" w:line="259" w:lineRule="auto"/>
        <w:ind w:left="720" w:right="0" w:hanging="360"/>
        <w:jc w:val="left"/>
        <w:rPr>
          <w:sz w:val="22"/>
          <w:szCs w:val="22"/>
        </w:rPr>
      </w:pPr>
      <w:r>
        <w:t xml:space="preserve">user.id, user.name  - identyfikator i nazwa użytkownika </w:t>
      </w:r>
    </w:p>
    <w:p>
      <w:pPr>
        <w:pStyle w:val="18"/>
        <w:numPr>
          <w:ilvl w:val="0"/>
          <w:numId w:val="3"/>
        </w:numPr>
        <w:bidi w:val="0"/>
        <w:spacing w:before="0" w:beforeAutospacing="0" w:after="160" w:afterAutospacing="0" w:line="259" w:lineRule="auto"/>
        <w:ind w:right="0"/>
        <w:jc w:val="left"/>
        <w:rPr>
          <w:sz w:val="22"/>
          <w:szCs w:val="22"/>
        </w:rPr>
      </w:pPr>
      <w:r>
        <w:t>user.followers_count, user.friends_count, user.listed_count, user.favourites_count – parametry wskazujące jak popularny i aktywny jest to użytkownik</w:t>
      </w:r>
    </w:p>
    <w:p>
      <w:pPr>
        <w:pStyle w:val="18"/>
        <w:numPr>
          <w:ilvl w:val="0"/>
          <w:numId w:val="3"/>
        </w:numPr>
        <w:bidi w:val="0"/>
        <w:spacing w:before="0" w:beforeAutospacing="0" w:after="160" w:afterAutospacing="0" w:line="259" w:lineRule="auto"/>
        <w:ind w:right="0"/>
        <w:jc w:val="left"/>
        <w:rPr>
          <w:sz w:val="22"/>
          <w:szCs w:val="22"/>
        </w:rPr>
      </w:pPr>
      <w:r>
        <w:t>retweet_count, favorite_count – parametry wskazujące jak popularny jest to twitt</w:t>
      </w:r>
    </w:p>
    <w:p>
      <w:pPr>
        <w:bidi w:val="0"/>
        <w:spacing w:before="0" w:beforeAutospacing="0" w:after="160" w:afterAutospacing="0" w:line="259" w:lineRule="auto"/>
        <w:ind w:left="360" w:right="0"/>
        <w:jc w:val="left"/>
      </w:pPr>
    </w:p>
    <w:p>
      <w:pPr>
        <w:bidi w:val="0"/>
      </w:pPr>
      <w:r>
        <w:drawing>
          <wp:inline distT="0" distB="0" distL="114300" distR="114300">
            <wp:extent cx="4366260" cy="2956560"/>
            <wp:effectExtent l="0" t="0" r="0" b="0"/>
            <wp:docPr id="2027242184" name="Obraz 202724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42184" name="Obraz 202724218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66260" cy="2956560"/>
                    </a:xfrm>
                    <a:prstGeom prst="rect">
                      <a:avLst/>
                    </a:prstGeom>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5</w:t>
      </w:r>
      <w:r>
        <w:fldChar w:fldCharType="end"/>
      </w:r>
      <w:r>
        <w:rPr>
          <w:lang w:val="pl-PL"/>
        </w:rPr>
        <w:t>. Struktura wiadomości JSON opisująca Twitt</w:t>
      </w:r>
    </w:p>
    <w:p>
      <w:pPr>
        <w:bidi w:val="0"/>
      </w:pPr>
    </w:p>
    <w:p>
      <w:pPr>
        <w:bidi w:val="0"/>
      </w:pPr>
    </w:p>
    <w:p>
      <w:pPr>
        <w:bidi w:val="0"/>
      </w:pPr>
    </w:p>
    <w:p/>
    <w:p/>
    <w:p/>
    <w:p/>
    <w:p/>
    <w:p/>
    <w:p/>
    <w:p>
      <w:pPr>
        <w:pStyle w:val="2"/>
        <w:numPr>
          <w:ilvl w:val="0"/>
          <w:numId w:val="1"/>
        </w:numPr>
        <w:bidi w:val="0"/>
        <w:ind w:left="0" w:leftChars="0" w:firstLine="0" w:firstLineChars="0"/>
      </w:pPr>
      <w:bookmarkStart w:id="23" w:name="_Toc22624_WPSOffice_Level1"/>
      <w:r>
        <w:t>Przetwarzanie języka naturalnego</w:t>
      </w:r>
      <w:bookmarkEnd w:id="23"/>
    </w:p>
    <w:p>
      <w:pPr>
        <w:bidi w:val="0"/>
      </w:pPr>
    </w:p>
    <w:p>
      <w:pPr>
        <w:bidi w:val="0"/>
        <w:rPr>
          <w:rFonts w:ascii="Calibri" w:hAnsi="Calibri" w:eastAsia="Calibri" w:cs="Calibri"/>
          <w:color w:val="24292E"/>
          <w:sz w:val="24"/>
          <w:szCs w:val="24"/>
          <w:lang w:val="pl-PL"/>
        </w:rPr>
      </w:pPr>
      <w:r>
        <w:rPr>
          <w:rFonts w:ascii="Calibri" w:hAnsi="Calibri" w:eastAsia="Calibri" w:cs="Calibri"/>
          <w:color w:val="24292E"/>
          <w:sz w:val="24"/>
          <w:szCs w:val="24"/>
          <w:lang w:val="pl-PL"/>
        </w:rPr>
        <w:t xml:space="preserve">Pierwszym etapie procesowania tekstu Twittów to jego podział na wyrazy (tokenizacja). Najprostszym sposobem podziału jest rozdzielenie tekstu po spacjach, strategia ta nie jest doskonała gdyż nie uwzględnia wyrazów rozdzielonych myślnikiem np.: czarno-biały. W tym opracowania tokenizacja została wykona przy użyciu biblioteki NLTK (strona projektu </w:t>
      </w:r>
      <w:r>
        <w:fldChar w:fldCharType="begin"/>
      </w:r>
      <w:r>
        <w:instrText xml:space="preserve"> HYPERLINK "http://www.nltk.org" \h </w:instrText>
      </w:r>
      <w:r>
        <w:fldChar w:fldCharType="separate"/>
      </w:r>
      <w:r>
        <w:rPr>
          <w:rStyle w:val="10"/>
          <w:rFonts w:ascii="Calibri" w:hAnsi="Calibri" w:eastAsia="Calibri" w:cs="Calibri"/>
          <w:color w:val="24292E"/>
          <w:sz w:val="24"/>
          <w:szCs w:val="24"/>
          <w:lang w:val="pl-PL"/>
        </w:rPr>
        <w:t>http://www.nltk.org</w:t>
      </w:r>
      <w:r>
        <w:rPr>
          <w:rStyle w:val="10"/>
          <w:rFonts w:ascii="Calibri" w:hAnsi="Calibri" w:eastAsia="Calibri" w:cs="Calibri"/>
          <w:color w:val="24292E"/>
          <w:sz w:val="24"/>
          <w:szCs w:val="24"/>
          <w:lang w:val="pl-PL"/>
        </w:rPr>
        <w:fldChar w:fldCharType="end"/>
      </w:r>
      <w:r>
        <w:rPr>
          <w:rFonts w:ascii="Calibri" w:hAnsi="Calibri" w:eastAsia="Calibri" w:cs="Calibri"/>
          <w:color w:val="24292E"/>
          <w:sz w:val="24"/>
          <w:szCs w:val="24"/>
          <w:lang w:val="pl-PL"/>
        </w:rPr>
        <w:t>).</w:t>
      </w:r>
    </w:p>
    <w:p>
      <w:pPr>
        <w:spacing w:before="0" w:beforeAutospacing="0" w:after="160" w:afterAutospacing="0" w:line="259" w:lineRule="auto"/>
        <w:ind w:left="0" w:right="0"/>
        <w:jc w:val="left"/>
        <w:rPr>
          <w:rFonts w:ascii="Calibri" w:hAnsi="Calibri" w:eastAsia="Calibri" w:cs="Calibri"/>
          <w:sz w:val="24"/>
          <w:szCs w:val="24"/>
          <w:lang w:val="pl-PL"/>
        </w:rPr>
      </w:pPr>
      <w:r>
        <w:rPr>
          <w:rFonts w:ascii="Calibri" w:hAnsi="Calibri" w:eastAsia="Calibri" w:cs="Calibri"/>
          <w:color w:val="24292E"/>
          <w:sz w:val="24"/>
          <w:szCs w:val="24"/>
          <w:lang w:val="pl-PL"/>
        </w:rPr>
        <w:t xml:space="preserve">Drugim etapem jest sprowadzenie rozpoznanych wyrazów do formy podstawowej np.: ropę -&gt; ropa, w tym cepu wykorzystamy słownik fleksyjny pobrany ze strony </w:t>
      </w:r>
      <w:r>
        <w:fldChar w:fldCharType="begin"/>
      </w:r>
      <w:r>
        <w:instrText xml:space="preserve"> HYPERLINK "https://sjp.pl/slownik/odmiany/" \h </w:instrText>
      </w:r>
      <w:r>
        <w:fldChar w:fldCharType="separate"/>
      </w:r>
      <w:r>
        <w:rPr>
          <w:rStyle w:val="10"/>
          <w:rFonts w:ascii="Calibri" w:hAnsi="Calibri" w:eastAsia="Calibri" w:cs="Calibri"/>
          <w:sz w:val="24"/>
          <w:szCs w:val="24"/>
          <w:lang w:val="pl-PL"/>
        </w:rPr>
        <w:t>https://sjp.pl/slownik/odmiany/</w:t>
      </w:r>
      <w:r>
        <w:rPr>
          <w:rStyle w:val="10"/>
          <w:rFonts w:ascii="Calibri" w:hAnsi="Calibri" w:eastAsia="Calibri" w:cs="Calibri"/>
          <w:sz w:val="24"/>
          <w:szCs w:val="24"/>
          <w:lang w:val="pl-PL"/>
        </w:rPr>
        <w:fldChar w:fldCharType="end"/>
      </w:r>
      <w:r>
        <w:rPr>
          <w:rFonts w:ascii="Calibri" w:hAnsi="Calibri" w:eastAsia="Calibri" w:cs="Calibri"/>
          <w:sz w:val="24"/>
          <w:szCs w:val="24"/>
          <w:lang w:val="pl-PL"/>
        </w:rPr>
        <w:t>, zawiera on 224 tysiące form bazowanych wyrazów. Dla każdej z form bazowych słownik zawiera formy odmienione np.: ropa, rop, ropach, ropami, ropą, ropę, ropie, ropo, ropom, ropy. Wycinek słownika fleksyjnego pokazuje Rys.6.</w:t>
      </w:r>
    </w:p>
    <w:p>
      <w:pPr>
        <w:bidi w:val="0"/>
        <w:spacing w:before="0" w:beforeAutospacing="0" w:after="160" w:afterAutospacing="0" w:line="259" w:lineRule="auto"/>
        <w:ind w:left="0" w:right="0"/>
        <w:jc w:val="left"/>
        <w:rPr>
          <w:rFonts w:ascii="Calibri" w:hAnsi="Calibri" w:eastAsia="Calibri" w:cs="Calibri"/>
          <w:sz w:val="24"/>
          <w:szCs w:val="24"/>
          <w:lang w:val="pl-PL"/>
        </w:rPr>
      </w:pPr>
      <w:r>
        <w:rPr>
          <w:rFonts w:ascii="Calibri" w:hAnsi="Calibri" w:eastAsia="Calibri" w:cs="Calibri"/>
          <w:sz w:val="24"/>
          <w:szCs w:val="24"/>
          <w:lang w:val="pl-PL"/>
        </w:rPr>
        <w:t>Z uwagi na fakt, że twitty mogą nie zawiera akcentów, przy dopasowaniu uwzględnimy mapowanie:</w:t>
      </w:r>
    </w:p>
    <w:p>
      <w:pPr>
        <w:rPr>
          <w:rFonts w:ascii="Calibri" w:hAnsi="Calibri" w:eastAsia="Calibri" w:cs="Calibri"/>
          <w:sz w:val="24"/>
          <w:szCs w:val="24"/>
          <w:lang w:val="pl-PL"/>
        </w:rPr>
      </w:pPr>
      <w:r>
        <w:rPr>
          <w:lang w:val="pl-PL"/>
        </w:rPr>
        <w:t>a - ą, c - ć , e - ę ,l - ł, n - ń, o - ó, s - ś, z - ż, z - ź</w:t>
      </w:r>
    </w:p>
    <w:p>
      <w:pPr>
        <w:bidi w:val="0"/>
        <w:spacing w:before="0" w:beforeAutospacing="0" w:after="160" w:afterAutospacing="0" w:line="259" w:lineRule="auto"/>
        <w:ind w:left="0" w:right="0"/>
        <w:jc w:val="left"/>
        <w:rPr>
          <w:rFonts w:ascii="Calibri" w:hAnsi="Calibri" w:eastAsia="Calibri" w:cs="Calibri"/>
          <w:sz w:val="24"/>
          <w:szCs w:val="24"/>
          <w:lang w:val="pl-PL"/>
        </w:rPr>
      </w:pPr>
      <w:r>
        <w:rPr>
          <w:rFonts w:ascii="Calibri" w:hAnsi="Calibri" w:eastAsia="Calibri" w:cs="Calibri"/>
          <w:sz w:val="24"/>
          <w:szCs w:val="24"/>
          <w:lang w:val="pl-PL"/>
        </w:rPr>
        <w:t xml:space="preserve">Tak przygotowane dane zostaną wykorzystane do dalszej analizy. W kolejnych krokach sprawdzimy powiazanie twittu ze spółką oraz ich wydźwięk (sentyment). </w:t>
      </w:r>
    </w:p>
    <w:p>
      <w:pPr>
        <w:bidi w:val="0"/>
        <w:rPr>
          <w:rFonts w:ascii="Calibri" w:hAnsi="Calibri" w:eastAsia="Calibri" w:cs="Calibri"/>
          <w:color w:val="24292E"/>
          <w:sz w:val="24"/>
          <w:szCs w:val="24"/>
          <w:lang w:val="pl-PL"/>
        </w:rPr>
      </w:pPr>
    </w:p>
    <w:p>
      <w:pPr>
        <w:bidi w:val="0"/>
      </w:pPr>
    </w:p>
    <w:p>
      <w:pPr>
        <w:bidi w:val="0"/>
      </w:pPr>
      <w:r>
        <w:drawing>
          <wp:inline distT="0" distB="0" distL="114300" distR="114300">
            <wp:extent cx="5729605" cy="2630805"/>
            <wp:effectExtent l="0" t="0" r="635" b="5715"/>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1"/>
                    <pic:cNvPicPr>
                      <a:picLocks noChangeAspect="1"/>
                    </pic:cNvPicPr>
                  </pic:nvPicPr>
                  <pic:blipFill>
                    <a:blip r:embed="rId13"/>
                    <a:stretch>
                      <a:fillRect/>
                    </a:stretch>
                  </pic:blipFill>
                  <pic:spPr>
                    <a:xfrm>
                      <a:off x="0" y="0"/>
                      <a:ext cx="5729605" cy="2630805"/>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6</w:t>
      </w:r>
      <w:r>
        <w:fldChar w:fldCharType="end"/>
      </w:r>
      <w:r>
        <w:rPr>
          <w:lang w:val="pl-PL"/>
        </w:rPr>
        <w:t xml:space="preserve">. Wycinek słownika fleksyjnego  </w:t>
      </w:r>
    </w:p>
    <w:p>
      <w:pPr>
        <w:bidi w:val="0"/>
      </w:pPr>
    </w:p>
    <w:p>
      <w:pPr>
        <w:bidi w:val="0"/>
      </w:pPr>
    </w:p>
    <w:p>
      <w:pPr>
        <w:bidi w:val="0"/>
      </w:pPr>
    </w:p>
    <w:p>
      <w:pPr>
        <w:bidi w:val="0"/>
      </w:pPr>
    </w:p>
    <w:p>
      <w:pPr>
        <w:pStyle w:val="2"/>
        <w:numPr>
          <w:ilvl w:val="0"/>
          <w:numId w:val="1"/>
        </w:numPr>
        <w:bidi w:val="0"/>
        <w:ind w:left="0" w:leftChars="0" w:firstLine="0" w:firstLineChars="0"/>
      </w:pPr>
      <w:bookmarkStart w:id="24" w:name="_Toc3164_WPSOffice_Level1"/>
      <w:r>
        <w:t>Analiza</w:t>
      </w:r>
      <w:bookmarkEnd w:id="24"/>
      <w:r>
        <w:t xml:space="preserve"> </w:t>
      </w:r>
    </w:p>
    <w:p/>
    <w:p>
      <w:pPr>
        <w:bidi w:val="0"/>
        <w:rPr>
          <w:lang w:val="pl-PL"/>
        </w:rPr>
      </w:pPr>
      <w:r>
        <w:rPr>
          <w:lang w:val="pl-PL"/>
        </w:rPr>
        <w:t>W tym opracowaniu przedstawie szczegółową analizę dla kilku spółek notowanych na GPW. Wybrałem spółki z index-u WIG 20, są to jedne z bardziej znanych w swojej kategorii:</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PKN ORLEN </w:t>
      </w:r>
      <w:r>
        <w:t xml:space="preserve">- </w:t>
      </w:r>
      <w:r>
        <w:rPr>
          <w:lang w:val="pl-PL"/>
        </w:rPr>
        <w:t>największa polska firma petrochemiczna</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CD PROJECT  - najbardziej rozpoznawalny twórca gier komputerowych w Polsce, twórca kultowej gry Wiedźmin, </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GRUPA AZOTY - największy koncert chemiczny w Polsce</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 xml:space="preserve">LPP - </w:t>
      </w:r>
      <w:r>
        <w:rPr>
          <w:rFonts w:hint="default"/>
          <w:sz w:val="22"/>
          <w:szCs w:val="22"/>
          <w:lang w:val="pl-PL"/>
        </w:rPr>
        <w:t xml:space="preserve">polskie przedsiębiorstwo odzieżowe zajmujące się projektowaniem, produkcją i dystrybucją odzieży, mające w swoim portfolu mareki: Reserved, House, Cropp, Mohito i Sinsay </w:t>
      </w:r>
    </w:p>
    <w:p>
      <w:pPr>
        <w:bidi w:val="0"/>
        <w:rPr>
          <w:lang w:val="pl-PL"/>
        </w:rPr>
      </w:pPr>
    </w:p>
    <w:p>
      <w:pPr>
        <w:bidi w:val="0"/>
        <w:rPr>
          <w:lang w:val="pl-PL"/>
        </w:rPr>
      </w:pPr>
      <w:r>
        <w:rPr>
          <w:lang w:val="pl-PL"/>
        </w:rPr>
        <w:t>Dla każdej przeanalizowanej spółki została przygotowana konfiguracja przedstawiona na Rys. 7.</w:t>
      </w:r>
    </w:p>
    <w:p>
      <w:pPr>
        <w:bidi w:val="0"/>
      </w:pPr>
      <w:r>
        <w:drawing>
          <wp:inline distT="0" distB="0" distL="114300" distR="114300">
            <wp:extent cx="2141220" cy="273050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a:blip r:embed="rId14"/>
                    <a:stretch>
                      <a:fillRect/>
                    </a:stretch>
                  </pic:blipFill>
                  <pic:spPr>
                    <a:xfrm>
                      <a:off x="0" y="0"/>
                      <a:ext cx="2141220" cy="2730500"/>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7</w:t>
      </w:r>
      <w:r>
        <w:fldChar w:fldCharType="end"/>
      </w:r>
      <w:r>
        <w:rPr>
          <w:lang w:val="pl-PL"/>
        </w:rPr>
        <w:t>. Struktura konfiguracji dla jednej ze spółek</w:t>
      </w:r>
    </w:p>
    <w:p>
      <w:pPr>
        <w:rPr>
          <w:lang w:val="pl-PL"/>
        </w:rPr>
      </w:pPr>
    </w:p>
    <w:p>
      <w:pPr>
        <w:bidi w:val="0"/>
        <w:rPr>
          <w:lang w:val="pl-PL"/>
        </w:rPr>
      </w:pPr>
      <w:r>
        <w:rPr>
          <w:lang w:val="pl-PL"/>
        </w:rPr>
        <w:t>Gdzie</w:t>
      </w:r>
    </w:p>
    <w:p>
      <w:pPr>
        <w:pStyle w:val="18"/>
        <w:numPr>
          <w:ilvl w:val="0"/>
          <w:numId w:val="3"/>
        </w:numPr>
        <w:bidi w:val="0"/>
        <w:spacing w:before="0" w:beforeAutospacing="0" w:after="160" w:afterAutospacing="0" w:line="259" w:lineRule="auto"/>
        <w:ind w:right="0"/>
        <w:jc w:val="left"/>
        <w:rPr>
          <w:sz w:val="22"/>
          <w:szCs w:val="22"/>
        </w:rPr>
      </w:pPr>
      <w:r>
        <w:rPr>
          <w:lang w:val="pl-PL"/>
        </w:rPr>
        <w:t>search</w:t>
      </w:r>
      <w:r>
        <w:t xml:space="preserve"> - </w:t>
      </w:r>
      <w:r>
        <w:rPr>
          <w:lang w:val="pl-PL"/>
        </w:rPr>
        <w:t>słowa kluczowe wykorzystane przy zapytaniach o twitty</w:t>
      </w:r>
    </w:p>
    <w:p>
      <w:pPr>
        <w:pStyle w:val="18"/>
        <w:numPr>
          <w:ilvl w:val="0"/>
          <w:numId w:val="3"/>
        </w:numPr>
        <w:bidi w:val="0"/>
        <w:spacing w:before="0" w:beforeAutospacing="0" w:after="160" w:afterAutospacing="0" w:line="259" w:lineRule="auto"/>
        <w:ind w:right="0"/>
        <w:jc w:val="left"/>
        <w:rPr>
          <w:sz w:val="22"/>
          <w:szCs w:val="22"/>
        </w:rPr>
      </w:pPr>
      <w:r>
        <w:rPr>
          <w:lang w:val="pl-PL"/>
        </w:rPr>
        <w:t>ignore</w:t>
      </w:r>
      <w:r>
        <w:t xml:space="preserve">– </w:t>
      </w:r>
      <w:r>
        <w:rPr>
          <w:lang w:val="pl-PL"/>
        </w:rPr>
        <w:t>słowa które powodują ignorowanie danego twittu, dla PKN ORLEN informacje o sportowcach sponsorowanych prze firmę</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 xml:space="preserve">sentiment - słowa kluczowe oraz wskażnik sentymentu z jakim one sie wiążą </w:t>
      </w:r>
    </w:p>
    <w:p>
      <w:pPr>
        <w:bidi w:val="0"/>
      </w:pPr>
    </w:p>
    <w:p>
      <w:pPr>
        <w:bidi w:val="0"/>
      </w:pPr>
    </w:p>
    <w:p>
      <w:pPr>
        <w:bidi w:val="0"/>
      </w:pPr>
    </w:p>
    <w:p>
      <w:pPr>
        <w:bidi w:val="0"/>
      </w:pPr>
    </w:p>
    <w:p>
      <w:pPr>
        <w:bidi w:val="0"/>
        <w:rPr>
          <w:lang w:val="pl-PL"/>
        </w:rPr>
      </w:pPr>
      <w:r>
        <w:rPr>
          <w:lang w:val="pl-PL"/>
        </w:rPr>
        <w:t>Wyniki analizy przedstawie są na wykresie, przykładowy wykres na Rys. 8.</w:t>
      </w:r>
    </w:p>
    <w:p>
      <w:pPr>
        <w:bidi w:val="0"/>
        <w:rPr>
          <w:lang w:val="pl-PL"/>
        </w:rPr>
      </w:pPr>
    </w:p>
    <w:p>
      <w:pPr>
        <w:bidi w:val="0"/>
      </w:pPr>
      <w:r>
        <w:drawing>
          <wp:inline distT="0" distB="0" distL="114300" distR="114300">
            <wp:extent cx="5720080" cy="1458595"/>
            <wp:effectExtent l="0" t="0" r="254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15"/>
                    <a:stretch>
                      <a:fillRect/>
                    </a:stretch>
                  </pic:blipFill>
                  <pic:spPr>
                    <a:xfrm>
                      <a:off x="0" y="0"/>
                      <a:ext cx="5720080" cy="1458595"/>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8</w:t>
      </w:r>
      <w:r>
        <w:fldChar w:fldCharType="end"/>
      </w:r>
      <w:r>
        <w:rPr>
          <w:lang w:val="pl-PL"/>
        </w:rPr>
        <w:t xml:space="preserve">. Wyniki analizy </w:t>
      </w:r>
    </w:p>
    <w:p>
      <w:pPr>
        <w:rPr>
          <w:lang w:val="pl-PL"/>
        </w:rPr>
      </w:pPr>
    </w:p>
    <w:p>
      <w:pPr>
        <w:bidi w:val="0"/>
        <w:rPr>
          <w:lang w:val="pl-PL"/>
        </w:rPr>
      </w:pPr>
      <w:r>
        <w:rPr>
          <w:lang w:val="pl-PL"/>
        </w:rPr>
        <w:t>Górna część wykresu przedstawia cenę akcji w czasie dla analizowanej spółki, cena zmienia się tylko w godzinach 9-17, w dni robocze, jest to związane z godzinami pracy Giełdy Papierów Wartościowych. Wykres oparty jest o dane godzinowe.</w:t>
      </w:r>
    </w:p>
    <w:p>
      <w:pPr>
        <w:bidi w:val="0"/>
        <w:rPr>
          <w:lang w:val="pl-PL"/>
        </w:rPr>
      </w:pPr>
      <w:r>
        <w:rPr>
          <w:lang w:val="pl-PL"/>
        </w:rPr>
        <w:t>Dolny wykres przedstawia twitty w czasie. Os X jest wspólna z wykresem kursu akcji. Os Y przedstawia moc oddziaływania twitta oraz osoby która go opublikowała. Kształty i korowy twittów oznaczają:</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niebieskie koło </w:t>
      </w:r>
      <w:r>
        <w:t xml:space="preserve">– </w:t>
      </w:r>
      <w:r>
        <w:rPr>
          <w:lang w:val="pl-PL"/>
        </w:rPr>
        <w:t>twitt niesklasyfikowany</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żółty kwadrat - twitt zignorowany </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czerwony trójkąt - informacja negatywna</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zielony trójkąt - informacja pozytywna</w:t>
      </w:r>
    </w:p>
    <w:p>
      <w:pPr>
        <w:bidi w:val="0"/>
        <w:rPr>
          <w:lang w:val="pl-PL"/>
        </w:rPr>
      </w:pPr>
      <w:r>
        <w:rPr>
          <w:lang w:val="pl-PL"/>
        </w:rPr>
        <w:t xml:space="preserve">  </w:t>
      </w:r>
    </w:p>
    <w:p>
      <w:pPr>
        <w:bidi w:val="0"/>
        <w:rPr>
          <w:lang w:val="pl-PL"/>
        </w:rPr>
      </w:pPr>
    </w:p>
    <w:p>
      <w:pPr>
        <w:pStyle w:val="3"/>
        <w:numPr>
          <w:ilvl w:val="1"/>
          <w:numId w:val="1"/>
        </w:numPr>
        <w:ind w:left="0" w:leftChars="0" w:firstLine="0" w:firstLineChars="0"/>
        <w:rPr>
          <w:lang w:val="pl-PL"/>
        </w:rPr>
      </w:pPr>
      <w:bookmarkStart w:id="25" w:name="_Toc17201_WPSOffice_Level2"/>
      <w:r>
        <w:rPr>
          <w:lang w:val="pl-PL"/>
        </w:rPr>
        <w:t>Studium przepadku: PKN ORLEN</w:t>
      </w:r>
      <w:bookmarkEnd w:id="25"/>
    </w:p>
    <w:p>
      <w:pPr>
        <w:bidi w:val="0"/>
        <w:spacing w:before="0" w:beforeAutospacing="0" w:after="160" w:afterAutospacing="0" w:line="259" w:lineRule="auto"/>
        <w:ind w:left="360" w:right="0"/>
        <w:jc w:val="left"/>
      </w:pPr>
    </w:p>
    <w:p>
      <w:pPr>
        <w:bidi w:val="0"/>
      </w:pPr>
      <w:r>
        <w:drawing>
          <wp:inline distT="0" distB="0" distL="114300" distR="114300">
            <wp:extent cx="5727065" cy="1356995"/>
            <wp:effectExtent l="0" t="0" r="3175" b="6985"/>
            <wp:docPr id="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pic:cNvPicPr>
                      <a:picLocks noChangeAspect="1"/>
                    </pic:cNvPicPr>
                  </pic:nvPicPr>
                  <pic:blipFill>
                    <a:blip r:embed="rId16"/>
                    <a:stretch>
                      <a:fillRect/>
                    </a:stretch>
                  </pic:blipFill>
                  <pic:spPr>
                    <a:xfrm>
                      <a:off x="0" y="0"/>
                      <a:ext cx="5727065" cy="1356995"/>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9</w:t>
      </w:r>
      <w:r>
        <w:fldChar w:fldCharType="end"/>
      </w:r>
      <w:r>
        <w:rPr>
          <w:lang w:val="pl-PL"/>
        </w:rPr>
        <w:t>. Korelacja cen akcji i sentymentu twittów dla PKN ORLEN</w:t>
      </w:r>
    </w:p>
    <w:p>
      <w:pPr>
        <w:bidi w:val="0"/>
        <w:rPr>
          <w:lang w:val="pl-PL"/>
        </w:rPr>
      </w:pPr>
      <w:r>
        <w:rPr>
          <w:lang w:val="pl-PL"/>
        </w:rPr>
        <w:t>Dla PKN ORLEN na twitterze znajdowało się sporo informacji o sponsorowanych sportowcach: Orlen Team, twitty te jednak nie są zbyt popularne, mieszczą się w dolnej części wykresu.</w:t>
      </w:r>
    </w:p>
    <w:p>
      <w:pPr>
        <w:bidi w:val="0"/>
        <w:rPr>
          <w:lang w:val="pl-PL"/>
        </w:rPr>
      </w:pPr>
    </w:p>
    <w:p>
      <w:pPr>
        <w:bidi w:val="0"/>
      </w:pPr>
      <w:r>
        <w:drawing>
          <wp:inline distT="0" distB="0" distL="114300" distR="114300">
            <wp:extent cx="5725160" cy="1384300"/>
            <wp:effectExtent l="0" t="0" r="5080" b="2540"/>
            <wp:docPr id="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pic:cNvPicPr>
                      <a:picLocks noChangeAspect="1"/>
                    </pic:cNvPicPr>
                  </pic:nvPicPr>
                  <pic:blipFill>
                    <a:blip r:embed="rId17"/>
                    <a:stretch>
                      <a:fillRect/>
                    </a:stretch>
                  </pic:blipFill>
                  <pic:spPr>
                    <a:xfrm>
                      <a:off x="0" y="0"/>
                      <a:ext cx="5725160" cy="1384300"/>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10</w:t>
      </w:r>
      <w:r>
        <w:fldChar w:fldCharType="end"/>
      </w:r>
      <w:r>
        <w:rPr>
          <w:lang w:val="pl-PL"/>
        </w:rPr>
        <w:t>. Twitty o największej mocy</w:t>
      </w:r>
    </w:p>
    <w:p>
      <w:pPr>
        <w:rPr>
          <w:lang w:val="pl-PL"/>
        </w:rPr>
      </w:pPr>
    </w:p>
    <w:p>
      <w:pPr>
        <w:bidi w:val="0"/>
        <w:rPr>
          <w:lang w:val="pl-PL"/>
        </w:rPr>
      </w:pPr>
      <w:r>
        <w:rPr>
          <w:lang w:val="pl-PL"/>
        </w:rPr>
        <w:t>Najbardziej znaczące twitty zostały opublikowane przez:</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Bartek Piekarski</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Wojciech Jakóbik</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Rzeczpospolita Ekonomia</w:t>
      </w:r>
    </w:p>
    <w:p>
      <w:pPr>
        <w:pStyle w:val="18"/>
        <w:numPr>
          <w:ilvl w:val="0"/>
          <w:numId w:val="3"/>
        </w:numPr>
        <w:bidi w:val="0"/>
        <w:spacing w:before="0" w:beforeAutospacing="0" w:after="160" w:afterAutospacing="0" w:line="259" w:lineRule="auto"/>
        <w:ind w:right="0"/>
        <w:jc w:val="left"/>
        <w:rPr>
          <w:lang w:val="pl-PL"/>
        </w:rPr>
      </w:pPr>
      <w:r>
        <w:rPr>
          <w:rFonts w:hint="default"/>
          <w:lang w:val="pl-PL"/>
        </w:rPr>
        <w:t>Jarosław Szmyt</w:t>
      </w:r>
      <w:r>
        <w:rPr>
          <w:lang w:val="pl-PL"/>
        </w:rPr>
        <w:t xml:space="preserve"> </w:t>
      </w:r>
    </w:p>
    <w:p>
      <w:pPr>
        <w:bidi w:val="0"/>
        <w:rPr>
          <w:lang w:val="pl-PL"/>
        </w:rPr>
      </w:pPr>
      <w:r>
        <w:rPr>
          <w:lang w:val="pl-PL"/>
        </w:rPr>
        <w:t xml:space="preserve">Jeden z twittów  ( oznaczony zieloną ramką na Rys. 10.) wydaje się być wyprzedzający zmianę kursu akcji. Jest to twitt </w:t>
      </w:r>
      <w:r>
        <w:rPr>
          <w:rFonts w:hint="default"/>
          <w:lang w:val="pl-PL"/>
        </w:rPr>
        <w:t xml:space="preserve">Jarosław Szmyt który odnosi się do artykułu zamieszczonego na stronie FMF FM pod tytułem:  </w:t>
      </w:r>
      <w:r>
        <w:rPr>
          <w:rFonts w:hint="default"/>
          <w:i/>
          <w:iCs/>
          <w:lang w:val="pl-PL"/>
        </w:rPr>
        <w:t xml:space="preserve">„Zanieczyszczona ropa z Rosji: Niemcy chcą przerzucić problem na Polskę?”. </w:t>
      </w:r>
      <w:r>
        <w:rPr>
          <w:rFonts w:hint="default"/>
          <w:i w:val="0"/>
          <w:iCs w:val="0"/>
          <w:lang w:val="pl-PL"/>
        </w:rPr>
        <w:t xml:space="preserve">Jest to informacje która mogła mieć wpływ na notowania PNK ORLEN, aczkolwiek akcjonariusze mogli pozyskać tę informacje z różnych kanałów. </w:t>
      </w:r>
    </w:p>
    <w:p>
      <w:pPr>
        <w:rPr>
          <w:lang w:val="pl-PL"/>
        </w:rPr>
      </w:pPr>
    </w:p>
    <w:p>
      <w:pPr>
        <w:pStyle w:val="3"/>
        <w:numPr>
          <w:ilvl w:val="1"/>
          <w:numId w:val="1"/>
        </w:numPr>
        <w:ind w:left="0" w:leftChars="0" w:firstLine="0" w:firstLineChars="0"/>
        <w:rPr>
          <w:lang w:val="pl-PL"/>
        </w:rPr>
      </w:pPr>
      <w:bookmarkStart w:id="26" w:name="_Toc10693_WPSOffice_Level2"/>
      <w:r>
        <w:rPr>
          <w:lang w:val="pl-PL"/>
        </w:rPr>
        <w:t>Studium przepadku: CD PROJECT</w:t>
      </w:r>
      <w:bookmarkEnd w:id="26"/>
    </w:p>
    <w:p>
      <w:pPr>
        <w:rPr>
          <w:lang w:val="pl-PL"/>
        </w:rPr>
      </w:pPr>
    </w:p>
    <w:p>
      <w:r>
        <w:drawing>
          <wp:inline distT="0" distB="0" distL="114300" distR="114300">
            <wp:extent cx="5715000" cy="1405890"/>
            <wp:effectExtent l="0" t="0" r="0" b="381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
                    <pic:cNvPicPr>
                      <a:picLocks noChangeAspect="1"/>
                    </pic:cNvPicPr>
                  </pic:nvPicPr>
                  <pic:blipFill>
                    <a:blip r:embed="rId18"/>
                    <a:stretch>
                      <a:fillRect/>
                    </a:stretch>
                  </pic:blipFill>
                  <pic:spPr>
                    <a:xfrm>
                      <a:off x="0" y="0"/>
                      <a:ext cx="5715000" cy="1405890"/>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11</w:t>
      </w:r>
      <w:r>
        <w:fldChar w:fldCharType="end"/>
      </w:r>
      <w:r>
        <w:rPr>
          <w:lang w:val="pl-PL"/>
        </w:rPr>
        <w:t xml:space="preserve">. Korelacja kursu akcji CD PROJEKT z sentymentami twittów </w:t>
      </w:r>
    </w:p>
    <w:p>
      <w:pPr>
        <w:rPr>
          <w:lang w:val="pl-PL"/>
        </w:rPr>
      </w:pPr>
    </w:p>
    <w:p>
      <w:pPr>
        <w:bidi w:val="0"/>
        <w:rPr>
          <w:rFonts w:hint="default"/>
          <w:lang w:val="pl-PL"/>
        </w:rPr>
      </w:pPr>
      <w:r>
        <w:rPr>
          <w:lang w:val="pl-PL"/>
        </w:rPr>
        <w:t xml:space="preserve">Dla CD PROJEKT najbardziej znaczącą informacją był twitt WPROST o oczekiwaniach w związku z grą </w:t>
      </w:r>
      <w:r>
        <w:rPr>
          <w:rFonts w:hint="default"/>
          <w:lang w:val="pl-PL"/>
        </w:rPr>
        <w:t xml:space="preserve">„Cyberpunk 2077”, nie miał on jednak wpływy na cenę akcji. </w:t>
      </w:r>
    </w:p>
    <w:p>
      <w:pPr>
        <w:bidi w:val="0"/>
        <w:rPr>
          <w:rFonts w:hint="default"/>
          <w:lang w:val="pl-PL"/>
        </w:rPr>
      </w:pPr>
      <w:r>
        <w:rPr>
          <w:rFonts w:hint="default"/>
          <w:lang w:val="pl-PL"/>
        </w:rPr>
        <w:t>Kurs firmy znacząco wzrósł  miedzy czwartkową a piątkową sesją. Analiza twittów z tego okresu odpowiada na pytanie dlaczego tak się stało. O 2019-05-24 07:00:33 na twittterze pojawiła się informacja o nadspodziewanie dobrych wynikach finansowych firmy, opublikowana przez Wirtualnemedia.pl, ta informacja pochodziła z oficjalnego raportu firmy opublikowanego 23-05 o 18:00 (juz po zamknięciu rynku w czwartek).</w:t>
      </w:r>
    </w:p>
    <w:p>
      <w:pPr>
        <w:bidi w:val="0"/>
        <w:rPr>
          <w:lang w:val="pl-PL"/>
        </w:rPr>
      </w:pPr>
      <w:r>
        <w:rPr>
          <w:lang w:val="pl-PL"/>
        </w:rPr>
        <w:t xml:space="preserve">       </w:t>
      </w:r>
    </w:p>
    <w:p>
      <w:pPr>
        <w:pStyle w:val="3"/>
        <w:numPr>
          <w:ilvl w:val="1"/>
          <w:numId w:val="1"/>
        </w:numPr>
        <w:ind w:left="0" w:leftChars="0" w:firstLine="0" w:firstLineChars="0"/>
        <w:rPr>
          <w:lang w:val="pl-PL"/>
        </w:rPr>
      </w:pPr>
      <w:bookmarkStart w:id="27" w:name="_Toc2691_WPSOffice_Level2"/>
      <w:r>
        <w:rPr>
          <w:lang w:val="pl-PL"/>
        </w:rPr>
        <w:t>Studium przepadku: GRUPA AZOTY</w:t>
      </w:r>
      <w:bookmarkEnd w:id="27"/>
    </w:p>
    <w:p>
      <w:pPr>
        <w:rPr>
          <w:lang w:val="pl-PL"/>
        </w:rPr>
      </w:pPr>
    </w:p>
    <w:p>
      <w:r>
        <w:drawing>
          <wp:inline distT="0" distB="0" distL="114300" distR="114300">
            <wp:extent cx="5730875" cy="1416685"/>
            <wp:effectExtent l="0" t="0" r="6985" b="635"/>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pic:cNvPicPr>
                      <a:picLocks noChangeAspect="1"/>
                    </pic:cNvPicPr>
                  </pic:nvPicPr>
                  <pic:blipFill>
                    <a:blip r:embed="rId19"/>
                    <a:stretch>
                      <a:fillRect/>
                    </a:stretch>
                  </pic:blipFill>
                  <pic:spPr>
                    <a:xfrm>
                      <a:off x="0" y="0"/>
                      <a:ext cx="5730875" cy="1416685"/>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12</w:t>
      </w:r>
      <w:r>
        <w:fldChar w:fldCharType="end"/>
      </w:r>
      <w:r>
        <w:rPr>
          <w:lang w:val="pl-PL"/>
        </w:rPr>
        <w:t>. Kurs GRUPY AZOTY oraz najważniejsze twitty ( współczynik mocy wiekszy od 40 000)</w:t>
      </w:r>
    </w:p>
    <w:p>
      <w:pPr>
        <w:rPr>
          <w:lang w:val="pl-PL"/>
        </w:rPr>
      </w:pPr>
    </w:p>
    <w:p>
      <w:pPr>
        <w:rPr>
          <w:rFonts w:hint="default"/>
          <w:lang w:val="pl-PL"/>
        </w:rPr>
      </w:pPr>
      <w:r>
        <w:rPr>
          <w:lang w:val="pl-PL"/>
        </w:rPr>
        <w:t xml:space="preserve">Kurs GRUPY AZOTY był skorelowany a najważniejszymi twittami. Od poniedziałku do czwartku najistotniejszymi informacjami były te opublikowane przez </w:t>
      </w:r>
      <w:r>
        <w:rPr>
          <w:rFonts w:hint="default"/>
          <w:lang w:val="pl-PL"/>
        </w:rPr>
        <w:t xml:space="preserve">„Green-news.pl”i „wGospodarce.pl” na temat planowanych inwestycji w zieloną energie. W czwartek pojawiła się informacja o podpisaniu umowy długoterminowej na zakup gazy przedstawiona na Rys. 13. Żadna jednak z opublikowanych informacji nie jest przełomowa dla grupy. </w:t>
      </w:r>
    </w:p>
    <w:p>
      <w:pPr>
        <w:rPr>
          <w:rFonts w:hint="default"/>
          <w:lang w:val="pl-PL"/>
        </w:rPr>
      </w:pPr>
    </w:p>
    <w:p>
      <w:r>
        <w:drawing>
          <wp:inline distT="0" distB="0" distL="114300" distR="114300">
            <wp:extent cx="5725160" cy="257810"/>
            <wp:effectExtent l="0" t="0" r="5080" b="1270"/>
            <wp:docPr id="1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3"/>
                    <pic:cNvPicPr>
                      <a:picLocks noChangeAspect="1"/>
                    </pic:cNvPicPr>
                  </pic:nvPicPr>
                  <pic:blipFill>
                    <a:blip r:embed="rId20"/>
                    <a:stretch>
                      <a:fillRect/>
                    </a:stretch>
                  </pic:blipFill>
                  <pic:spPr>
                    <a:xfrm>
                      <a:off x="0" y="0"/>
                      <a:ext cx="5725160" cy="257810"/>
                    </a:xfrm>
                    <a:prstGeom prst="rect">
                      <a:avLst/>
                    </a:prstGeom>
                    <a:noFill/>
                    <a:ln w="9525">
                      <a:noFill/>
                    </a:ln>
                  </pic:spPr>
                </pic:pic>
              </a:graphicData>
            </a:graphic>
          </wp:inline>
        </w:drawing>
      </w:r>
    </w:p>
    <w:p>
      <w:pPr>
        <w:pStyle w:val="4"/>
        <w:rPr>
          <w:rFonts w:hint="default"/>
          <w:lang w:val="pl-PL"/>
        </w:rPr>
      </w:pPr>
      <w:r>
        <w:t xml:space="preserve">Rys. </w:t>
      </w:r>
      <w:r>
        <w:fldChar w:fldCharType="begin"/>
      </w:r>
      <w:r>
        <w:instrText xml:space="preserve"> SEQ Rys. \* ARABIC </w:instrText>
      </w:r>
      <w:r>
        <w:fldChar w:fldCharType="separate"/>
      </w:r>
      <w:r>
        <w:t>13</w:t>
      </w:r>
      <w:r>
        <w:fldChar w:fldCharType="end"/>
      </w:r>
      <w:r>
        <w:rPr>
          <w:lang w:val="pl-PL"/>
        </w:rPr>
        <w:t>. Przykład pozytywnej informacji dla GRUPY AZOTY</w:t>
      </w:r>
    </w:p>
    <w:p>
      <w:pPr>
        <w:rPr>
          <w:lang w:val="pl-PL"/>
        </w:rPr>
      </w:pPr>
    </w:p>
    <w:p>
      <w:pPr>
        <w:pStyle w:val="3"/>
        <w:numPr>
          <w:ilvl w:val="1"/>
          <w:numId w:val="1"/>
        </w:numPr>
        <w:ind w:left="0" w:leftChars="0" w:firstLine="0" w:firstLineChars="0"/>
        <w:rPr>
          <w:lang w:val="pl-PL"/>
        </w:rPr>
      </w:pPr>
      <w:bookmarkStart w:id="28" w:name="_Toc18889_WPSOffice_Level2"/>
      <w:r>
        <w:rPr>
          <w:lang w:val="pl-PL"/>
        </w:rPr>
        <w:t>Studium przepadku:  LPP</w:t>
      </w:r>
      <w:bookmarkEnd w:id="28"/>
    </w:p>
    <w:p>
      <w:pPr>
        <w:rPr>
          <w:lang w:val="pl-PL"/>
        </w:rPr>
      </w:pPr>
    </w:p>
    <w:p>
      <w:r>
        <w:drawing>
          <wp:inline distT="0" distB="0" distL="114300" distR="114300">
            <wp:extent cx="5730240" cy="1457960"/>
            <wp:effectExtent l="0" t="0" r="0" b="508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
                    <pic:cNvPicPr>
                      <a:picLocks noChangeAspect="1"/>
                    </pic:cNvPicPr>
                  </pic:nvPicPr>
                  <pic:blipFill>
                    <a:blip r:embed="rId21"/>
                    <a:stretch>
                      <a:fillRect/>
                    </a:stretch>
                  </pic:blipFill>
                  <pic:spPr>
                    <a:xfrm>
                      <a:off x="0" y="0"/>
                      <a:ext cx="5730240" cy="1457960"/>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14</w:t>
      </w:r>
      <w:r>
        <w:fldChar w:fldCharType="end"/>
      </w:r>
      <w:r>
        <w:rPr>
          <w:lang w:val="pl-PL"/>
        </w:rPr>
        <w:t>. Korelacja kursu akcji LPP z sentymentem twittów</w:t>
      </w:r>
    </w:p>
    <w:p/>
    <w:p>
      <w:pPr>
        <w:rPr>
          <w:lang w:val="pl-PL"/>
        </w:rPr>
      </w:pPr>
      <w:r>
        <w:rPr>
          <w:lang w:val="pl-PL"/>
        </w:rPr>
        <w:t xml:space="preserve">Firmy z branży odzieżowej wykorzystują wszystkie dostępne kanały dla swojej promocji, dlatego duża ilość twittów  związana jest z tą działalnością. Z uwagi na fakt ze nazwa marek LPP jest używana w wielu innych kontekstach, wiec także mamy do czynienia z dużą ilością szumu (twittów nie związanych z firmą LLP). </w:t>
      </w:r>
    </w:p>
    <w:p>
      <w:r>
        <w:drawing>
          <wp:inline distT="0" distB="0" distL="114300" distR="114300">
            <wp:extent cx="5724525" cy="1507490"/>
            <wp:effectExtent l="0" t="0" r="5715" b="1270"/>
            <wp:docPr id="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pic:cNvPicPr>
                      <a:picLocks noChangeAspect="1"/>
                    </pic:cNvPicPr>
                  </pic:nvPicPr>
                  <pic:blipFill>
                    <a:blip r:embed="rId22"/>
                    <a:stretch>
                      <a:fillRect/>
                    </a:stretch>
                  </pic:blipFill>
                  <pic:spPr>
                    <a:xfrm>
                      <a:off x="0" y="0"/>
                      <a:ext cx="5724525" cy="1507490"/>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15</w:t>
      </w:r>
      <w:r>
        <w:fldChar w:fldCharType="end"/>
      </w:r>
      <w:r>
        <w:rPr>
          <w:lang w:val="pl-PL"/>
        </w:rPr>
        <w:t>. Najważniejsze twitty związane z LPP</w:t>
      </w:r>
    </w:p>
    <w:p>
      <w:pPr>
        <w:rPr>
          <w:lang w:val="pl-PL"/>
        </w:rPr>
      </w:pPr>
    </w:p>
    <w:p>
      <w:pPr>
        <w:rPr>
          <w:lang w:val="pl-PL"/>
        </w:rPr>
      </w:pPr>
      <w:r>
        <w:rPr>
          <w:lang w:val="pl-PL"/>
        </w:rPr>
        <w:t xml:space="preserve">Szczegółowa analiza informacji wyjaśnia lekki wzrost w środę, co było spowodowane ujawnieniem informacji o zamiarze  nowej inwestycji. Zmiana z czwartku nie jest już tak oczywista.  Żaden z opublikowanych twittów nie daje powodów takiej wyprzedaży akcji LPP. Inne źródła także nie zamieszczają negatywnych informacji dla inwestorów. Dla przykładu zamieszczam informację publikowane dla LPP przez bankier.pl, między 22-05 a 28-05 nie opublikowano żadnej informacji. </w:t>
      </w:r>
    </w:p>
    <w:p>
      <w:pPr>
        <w:rPr>
          <w:lang w:val="pl-PL"/>
        </w:rPr>
      </w:pPr>
    </w:p>
    <w:p>
      <w:r>
        <w:drawing>
          <wp:inline distT="0" distB="0" distL="114300" distR="114300">
            <wp:extent cx="5861685" cy="2425700"/>
            <wp:effectExtent l="0" t="0" r="5715" b="5080"/>
            <wp:docPr id="1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2"/>
                    <pic:cNvPicPr>
                      <a:picLocks noChangeAspect="1"/>
                    </pic:cNvPicPr>
                  </pic:nvPicPr>
                  <pic:blipFill>
                    <a:blip r:embed="rId23"/>
                    <a:stretch>
                      <a:fillRect/>
                    </a:stretch>
                  </pic:blipFill>
                  <pic:spPr>
                    <a:xfrm>
                      <a:off x="0" y="0"/>
                      <a:ext cx="5861685" cy="2425700"/>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16</w:t>
      </w:r>
      <w:r>
        <w:fldChar w:fldCharType="end"/>
      </w:r>
      <w:r>
        <w:rPr>
          <w:lang w:val="pl-PL"/>
        </w:rPr>
        <w:t xml:space="preserve">. Informację o firmie LPP z portalu bankier.pl </w:t>
      </w:r>
    </w:p>
    <w:p>
      <w:pPr>
        <w:rPr>
          <w:lang w:val="pl-PL"/>
        </w:rPr>
      </w:pPr>
    </w:p>
    <w:p>
      <w:pPr>
        <w:bidi w:val="0"/>
      </w:pPr>
    </w:p>
    <w:p>
      <w:pPr>
        <w:pStyle w:val="3"/>
        <w:numPr>
          <w:ilvl w:val="1"/>
          <w:numId w:val="1"/>
        </w:numPr>
        <w:ind w:left="0" w:leftChars="0" w:firstLine="0" w:firstLineChars="0"/>
        <w:rPr>
          <w:lang w:val="pl-PL"/>
        </w:rPr>
      </w:pPr>
      <w:bookmarkStart w:id="29" w:name="_Toc19111_WPSOffice_Level2"/>
      <w:r>
        <w:rPr>
          <w:lang w:val="pl-PL"/>
        </w:rPr>
        <w:t>Podsumowanie</w:t>
      </w:r>
      <w:bookmarkEnd w:id="29"/>
    </w:p>
    <w:p>
      <w:pPr>
        <w:rPr>
          <w:lang w:val="pl-PL"/>
        </w:rPr>
      </w:pPr>
      <w:r>
        <w:rPr>
          <w:lang w:val="pl-PL"/>
        </w:rPr>
        <w:t xml:space="preserve">Na podstawie przeanalizowanych przykładów nie możemy stwierdzić że twitter odgrywa kluczową role dla kursu cen akcji. Dla żadnej z przeanalizowanej spółki nie odnalazłem kluczowej osoby, informacji która była by </w:t>
      </w:r>
      <w:r>
        <w:rPr>
          <w:rFonts w:hint="default"/>
          <w:lang w:val="pl-PL"/>
        </w:rPr>
        <w:t>‘</w:t>
      </w:r>
      <w:r>
        <w:rPr>
          <w:lang w:val="pl-PL"/>
        </w:rPr>
        <w:t>breaking news</w:t>
      </w:r>
      <w:r>
        <w:rPr>
          <w:rFonts w:hint="default"/>
          <w:lang w:val="pl-PL"/>
        </w:rPr>
        <w:t>’ opublikowana tylko na twitterze i powodująca gwałtowną reakcje giełdy.</w:t>
      </w:r>
    </w:p>
    <w:p>
      <w:pPr>
        <w:bidi w:val="0"/>
      </w:pPr>
    </w:p>
    <w:p>
      <w:pPr>
        <w:bidi w:val="0"/>
      </w:pPr>
    </w:p>
    <w:p>
      <w:pPr>
        <w:pStyle w:val="2"/>
        <w:numPr>
          <w:ilvl w:val="0"/>
          <w:numId w:val="1"/>
        </w:numPr>
        <w:bidi w:val="0"/>
        <w:ind w:left="0" w:leftChars="0" w:firstLine="0" w:firstLineChars="0"/>
      </w:pPr>
      <w:bookmarkStart w:id="30" w:name="_Toc17201_WPSOffice_Level1"/>
      <w:r>
        <w:t>Referencje</w:t>
      </w:r>
      <w:bookmarkEnd w:id="30"/>
    </w:p>
    <w:p>
      <w:pPr>
        <w:bidi w:val="0"/>
      </w:pPr>
    </w:p>
    <w:p>
      <w:pPr>
        <w:pStyle w:val="18"/>
        <w:numPr>
          <w:ilvl w:val="0"/>
          <w:numId w:val="4"/>
        </w:numPr>
        <w:bidi w:val="0"/>
        <w:rPr>
          <w:sz w:val="22"/>
          <w:szCs w:val="22"/>
          <w:lang w:val="pl-PL"/>
        </w:rPr>
      </w:pPr>
      <w:r>
        <w:rPr>
          <w:rFonts w:ascii="Calibri" w:hAnsi="Calibri" w:eastAsia="Calibri" w:cs="Calibri"/>
          <w:sz w:val="22"/>
          <w:szCs w:val="22"/>
          <w:lang w:val="pl-PL"/>
        </w:rPr>
        <w:fldChar w:fldCharType="begin"/>
      </w:r>
      <w:r>
        <w:rPr>
          <w:rFonts w:ascii="Calibri" w:hAnsi="Calibri" w:eastAsia="Calibri" w:cs="Calibri"/>
          <w:sz w:val="22"/>
          <w:szCs w:val="22"/>
          <w:lang w:val="pl-PL"/>
        </w:rPr>
        <w:instrText xml:space="preserve"> HYPERLINK "https://www.bankier.pl" </w:instrText>
      </w:r>
      <w:r>
        <w:rPr>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https://www.bankier.pl</w:t>
      </w:r>
      <w:r>
        <w:rPr>
          <w:rFonts w:ascii="Calibri" w:hAnsi="Calibri" w:eastAsia="Calibri" w:cs="Calibri"/>
          <w:sz w:val="22"/>
          <w:szCs w:val="22"/>
          <w:lang w:val="pl-PL"/>
        </w:rPr>
        <w:fldChar w:fldCharType="end"/>
      </w:r>
      <w:r>
        <w:rPr>
          <w:rFonts w:ascii="Calibri" w:hAnsi="Calibri" w:eastAsia="Calibri" w:cs="Calibri"/>
          <w:sz w:val="22"/>
          <w:szCs w:val="22"/>
          <w:lang w:val="pl-PL"/>
        </w:rPr>
        <w:t xml:space="preserve"> - strona z informacjami o kursach akcji i nie tylko</w:t>
      </w:r>
    </w:p>
    <w:p>
      <w:pPr>
        <w:pStyle w:val="18"/>
        <w:numPr>
          <w:ilvl w:val="0"/>
          <w:numId w:val="4"/>
        </w:numPr>
        <w:bidi w:val="0"/>
        <w:spacing w:before="0" w:beforeAutospacing="0" w:after="0" w:afterAutospacing="0" w:line="259" w:lineRule="auto"/>
        <w:ind w:left="720" w:right="0" w:hanging="360"/>
        <w:jc w:val="left"/>
        <w:rPr>
          <w:i w:val="0"/>
          <w:iCs w:val="0"/>
          <w:color w:val="333333"/>
          <w:sz w:val="22"/>
          <w:szCs w:val="22"/>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"http://www.tweepy.org"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http://www.tweepy.org</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strona biblioteki implementującej komunikacje z twitterem</w:t>
      </w:r>
    </w:p>
    <w:p>
      <w:pPr>
        <w:pStyle w:val="18"/>
        <w:numPr>
          <w:ilvl w:val="0"/>
          <w:numId w:val="4"/>
        </w:numPr>
        <w:bidi w:val="0"/>
        <w:spacing w:before="0" w:beforeAutospacing="0" w:after="0" w:afterAutospacing="0" w:line="259" w:lineRule="auto"/>
        <w:ind w:left="720" w:right="0" w:hanging="360"/>
        <w:jc w:val="left"/>
        <w:rPr>
          <w:rStyle w:val="10"/>
          <w:rFonts w:ascii="Calibri" w:hAnsi="Calibri" w:eastAsia="Calibri" w:cs="Calibri"/>
          <w:sz w:val="22"/>
          <w:szCs w:val="22"/>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"https://github.com/PyConPL/Book/tree/master/2013/przetwarzanie_jezyka_naturalnego_w_praktyce"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https://github.com/PyConPL/Book/tree/master/2013/przetwarzanie_jezyka_naturalnego_w_praktyce</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praktyczne informajce o analizie tekstu w jezyku polskim </w:t>
      </w:r>
    </w:p>
    <w:p>
      <w:pPr>
        <w:pStyle w:val="18"/>
        <w:numPr>
          <w:ilvl w:val="0"/>
          <w:numId w:val="4"/>
        </w:numPr>
        <w:bidi w:val="0"/>
        <w:spacing w:before="0" w:beforeAutospacing="0" w:after="0" w:afterAutospacing="0" w:line="259" w:lineRule="auto"/>
        <w:ind w:right="0"/>
        <w:jc w:val="left"/>
        <w:rPr>
          <w:sz w:val="22"/>
          <w:szCs w:val="22"/>
          <w:lang w:val="pl-PL"/>
        </w:rPr>
      </w:pPr>
      <w:r>
        <w:rPr>
          <w:rFonts w:ascii="Calibri" w:hAnsi="Calibri" w:eastAsia="Calibri" w:cs="Calibri"/>
          <w:sz w:val="22"/>
          <w:szCs w:val="22"/>
          <w:lang w:val="pl-PL"/>
        </w:rPr>
        <w:fldChar w:fldCharType="begin"/>
      </w:r>
      <w:r>
        <w:rPr>
          <w:rFonts w:ascii="Calibri" w:hAnsi="Calibri" w:eastAsia="Calibri" w:cs="Calibri"/>
          <w:sz w:val="22"/>
          <w:szCs w:val="22"/>
          <w:lang w:val="pl-PL"/>
        </w:rPr>
        <w:instrText xml:space="preserve"> HYPERLINK "http://www.nltk.org" </w:instrText>
      </w:r>
      <w:r>
        <w:rPr>
          <w:rFonts w:ascii="Calibri" w:hAnsi="Calibri" w:eastAsia="Calibri" w:cs="Calibri"/>
          <w:sz w:val="22"/>
          <w:szCs w:val="22"/>
          <w:lang w:val="pl-PL"/>
        </w:rPr>
        <w:fldChar w:fldCharType="separate"/>
      </w:r>
      <w:r>
        <w:rPr>
          <w:rStyle w:val="10"/>
          <w:rFonts w:ascii="Calibri" w:hAnsi="Calibri" w:eastAsia="Calibri" w:cs="Calibri"/>
          <w:sz w:val="22"/>
          <w:szCs w:val="22"/>
          <w:lang w:val="pl-PL"/>
        </w:rPr>
        <w:t>http://www.nltk.org</w:t>
      </w:r>
      <w:r>
        <w:rPr>
          <w:rFonts w:ascii="Calibri" w:hAnsi="Calibri" w:eastAsia="Calibri" w:cs="Calibri"/>
          <w:sz w:val="22"/>
          <w:szCs w:val="22"/>
          <w:lang w:val="pl-PL"/>
        </w:rPr>
        <w:fldChar w:fldCharType="end"/>
      </w:r>
      <w:r>
        <w:rPr>
          <w:rFonts w:ascii="Calibri" w:hAnsi="Calibri" w:eastAsia="Calibri" w:cs="Calibri"/>
          <w:sz w:val="22"/>
          <w:szCs w:val="22"/>
          <w:lang w:val="pl-PL"/>
        </w:rPr>
        <w:t xml:space="preserve"> - biblioteka do procesowania języka naturalnego</w:t>
      </w:r>
    </w:p>
    <w:p>
      <w:pPr>
        <w:pStyle w:val="18"/>
        <w:numPr>
          <w:ilvl w:val="0"/>
          <w:numId w:val="4"/>
        </w:numPr>
        <w:bidi w:val="0"/>
        <w:spacing w:before="0" w:beforeAutospacing="0" w:after="0" w:afterAutospacing="0" w:line="259" w:lineRule="auto"/>
        <w:ind w:left="720" w:right="0" w:hanging="360"/>
        <w:jc w:val="left"/>
        <w:rPr>
          <w:i w:val="0"/>
          <w:iCs w:val="0"/>
          <w:color w:val="333333"/>
          <w:sz w:val="22"/>
          <w:szCs w:val="22"/>
          <w:u w:val="none"/>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"https://github.com/agh-glk/pydic"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https://github.com/agh-glk/pydic</w:t>
      </w:r>
      <w:r>
        <w:rPr>
          <w:rStyle w:val="10"/>
          <w:rFonts w:ascii="Calibri" w:hAnsi="Calibri" w:eastAsia="Calibri" w:cs="Calibri"/>
          <w:sz w:val="22"/>
          <w:szCs w:val="22"/>
          <w:lang w:val="pl-PL"/>
        </w:rPr>
        <w:fldChar w:fldCharType="end"/>
      </w:r>
      <w:r>
        <w:rPr>
          <w:rStyle w:val="10"/>
          <w:rFonts w:ascii="Calibri" w:hAnsi="Calibri" w:eastAsia="Calibri" w:cs="Calibri"/>
          <w:sz w:val="22"/>
          <w:szCs w:val="22"/>
          <w:lang w:val="pl-PL"/>
        </w:rPr>
        <w:t xml:space="preserve"> </w:t>
      </w:r>
      <w:r>
        <w:rPr>
          <w:rFonts w:ascii="Calibri" w:hAnsi="Calibri" w:eastAsia="Calibri" w:cs="Calibri"/>
          <w:sz w:val="22"/>
          <w:szCs w:val="22"/>
          <w:lang w:val="pl-PL"/>
        </w:rPr>
        <w:t xml:space="preserve"> - narządzie do  sprowadzania wyrazów do formy podstawowej</w:t>
      </w:r>
    </w:p>
    <w:p>
      <w:pPr>
        <w:pStyle w:val="18"/>
        <w:numPr>
          <w:ilvl w:val="0"/>
          <w:numId w:val="4"/>
        </w:numPr>
        <w:bidi w:val="0"/>
        <w:spacing w:before="0" w:beforeAutospacing="0" w:after="0" w:afterAutospacing="0" w:line="259" w:lineRule="auto"/>
        <w:ind w:left="720" w:right="0" w:hanging="360"/>
        <w:jc w:val="left"/>
        <w:rPr>
          <w:i w:val="0"/>
          <w:iCs w:val="0"/>
          <w:color w:val="333333"/>
          <w:sz w:val="22"/>
          <w:szCs w:val="22"/>
          <w:u w:val="none"/>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"http://jsonviewer.stack.hu"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http://jsonviewer.stack.hu</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narzędzie do wizualizacji json</w:t>
      </w:r>
    </w:p>
    <w:p>
      <w:pPr>
        <w:pStyle w:val="18"/>
        <w:numPr>
          <w:ilvl w:val="0"/>
          <w:numId w:val="4"/>
        </w:numPr>
        <w:bidi w:val="0"/>
        <w:spacing w:before="0" w:beforeAutospacing="0" w:after="0" w:afterAutospacing="0" w:line="259" w:lineRule="auto"/>
        <w:ind w:left="720" w:right="0" w:hanging="360"/>
        <w:jc w:val="left"/>
        <w:rPr>
          <w:sz w:val="22"/>
          <w:szCs w:val="22"/>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"https://sjp.pl/slownik/odmiany"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https://sjp.pl/slownik/odmiany</w:t>
      </w:r>
      <w:r>
        <w:rPr>
          <w:rStyle w:val="10"/>
          <w:rFonts w:ascii="Calibri" w:hAnsi="Calibri" w:eastAsia="Calibri" w:cs="Calibri"/>
          <w:sz w:val="22"/>
          <w:szCs w:val="22"/>
          <w:lang w:val="pl-PL"/>
        </w:rPr>
        <w:fldChar w:fldCharType="end"/>
      </w:r>
      <w:r>
        <w:rPr>
          <w:rStyle w:val="10"/>
          <w:rFonts w:ascii="Calibri" w:hAnsi="Calibri" w:eastAsia="Calibri" w:cs="Calibri"/>
          <w:sz w:val="22"/>
          <w:szCs w:val="22"/>
          <w:lang w:val="pl-PL"/>
        </w:rPr>
        <w:t xml:space="preserve"> </w:t>
      </w:r>
      <w:r>
        <w:rPr>
          <w:rFonts w:ascii="Calibri" w:hAnsi="Calibri" w:eastAsia="Calibri" w:cs="Calibri"/>
          <w:sz w:val="22"/>
          <w:szCs w:val="22"/>
          <w:lang w:val="pl-PL"/>
        </w:rPr>
        <w:t xml:space="preserve">- słownik fonetyczny dla języka polskiego </w:t>
      </w:r>
    </w:p>
    <w:p>
      <w:pPr>
        <w:bidi w:val="0"/>
      </w:pPr>
    </w:p>
    <w:p>
      <w:pPr>
        <w:bidi w:val="0"/>
      </w:pPr>
    </w:p>
    <w:sectPr>
      <w:footerReference r:id="rId5" w:type="default"/>
      <w:pgSz w:w="11906" w:h="16838"/>
      <w:pgMar w:top="1440" w:right="1440" w:bottom="1440" w:left="1440" w:header="708" w:footer="708"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225" w:type="dxa"/>
      <w:tblInd w:w="0" w:type="dxa"/>
      <w:tblLayout w:type="fixed"/>
      <w:tblCellMar>
        <w:top w:w="0" w:type="dxa"/>
        <w:left w:w="108" w:type="dxa"/>
        <w:bottom w:w="0" w:type="dxa"/>
        <w:right w:w="108" w:type="dxa"/>
      </w:tblCellMar>
    </w:tblPr>
    <w:tblGrid>
      <w:gridCol w:w="2308"/>
      <w:gridCol w:w="2308"/>
      <w:gridCol w:w="2308"/>
      <w:gridCol w:w="2301"/>
    </w:tblGrid>
    <w:tr>
      <w:tblPrEx>
        <w:tblLayout w:type="fixed"/>
      </w:tblPrEx>
      <w:tc>
        <w:tcPr>
          <w:tcW w:w="2308" w:type="dxa"/>
        </w:tcPr>
        <w:p>
          <w:pPr>
            <w:pStyle w:val="6"/>
            <w:bidi w:val="0"/>
            <w:ind w:left="-115"/>
            <w:jc w:val="left"/>
          </w:pPr>
        </w:p>
      </w:tc>
      <w:tc>
        <w:tcPr>
          <w:tcW w:w="2308" w:type="dxa"/>
        </w:tcPr>
        <w:p>
          <w:pPr>
            <w:pStyle w:val="6"/>
            <w:bidi w:val="0"/>
            <w:jc w:val="center"/>
          </w:pPr>
        </w:p>
      </w:tc>
      <w:tc>
        <w:tcPr>
          <w:tcW w:w="2308" w:type="dxa"/>
        </w:tcPr>
        <w:p>
          <w:pPr>
            <w:pStyle w:val="6"/>
            <w:bidi w:val="0"/>
            <w:ind w:right="-115"/>
            <w:jc w:val="center"/>
          </w:pPr>
        </w:p>
      </w:tc>
      <w:tc>
        <w:tcPr>
          <w:tcW w:w="2301" w:type="dxa"/>
        </w:tcPr>
        <w:p>
          <w:pPr>
            <w:pStyle w:val="6"/>
            <w:bidi w:val="0"/>
            <w:ind w:right="-115"/>
            <w:jc w:val="center"/>
          </w:pPr>
        </w:p>
      </w:tc>
    </w:tr>
  </w:tbl>
  <w:p>
    <w:pPr>
      <w:pStyle w:val="5"/>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027" w:type="dxa"/>
      <w:tblInd w:w="0" w:type="dxa"/>
      <w:tblLayout w:type="fixed"/>
      <w:tblCellMar>
        <w:top w:w="0" w:type="dxa"/>
        <w:left w:w="108" w:type="dxa"/>
        <w:bottom w:w="0" w:type="dxa"/>
        <w:right w:w="108" w:type="dxa"/>
      </w:tblCellMar>
    </w:tblPr>
    <w:tblGrid>
      <w:gridCol w:w="3009"/>
      <w:gridCol w:w="3009"/>
      <w:gridCol w:w="3009"/>
    </w:tblGrid>
    <w:tr>
      <w:tblPrEx>
        <w:tblLayout w:type="fixed"/>
        <w:tblCellMar>
          <w:top w:w="0" w:type="dxa"/>
          <w:left w:w="108" w:type="dxa"/>
          <w:bottom w:w="0" w:type="dxa"/>
          <w:right w:w="108" w:type="dxa"/>
        </w:tblCellMar>
      </w:tblPrEx>
      <w:tc>
        <w:tcPr>
          <w:tcW w:w="3009" w:type="dxa"/>
        </w:tcPr>
        <w:p>
          <w:pPr>
            <w:pStyle w:val="6"/>
            <w:bidi w:val="0"/>
            <w:ind w:left="-115"/>
            <w:jc w:val="left"/>
          </w:pPr>
          <w:r>
            <w:rPr>
              <w:sz w:val="22"/>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Pole tekstowe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pl-PL"/>
                                  </w:rPr>
                                </w:pPr>
                                <w:r>
                                  <w:rPr>
                                    <w:lang w:val="pl-PL"/>
                                  </w:rPr>
                                  <w:fldChar w:fldCharType="begin"/>
                                </w:r>
                                <w:r>
                                  <w:rPr>
                                    <w:lang w:val="pl-PL"/>
                                  </w:rPr>
                                  <w:instrText xml:space="preserve"> PAGE  \* MERGEFORMAT </w:instrText>
                                </w:r>
                                <w:r>
                                  <w:rPr>
                                    <w:lang w:val="pl-PL"/>
                                  </w:rPr>
                                  <w:fldChar w:fldCharType="separate"/>
                                </w:r>
                                <w:r>
                                  <w:rPr>
                                    <w:lang w:val="pl-PL"/>
                                  </w:rPr>
                                  <w:t>1</w:t>
                                </w:r>
                                <w:r>
                                  <w:rPr>
                                    <w:lang w:val="pl-P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zSVju0AAAAAUBAAAPAAAAAAAAAAEAIAAAACIAAABkcnMvZG93&#10;bnJldi54bWxQSwECFAAUAAAACACHTuJAUWGiIwgCAAAXBAAADgAAAAAAAAABACAAAAAfAQAAZHJz&#10;L2Uyb0RvYy54bWxQSwUGAAAAAAYABgBZAQAAmQUAAAAA&#10;">
                    <v:fill on="f" focussize="0,0"/>
                    <v:stroke on="f" weight="0.5pt"/>
                    <v:imagedata o:title=""/>
                    <o:lock v:ext="edit" aspectratio="f"/>
                    <v:textbox inset="0mm,0mm,0mm,0mm" style="mso-fit-shape-to-text:t;">
                      <w:txbxContent>
                        <w:p>
                          <w:pPr>
                            <w:pStyle w:val="5"/>
                            <w:rPr>
                              <w:lang w:val="pl-PL"/>
                            </w:rPr>
                          </w:pPr>
                          <w:r>
                            <w:rPr>
                              <w:lang w:val="pl-PL"/>
                            </w:rPr>
                            <w:fldChar w:fldCharType="begin"/>
                          </w:r>
                          <w:r>
                            <w:rPr>
                              <w:lang w:val="pl-PL"/>
                            </w:rPr>
                            <w:instrText xml:space="preserve"> PAGE  \* MERGEFORMAT </w:instrText>
                          </w:r>
                          <w:r>
                            <w:rPr>
                              <w:lang w:val="pl-PL"/>
                            </w:rPr>
                            <w:fldChar w:fldCharType="separate"/>
                          </w:r>
                          <w:r>
                            <w:rPr>
                              <w:lang w:val="pl-PL"/>
                            </w:rPr>
                            <w:t>1</w:t>
                          </w:r>
                          <w:r>
                            <w:rPr>
                              <w:lang w:val="pl-PL"/>
                            </w:rPr>
                            <w:fldChar w:fldCharType="end"/>
                          </w:r>
                        </w:p>
                      </w:txbxContent>
                    </v:textbox>
                  </v:shape>
                </w:pict>
              </mc:Fallback>
            </mc:AlternateContent>
          </w:r>
        </w:p>
      </w:tc>
      <w:tc>
        <w:tcPr>
          <w:tcW w:w="3009" w:type="dxa"/>
        </w:tcPr>
        <w:p>
          <w:pPr>
            <w:pStyle w:val="6"/>
            <w:bidi w:val="0"/>
            <w:jc w:val="center"/>
          </w:pPr>
        </w:p>
      </w:tc>
      <w:tc>
        <w:tcPr>
          <w:tcW w:w="3009" w:type="dxa"/>
        </w:tcPr>
        <w:p>
          <w:pPr>
            <w:pStyle w:val="6"/>
            <w:bidi w:val="0"/>
            <w:ind w:right="-115"/>
            <w:jc w:val="center"/>
          </w:pPr>
        </w:p>
      </w:tc>
    </w:tr>
  </w:tbl>
  <w:p>
    <w:pPr>
      <w:pStyle w:val="5"/>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027" w:type="dxa"/>
      <w:tblInd w:w="0" w:type="dxa"/>
      <w:tblLayout w:type="fixed"/>
      <w:tblCellMar>
        <w:top w:w="0" w:type="dxa"/>
        <w:left w:w="108" w:type="dxa"/>
        <w:bottom w:w="0" w:type="dxa"/>
        <w:right w:w="108" w:type="dxa"/>
      </w:tblCellMar>
    </w:tblPr>
    <w:tblGrid>
      <w:gridCol w:w="3009"/>
      <w:gridCol w:w="3009"/>
      <w:gridCol w:w="3009"/>
    </w:tblGrid>
    <w:tr>
      <w:tblPrEx>
        <w:tblLayout w:type="fixed"/>
      </w:tblPrEx>
      <w:tc>
        <w:tcPr>
          <w:tcW w:w="3009" w:type="dxa"/>
        </w:tcPr>
        <w:p>
          <w:pPr>
            <w:pStyle w:val="6"/>
            <w:bidi w:val="0"/>
            <w:ind w:left="-115"/>
            <w:jc w:val="left"/>
          </w:pPr>
        </w:p>
      </w:tc>
      <w:tc>
        <w:tcPr>
          <w:tcW w:w="3009" w:type="dxa"/>
        </w:tcPr>
        <w:p>
          <w:pPr>
            <w:pStyle w:val="6"/>
            <w:bidi w:val="0"/>
            <w:jc w:val="center"/>
          </w:pPr>
        </w:p>
      </w:tc>
      <w:tc>
        <w:tcPr>
          <w:tcW w:w="3009" w:type="dxa"/>
        </w:tcPr>
        <w:p>
          <w:pPr>
            <w:pStyle w:val="6"/>
            <w:bidi w:val="0"/>
            <w:ind w:right="-115"/>
            <w:jc w:val="right"/>
          </w:pPr>
        </w:p>
      </w:tc>
    </w:tr>
  </w:tbl>
  <w:p>
    <w:pPr>
      <w:pStyle w:val="6"/>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CF092B84"/>
    <w:multiLevelType w:val="multilevel"/>
    <w:tmpl w:val="CF092B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053208E"/>
    <w:multiLevelType w:val="multilevel"/>
    <w:tmpl w:val="005320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31F98C7"/>
    <w:multiLevelType w:val="multilevel"/>
    <w:tmpl w:val="131F98C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F7C450"/>
    <w:rsid w:val="01385E20"/>
    <w:rsid w:val="02BA75D5"/>
    <w:rsid w:val="0495117D"/>
    <w:rsid w:val="0509326A"/>
    <w:rsid w:val="05C034A8"/>
    <w:rsid w:val="07490BF4"/>
    <w:rsid w:val="0AB862CD"/>
    <w:rsid w:val="0ACE18B3"/>
    <w:rsid w:val="0C030517"/>
    <w:rsid w:val="0C305FEF"/>
    <w:rsid w:val="0CBE23B8"/>
    <w:rsid w:val="11AE7656"/>
    <w:rsid w:val="12455BAE"/>
    <w:rsid w:val="13814DBF"/>
    <w:rsid w:val="1BB12D3B"/>
    <w:rsid w:val="1D5619B2"/>
    <w:rsid w:val="1E172422"/>
    <w:rsid w:val="1E4125C6"/>
    <w:rsid w:val="1EE315D4"/>
    <w:rsid w:val="1F6673AB"/>
    <w:rsid w:val="1FB41C02"/>
    <w:rsid w:val="221D44AE"/>
    <w:rsid w:val="224B7052"/>
    <w:rsid w:val="25C17829"/>
    <w:rsid w:val="26702275"/>
    <w:rsid w:val="27AA568C"/>
    <w:rsid w:val="283D6F78"/>
    <w:rsid w:val="28E01310"/>
    <w:rsid w:val="29FC42D0"/>
    <w:rsid w:val="2A75090E"/>
    <w:rsid w:val="2C6D37F7"/>
    <w:rsid w:val="31514A96"/>
    <w:rsid w:val="32F74A4F"/>
    <w:rsid w:val="3386028B"/>
    <w:rsid w:val="338B2D0A"/>
    <w:rsid w:val="34906FC9"/>
    <w:rsid w:val="35DF692B"/>
    <w:rsid w:val="3690408C"/>
    <w:rsid w:val="371AE9B4"/>
    <w:rsid w:val="38005340"/>
    <w:rsid w:val="38BC1423"/>
    <w:rsid w:val="3B81B46D"/>
    <w:rsid w:val="3C3C1086"/>
    <w:rsid w:val="3D333C30"/>
    <w:rsid w:val="3DD45F5F"/>
    <w:rsid w:val="40687AC3"/>
    <w:rsid w:val="41191E45"/>
    <w:rsid w:val="4195524E"/>
    <w:rsid w:val="43DF4487"/>
    <w:rsid w:val="44A262F7"/>
    <w:rsid w:val="46C30C3A"/>
    <w:rsid w:val="46FE4F4A"/>
    <w:rsid w:val="481965D5"/>
    <w:rsid w:val="48226099"/>
    <w:rsid w:val="4E37671E"/>
    <w:rsid w:val="4FC76961"/>
    <w:rsid w:val="52C71357"/>
    <w:rsid w:val="52E2517D"/>
    <w:rsid w:val="53057BDB"/>
    <w:rsid w:val="532FD36E"/>
    <w:rsid w:val="5378462D"/>
    <w:rsid w:val="549B1966"/>
    <w:rsid w:val="564F23A6"/>
    <w:rsid w:val="58106F46"/>
    <w:rsid w:val="58385C05"/>
    <w:rsid w:val="5A6F14EA"/>
    <w:rsid w:val="5B9C242E"/>
    <w:rsid w:val="5C07E635"/>
    <w:rsid w:val="5DBFA29A"/>
    <w:rsid w:val="5FCD7E42"/>
    <w:rsid w:val="603A2D11"/>
    <w:rsid w:val="6122F62A"/>
    <w:rsid w:val="629EBD13"/>
    <w:rsid w:val="640375DD"/>
    <w:rsid w:val="641E38B3"/>
    <w:rsid w:val="66F7C450"/>
    <w:rsid w:val="6AF12E57"/>
    <w:rsid w:val="6D45725C"/>
    <w:rsid w:val="6D5B3D14"/>
    <w:rsid w:val="6DD31C0A"/>
    <w:rsid w:val="6FFA396F"/>
    <w:rsid w:val="702B72D2"/>
    <w:rsid w:val="70962736"/>
    <w:rsid w:val="7425687B"/>
    <w:rsid w:val="75F14613"/>
    <w:rsid w:val="76BCA82E"/>
    <w:rsid w:val="783953BC"/>
    <w:rsid w:val="7D152FCE"/>
    <w:rsid w:val="7D690C3C"/>
    <w:rsid w:val="7DE303F4"/>
    <w:rsid w:val="7F0149DA"/>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l-PL"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footer"/>
    <w:basedOn w:val="1"/>
    <w:link w:val="16"/>
    <w:unhideWhenUsed/>
    <w:qFormat/>
    <w:uiPriority w:val="99"/>
    <w:pPr>
      <w:tabs>
        <w:tab w:val="center" w:pos="4680"/>
        <w:tab w:val="right" w:pos="9360"/>
      </w:tabs>
      <w:spacing w:after="0" w:line="240" w:lineRule="auto"/>
    </w:pPr>
  </w:style>
  <w:style w:type="paragraph" w:styleId="6">
    <w:name w:val="header"/>
    <w:basedOn w:val="1"/>
    <w:link w:val="15"/>
    <w:unhideWhenUsed/>
    <w:qFormat/>
    <w:uiPriority w:val="99"/>
    <w:pPr>
      <w:tabs>
        <w:tab w:val="center" w:pos="4680"/>
        <w:tab w:val="right" w:pos="9360"/>
      </w:tabs>
      <w:spacing w:after="0" w:line="240" w:lineRule="auto"/>
    </w:p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Title"/>
    <w:basedOn w:val="1"/>
    <w:next w:val="1"/>
    <w:link w:val="13"/>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10">
    <w:name w:val="Hyperlink"/>
    <w:basedOn w:val="9"/>
    <w:unhideWhenUsed/>
    <w:qFormat/>
    <w:uiPriority w:val="99"/>
    <w:rPr>
      <w:color w:val="0563C1" w:themeColor="hyperlink"/>
      <w:u w:val="single"/>
      <w14:textFill>
        <w14:solidFill>
          <w14:schemeClr w14:val="hlink"/>
        </w14:solidFill>
      </w14:textFill>
    </w:rPr>
  </w:style>
  <w:style w:type="table" w:styleId="12">
    <w:name w:val="Table Grid"/>
    <w:basedOn w:val="11"/>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3">
    <w:name w:val="Title Char"/>
    <w:basedOn w:val="9"/>
    <w:link w:val="8"/>
    <w:qFormat/>
    <w:uiPriority w:val="10"/>
    <w:rPr>
      <w:rFonts w:asciiTheme="majorHAnsi" w:hAnsiTheme="majorHAnsi" w:eastAsiaTheme="majorEastAsia" w:cstheme="majorBidi"/>
      <w:spacing w:val="-10"/>
      <w:kern w:val="28"/>
      <w:sz w:val="56"/>
      <w:szCs w:val="56"/>
    </w:rPr>
  </w:style>
  <w:style w:type="character" w:customStyle="1" w:styleId="14">
    <w:name w:val="Heading 1 Char"/>
    <w:basedOn w:val="9"/>
    <w:link w:val="2"/>
    <w:qFormat/>
    <w:uiPriority w:val="9"/>
    <w:rPr>
      <w:rFonts w:asciiTheme="majorHAnsi" w:hAnsiTheme="majorHAnsi" w:eastAsiaTheme="majorEastAsia" w:cstheme="majorBidi"/>
      <w:color w:val="2F5597" w:themeColor="accent1" w:themeShade="BF"/>
      <w:sz w:val="32"/>
      <w:szCs w:val="32"/>
    </w:rPr>
  </w:style>
  <w:style w:type="character" w:customStyle="1" w:styleId="15">
    <w:name w:val="Header Char"/>
    <w:basedOn w:val="9"/>
    <w:link w:val="6"/>
    <w:qFormat/>
    <w:uiPriority w:val="99"/>
  </w:style>
  <w:style w:type="character" w:customStyle="1" w:styleId="16">
    <w:name w:val="Footer Char"/>
    <w:basedOn w:val="9"/>
    <w:link w:val="5"/>
    <w:qFormat/>
    <w:uiPriority w:val="99"/>
  </w:style>
  <w:style w:type="character" w:customStyle="1" w:styleId="17">
    <w:name w:val="Heading 2 Char"/>
    <w:basedOn w:val="9"/>
    <w:link w:val="3"/>
    <w:qFormat/>
    <w:uiPriority w:val="9"/>
    <w:rPr>
      <w:rFonts w:asciiTheme="majorHAnsi" w:hAnsiTheme="majorHAnsi" w:eastAsiaTheme="majorEastAsia" w:cstheme="majorBidi"/>
      <w:color w:val="2F5597" w:themeColor="accent1" w:themeShade="BF"/>
      <w:sz w:val="26"/>
      <w:szCs w:val="26"/>
    </w:rPr>
  </w:style>
  <w:style w:type="paragraph" w:styleId="18">
    <w:name w:val="List Paragraph"/>
    <w:basedOn w:val="1"/>
    <w:qFormat/>
    <w:uiPriority w:val="34"/>
    <w:pPr>
      <w:ind w:left="720"/>
      <w:contextualSpacing/>
    </w:pPr>
  </w:style>
  <w:style w:type="paragraph" w:customStyle="1" w:styleId="19">
    <w:name w:val="WPSOffice Tabela ręczna 1"/>
    <w:qFormat/>
    <w:uiPriority w:val="0"/>
    <w:pPr>
      <w:ind w:leftChars="0"/>
    </w:pPr>
    <w:rPr>
      <w:rFonts w:asciiTheme="minorHAnsi" w:hAnsiTheme="minorHAnsi" w:eastAsiaTheme="minorHAnsi" w:cstheme="minorBidi"/>
      <w:sz w:val="20"/>
      <w:szCs w:val="20"/>
    </w:rPr>
  </w:style>
  <w:style w:type="paragraph" w:customStyle="1" w:styleId="20">
    <w:name w:val="WPSOffice Tabela ręczna 2"/>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glossaryDocument" Target="glossary/document.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e384b0c-73c6-463f-ab86-eecd53e87399}"/>
        <w:style w:val=""/>
        <w:category>
          <w:name w:val="Ogólne"/>
          <w:gallery w:val="placeholder"/>
        </w:category>
        <w:types>
          <w:type w:val="bbPlcHdr"/>
        </w:types>
        <w:behaviors>
          <w:behavior w:val="content"/>
        </w:behaviors>
        <w:description w:val=""/>
        <w:guid w:val="{ce384b0c-73c6-463f-ab86-eecd53e87399}"/>
      </w:docPartPr>
      <w:docPartBody>
        <w:p>
          <w:r>
            <w:rPr>
              <w:color w:val="808080"/>
            </w:rPr>
            <w:t>Kliknij tutaj, aby wprowadzić tekst.</w:t>
          </w:r>
        </w:p>
      </w:docPartBody>
    </w:docPart>
    <w:docPart>
      <w:docPartPr>
        <w:name w:val="{648050e0-f243-414f-92f4-6a72c32e57be}"/>
        <w:style w:val=""/>
        <w:category>
          <w:name w:val="Ogólne"/>
          <w:gallery w:val="placeholder"/>
        </w:category>
        <w:types>
          <w:type w:val="bbPlcHdr"/>
        </w:types>
        <w:behaviors>
          <w:behavior w:val="content"/>
        </w:behaviors>
        <w:description w:val=""/>
        <w:guid w:val="{648050e0-f243-414f-92f4-6a72c32e57be}"/>
      </w:docPartPr>
      <w:docPartBody>
        <w:p>
          <w:r>
            <w:rPr>
              <w:color w:val="808080"/>
            </w:rPr>
            <w:t>Kliknij tutaj, aby wprowadzić tekst.</w:t>
          </w:r>
        </w:p>
      </w:docPartBody>
    </w:docPart>
    <w:docPart>
      <w:docPartPr>
        <w:name w:val="{6cc509b6-d4b2-4884-926a-c541c82bfaf3}"/>
        <w:style w:val=""/>
        <w:category>
          <w:name w:val="Ogólne"/>
          <w:gallery w:val="placeholder"/>
        </w:category>
        <w:types>
          <w:type w:val="bbPlcHdr"/>
        </w:types>
        <w:behaviors>
          <w:behavior w:val="content"/>
        </w:behaviors>
        <w:description w:val=""/>
        <w:guid w:val="{6cc509b6-d4b2-4884-926a-c541c82bfaf3}"/>
      </w:docPartPr>
      <w:docPartBody>
        <w:p>
          <w:r>
            <w:rPr>
              <w:color w:val="808080"/>
            </w:rPr>
            <w:t>Kliknij tutaj, aby wprowadzić tekst.</w:t>
          </w:r>
        </w:p>
      </w:docPartBody>
    </w:docPart>
    <w:docPart>
      <w:docPartPr>
        <w:name w:val="{68914583-c10d-417c-b416-d3d6326dc173}"/>
        <w:style w:val=""/>
        <w:category>
          <w:name w:val="Ogólne"/>
          <w:gallery w:val="placeholder"/>
        </w:category>
        <w:types>
          <w:type w:val="bbPlcHdr"/>
        </w:types>
        <w:behaviors>
          <w:behavior w:val="content"/>
        </w:behaviors>
        <w:description w:val=""/>
        <w:guid w:val="{68914583-c10d-417c-b416-d3d6326dc173}"/>
      </w:docPartPr>
      <w:docPartBody>
        <w:p>
          <w:r>
            <w:rPr>
              <w:color w:val="808080"/>
            </w:rPr>
            <w:t>Kliknij tutaj, aby wprowadzić tekst.</w:t>
          </w:r>
        </w:p>
      </w:docPartBody>
    </w:docPart>
    <w:docPart>
      <w:docPartPr>
        <w:name w:val="{70ec6eba-f968-4cd0-b3e3-a36ac4e66b22}"/>
        <w:style w:val=""/>
        <w:category>
          <w:name w:val="Ogólne"/>
          <w:gallery w:val="placeholder"/>
        </w:category>
        <w:types>
          <w:type w:val="bbPlcHdr"/>
        </w:types>
        <w:behaviors>
          <w:behavior w:val="content"/>
        </w:behaviors>
        <w:description w:val=""/>
        <w:guid w:val="{70ec6eba-f968-4cd0-b3e3-a36ac4e66b22}"/>
      </w:docPartPr>
      <w:docPartBody>
        <w:p>
          <w:r>
            <w:rPr>
              <w:color w:val="808080"/>
            </w:rPr>
            <w:t>Kliknij tutaj, aby wprowadzić tekst.</w:t>
          </w:r>
        </w:p>
      </w:docPartBody>
    </w:docPart>
    <w:docPart>
      <w:docPartPr>
        <w:name w:val="{fad01bcf-eb05-47ad-a04d-ce1e979249f7}"/>
        <w:style w:val=""/>
        <w:category>
          <w:name w:val="Ogólne"/>
          <w:gallery w:val="placeholder"/>
        </w:category>
        <w:types>
          <w:type w:val="bbPlcHdr"/>
        </w:types>
        <w:behaviors>
          <w:behavior w:val="content"/>
        </w:behaviors>
        <w:description w:val=""/>
        <w:guid w:val="{fad01bcf-eb05-47ad-a04d-ce1e979249f7}"/>
      </w:docPartPr>
      <w:docPartBody>
        <w:p>
          <w:r>
            <w:rPr>
              <w:color w:val="808080"/>
            </w:rPr>
            <w:t>Kliknij tutaj, aby wprowadzić tekst.</w:t>
          </w:r>
        </w:p>
      </w:docPartBody>
    </w:docPart>
    <w:docPart>
      <w:docPartPr>
        <w:name w:val="{97979d61-24bf-47f8-91be-14eb9c4d844d}"/>
        <w:style w:val=""/>
        <w:category>
          <w:name w:val="Ogólne"/>
          <w:gallery w:val="placeholder"/>
        </w:category>
        <w:types>
          <w:type w:val="bbPlcHdr"/>
        </w:types>
        <w:behaviors>
          <w:behavior w:val="content"/>
        </w:behaviors>
        <w:description w:val=""/>
        <w:guid w:val="{97979d61-24bf-47f8-91be-14eb9c4d844d}"/>
      </w:docPartPr>
      <w:docPartBody>
        <w:p>
          <w:r>
            <w:rPr>
              <w:color w:val="808080"/>
            </w:rPr>
            <w:t>Kliknij tutaj, aby wprowadzić tekst.</w:t>
          </w:r>
        </w:p>
      </w:docPartBody>
    </w:docPart>
    <w:docPart>
      <w:docPartPr>
        <w:name w:val="{bb864d6c-a6e3-4a62-817f-c2bf6886ed5a}"/>
        <w:style w:val=""/>
        <w:category>
          <w:name w:val="Ogólne"/>
          <w:gallery w:val="placeholder"/>
        </w:category>
        <w:types>
          <w:type w:val="bbPlcHdr"/>
        </w:types>
        <w:behaviors>
          <w:behavior w:val="content"/>
        </w:behaviors>
        <w:description w:val=""/>
        <w:guid w:val="{bb864d6c-a6e3-4a62-817f-c2bf6886ed5a}"/>
      </w:docPartPr>
      <w:docPartBody>
        <w:p>
          <w:r>
            <w:rPr>
              <w:color w:val="808080"/>
            </w:rPr>
            <w:t>Kliknij tutaj, aby wprowadzić tekst.</w:t>
          </w:r>
        </w:p>
      </w:docPartBody>
    </w:docPart>
    <w:docPart>
      <w:docPartPr>
        <w:name w:val="{bda1b170-5015-4ca0-882e-cc491592fd6d}"/>
        <w:style w:val=""/>
        <w:category>
          <w:name w:val="Ogólne"/>
          <w:gallery w:val="placeholder"/>
        </w:category>
        <w:types>
          <w:type w:val="bbPlcHdr"/>
        </w:types>
        <w:behaviors>
          <w:behavior w:val="content"/>
        </w:behaviors>
        <w:description w:val=""/>
        <w:guid w:val="{bda1b170-5015-4ca0-882e-cc491592fd6d}"/>
      </w:docPartPr>
      <w:docPartBody>
        <w:p>
          <w:r>
            <w:rPr>
              <w:color w:val="808080"/>
            </w:rPr>
            <w:t>Kliknij tutaj, aby wprowadzić tekst.</w:t>
          </w:r>
        </w:p>
      </w:docPartBody>
    </w:docPart>
    <w:docPart>
      <w:docPartPr>
        <w:name w:val="{60b8aba3-d60e-471b-bb79-ceae47b8d541}"/>
        <w:style w:val=""/>
        <w:category>
          <w:name w:val="Ogólne"/>
          <w:gallery w:val="placeholder"/>
        </w:category>
        <w:types>
          <w:type w:val="bbPlcHdr"/>
        </w:types>
        <w:behaviors>
          <w:behavior w:val="content"/>
        </w:behaviors>
        <w:description w:val=""/>
        <w:guid w:val="{60b8aba3-d60e-471b-bb79-ceae47b8d541}"/>
      </w:docPartPr>
      <w:docPartBody>
        <w:p>
          <w:r>
            <w:rPr>
              <w:color w:val="808080"/>
            </w:rPr>
            <w:t>Kliknij tutaj, aby wprowadzić tekst.</w:t>
          </w:r>
        </w:p>
      </w:docPartBody>
    </w:docPart>
    <w:docPart>
      <w:docPartPr>
        <w:name w:val="{7a02f737-26e4-431b-9808-77a040c18fd2}"/>
        <w:style w:val=""/>
        <w:category>
          <w:name w:val="Ogólne"/>
          <w:gallery w:val="placeholder"/>
        </w:category>
        <w:types>
          <w:type w:val="bbPlcHdr"/>
        </w:types>
        <w:behaviors>
          <w:behavior w:val="content"/>
        </w:behaviors>
        <w:description w:val=""/>
        <w:guid w:val="{7a02f737-26e4-431b-9808-77a040c18fd2}"/>
      </w:docPartPr>
      <w:docPartBody>
        <w:p>
          <w:r>
            <w:rPr>
              <w:color w:val="808080"/>
            </w:rPr>
            <w:t>Kliknij tutaj, aby wprowadzić tekst.</w:t>
          </w:r>
        </w:p>
      </w:docPartBody>
    </w:docPart>
    <w:docPart>
      <w:docPartPr>
        <w:name w:val="{d5f3330a-f65a-4eb4-95b1-ee68d824756e}"/>
        <w:style w:val=""/>
        <w:category>
          <w:name w:val="Ogólne"/>
          <w:gallery w:val="placeholder"/>
        </w:category>
        <w:types>
          <w:type w:val="bbPlcHdr"/>
        </w:types>
        <w:behaviors>
          <w:behavior w:val="content"/>
        </w:behaviors>
        <w:description w:val=""/>
        <w:guid w:val="{d5f3330a-f65a-4eb4-95b1-ee68d824756e}"/>
      </w:docPartPr>
      <w:docPartBody>
        <w:p>
          <w:r>
            <w:rPr>
              <w:color w:val="808080"/>
            </w:rPr>
            <w:t>Kliknij tutaj, aby wprowadzić tekst.</w:t>
          </w:r>
        </w:p>
      </w:docPartBody>
    </w:docPart>
    <w:docPart>
      <w:docPartPr>
        <w:name w:val="{757184b8-9023-433b-8fad-fc2e272c7d17}"/>
        <w:style w:val=""/>
        <w:category>
          <w:name w:val="Ogólne"/>
          <w:gallery w:val="placeholder"/>
        </w:category>
        <w:types>
          <w:type w:val="bbPlcHdr"/>
        </w:types>
        <w:behaviors>
          <w:behavior w:val="content"/>
        </w:behaviors>
        <w:description w:val=""/>
        <w:guid w:val="{757184b8-9023-433b-8fad-fc2e272c7d17}"/>
      </w:docPartPr>
      <w:docPartBody>
        <w:p>
          <w:r>
            <w:rPr>
              <w:color w:val="808080"/>
            </w:rPr>
            <w:t>Kliknij tutaj, aby wprowadzić tekst.</w:t>
          </w:r>
        </w:p>
      </w:docPartBody>
    </w:docPart>
    <w:docPart>
      <w:docPartPr>
        <w:name w:val="{b9a902b6-8c64-4b15-b370-2bc893a06a22}"/>
        <w:style w:val=""/>
        <w:category>
          <w:name w:val="Ogólne"/>
          <w:gallery w:val="placeholder"/>
        </w:category>
        <w:types>
          <w:type w:val="bbPlcHdr"/>
        </w:types>
        <w:behaviors>
          <w:behavior w:val="content"/>
        </w:behaviors>
        <w:description w:val=""/>
        <w:guid w:val="{b9a902b6-8c64-4b15-b370-2bc893a06a22}"/>
      </w:docPartPr>
      <w:docPartBody>
        <w:p>
          <w:r>
            <w:rPr>
              <w:color w:val="808080"/>
            </w:rPr>
            <w:t>Kliknij tutaj, aby wprowadzić tekst.</w:t>
          </w:r>
        </w:p>
      </w:docPartBody>
    </w:docPart>
    <w:docPart>
      <w:docPartPr>
        <w:name w:val="{454f2050-2fff-4da1-bf8d-383e7c444272}"/>
        <w:style w:val=""/>
        <w:category>
          <w:name w:val="Ogólne"/>
          <w:gallery w:val="placeholder"/>
        </w:category>
        <w:types>
          <w:type w:val="bbPlcHdr"/>
        </w:types>
        <w:behaviors>
          <w:behavior w:val="content"/>
        </w:behaviors>
        <w:description w:val=""/>
        <w:guid w:val="{454f2050-2fff-4da1-bf8d-383e7c444272}"/>
      </w:docPartPr>
      <w:docPartBody>
        <w:p>
          <w:r>
            <w:rPr>
              <w:color w:val="808080"/>
            </w:rPr>
            <w:t>Kliknij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1363</Words>
  <Characters>8567</Characters>
  <TotalTime>4</TotalTime>
  <ScaleCrop>false</ScaleCrop>
  <LinksUpToDate>false</LinksUpToDate>
  <CharactersWithSpaces>9975</CharactersWithSpaces>
  <Application>WPS Office_11.2.0.8310_F1E327BC-269C-435d-A152-05C5408002CA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2019-04-27T19:52:00Z</dcterms:created>
  <dc:creator>Marek Grzyb</dc:creator>
  <cp:lastModifiedBy>markt</cp:lastModifiedBy>
  <dcterms:modified xsi:type="dcterms:W3CDTF">2019-05-30T20:36:34Z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1045-11.2.0.8310</vt:lpwstr>
  </property>
</Properties>
</file>