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8"/>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rFonts w:ascii="SimSun" w:hAnsi="SimSun" w:eastAsia="SimSun" w:cstheme="minorBidi"/>
          <w:sz w:val="21"/>
          <w:szCs w:val="22"/>
          <w:lang w:val="pl-PL" w:eastAsia="en-US" w:bidi="ar-SA"/>
        </w:rPr>
        <w:id w:val="147466915"/>
        <w:docPartObj>
          <w:docPartGallery w:val="Table of Contents"/>
          <w:docPartUnique/>
        </w:docPartObj>
      </w:sdtPr>
      <w:sdtEndPr>
        <w:rPr>
          <w:rFonts w:asciiTheme="minorHAnsi" w:hAnsiTheme="minorHAnsi" w:eastAsiaTheme="minorHAnsi" w:cstheme="minorBidi"/>
          <w:sz w:val="20"/>
          <w:szCs w:val="20"/>
          <w:lang w:val="pl-PL" w:eastAsia="en-US" w:bidi="ar-SA"/>
        </w:rPr>
      </w:sdtEndPr>
      <w:sdtContent>
        <w:p>
          <w:pPr>
            <w:spacing w:before="0" w:beforeLines="0" w:after="0" w:afterLines="0" w:line="240" w:lineRule="auto"/>
            <w:ind w:left="0" w:leftChars="0" w:right="0" w:rightChars="0" w:firstLine="0" w:firstLineChars="0"/>
            <w:jc w:val="center"/>
          </w:pPr>
          <w:bookmarkStart w:id="0" w:name="_Toc16068_WPSOffice_Type3"/>
          <w:r>
            <w:rPr>
              <w:rStyle w:val="14"/>
            </w:rPr>
            <w:t>Spis 
treści</w:t>
          </w:r>
        </w:p>
        <w:p>
          <w:pPr>
            <w:pStyle w:val="19"/>
            <w:tabs>
              <w:tab w:val="right" w:leader="dot" w:pos="9026"/>
            </w:tabs>
          </w:pPr>
          <w:r>
            <w:fldChar w:fldCharType="begin"/>
          </w:r>
          <w:r>
            <w:instrText xml:space="preserve"> HYPERLINK \l _Toc264_WPSOffice_Level1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8d03e3d6-b843-43a7-a915-7295ae29bbe8}"/>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1. Wstęp</w:t>
              </w:r>
            </w:sdtContent>
          </w:sdt>
          <w:r>
            <w:tab/>
          </w:r>
          <w:bookmarkStart w:id="1" w:name="_Toc264_WPSOffice_Level1Page"/>
          <w:r>
            <w:t>1</w:t>
          </w:r>
          <w:bookmarkEnd w:id="1"/>
          <w:r>
            <w:fldChar w:fldCharType="end"/>
          </w:r>
        </w:p>
        <w:p>
          <w:pPr>
            <w:pStyle w:val="19"/>
            <w:tabs>
              <w:tab w:val="right" w:leader="dot" w:pos="9026"/>
            </w:tabs>
          </w:pPr>
          <w:r>
            <w:fldChar w:fldCharType="begin"/>
          </w:r>
          <w:r>
            <w:instrText xml:space="preserve"> HYPERLINK \l _Toc16068_WPSOffice_Level1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3eac29e5-da81-401d-be65-41c1d1967106}"/>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2. Notowania spółek</w:t>
              </w:r>
            </w:sdtContent>
          </w:sdt>
          <w:r>
            <w:tab/>
          </w:r>
          <w:bookmarkStart w:id="2" w:name="_Toc16068_WPSOffice_Level1Page"/>
          <w:r>
            <w:t>2</w:t>
          </w:r>
          <w:bookmarkEnd w:id="2"/>
          <w:r>
            <w:fldChar w:fldCharType="end"/>
          </w:r>
        </w:p>
        <w:p>
          <w:pPr>
            <w:pStyle w:val="19"/>
            <w:tabs>
              <w:tab w:val="right" w:leader="dot" w:pos="9026"/>
            </w:tabs>
          </w:pPr>
          <w:r>
            <w:fldChar w:fldCharType="begin"/>
          </w:r>
          <w:r>
            <w:instrText xml:space="preserve"> HYPERLINK \l _Toc98_WPSOffice_Level1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9e770fa-9727-4045-9266-4df9e07236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3. Twitter</w:t>
              </w:r>
            </w:sdtContent>
          </w:sdt>
          <w:r>
            <w:tab/>
          </w:r>
          <w:bookmarkStart w:id="3" w:name="_Toc98_WPSOffice_Level1Page"/>
          <w:r>
            <w:t>3</w:t>
          </w:r>
          <w:bookmarkEnd w:id="3"/>
          <w:r>
            <w:fldChar w:fldCharType="end"/>
          </w:r>
        </w:p>
        <w:p>
          <w:pPr>
            <w:pStyle w:val="20"/>
            <w:tabs>
              <w:tab w:val="right" w:leader="dot" w:pos="9026"/>
            </w:tabs>
          </w:pPr>
          <w:r>
            <w:fldChar w:fldCharType="begin"/>
          </w:r>
          <w:r>
            <w:instrText xml:space="preserve"> HYPERLINK \l _Toc16068_WPSOffice_Level2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91184795-57d7-4a31-aa33-36e0a48fa5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3.1. </w:t>
              </w:r>
              <w:r>
                <w:rPr>
                  <w:rFonts w:asciiTheme="majorHAnsi" w:hAnsiTheme="majorHAnsi" w:eastAsiaTheme="majorEastAsia" w:cstheme="majorBidi"/>
                </w:rPr>
                <w:t>Konto deweloperskie</w:t>
              </w:r>
            </w:sdtContent>
          </w:sdt>
          <w:r>
            <w:tab/>
          </w:r>
          <w:bookmarkStart w:id="4" w:name="_Toc16068_WPSOffice_Level2Page"/>
          <w:r>
            <w:t>3</w:t>
          </w:r>
          <w:bookmarkEnd w:id="4"/>
          <w:r>
            <w:fldChar w:fldCharType="end"/>
          </w:r>
        </w:p>
        <w:p>
          <w:pPr>
            <w:pStyle w:val="20"/>
            <w:tabs>
              <w:tab w:val="right" w:leader="dot" w:pos="9026"/>
            </w:tabs>
          </w:pPr>
          <w:r>
            <w:fldChar w:fldCharType="begin"/>
          </w:r>
          <w:r>
            <w:instrText xml:space="preserve"> HYPERLINK \l _Toc98_WPSOffice_Level2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2e3ad69-14a3-462d-808d-48af34ede9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3.2. </w:t>
              </w:r>
              <w:r>
                <w:rPr>
                  <w:rFonts w:asciiTheme="majorHAnsi" w:hAnsiTheme="majorHAnsi" w:eastAsiaTheme="majorEastAsia" w:cstheme="majorBidi"/>
                </w:rPr>
                <w:t>Autoryzacja</w:t>
              </w:r>
            </w:sdtContent>
          </w:sdt>
          <w:r>
            <w:tab/>
          </w:r>
          <w:bookmarkStart w:id="5" w:name="_Toc98_WPSOffice_Level2Page"/>
          <w:r>
            <w:t>4</w:t>
          </w:r>
          <w:bookmarkEnd w:id="5"/>
          <w:r>
            <w:fldChar w:fldCharType="end"/>
          </w:r>
        </w:p>
        <w:p>
          <w:pPr>
            <w:pStyle w:val="20"/>
            <w:tabs>
              <w:tab w:val="right" w:leader="dot" w:pos="9026"/>
            </w:tabs>
          </w:pPr>
          <w:r>
            <w:fldChar w:fldCharType="begin"/>
          </w:r>
          <w:r>
            <w:instrText xml:space="preserve"> HYPERLINK \l _Toc8055_WPSOffice_Level2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61ed3ed-fa50-4b12-8b9c-44cd7a40066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3.3. </w:t>
              </w:r>
              <w:r>
                <w:rPr>
                  <w:rFonts w:asciiTheme="majorHAnsi" w:hAnsiTheme="majorHAnsi" w:eastAsiaTheme="majorEastAsia" w:cstheme="majorBidi"/>
                </w:rPr>
                <w:t>Pobieranie twittów</w:t>
              </w:r>
            </w:sdtContent>
          </w:sdt>
          <w:r>
            <w:tab/>
          </w:r>
          <w:bookmarkStart w:id="6" w:name="_Toc8055_WPSOffice_Level2Page"/>
          <w:r>
            <w:t>4</w:t>
          </w:r>
          <w:bookmarkEnd w:id="6"/>
          <w:r>
            <w:fldChar w:fldCharType="end"/>
          </w:r>
        </w:p>
        <w:p>
          <w:pPr>
            <w:pStyle w:val="20"/>
            <w:tabs>
              <w:tab w:val="right" w:leader="dot" w:pos="9026"/>
            </w:tabs>
          </w:pPr>
          <w:r>
            <w:fldChar w:fldCharType="begin"/>
          </w:r>
          <w:r>
            <w:instrText xml:space="preserve"> HYPERLINK \l _Toc8730_WPSOffice_Level2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f75617dc-e658-4230-828a-9daf4310df4d}"/>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3.4. </w:t>
              </w:r>
              <w:r>
                <w:rPr>
                  <w:rFonts w:asciiTheme="majorHAnsi" w:hAnsiTheme="majorHAnsi" w:eastAsiaTheme="majorEastAsia" w:cstheme="majorBidi"/>
                </w:rPr>
                <w:t>Struktura wiadomości</w:t>
              </w:r>
            </w:sdtContent>
          </w:sdt>
          <w:r>
            <w:tab/>
          </w:r>
          <w:bookmarkStart w:id="7" w:name="_Toc8730_WPSOffice_Level2Page"/>
          <w:r>
            <w:t>5</w:t>
          </w:r>
          <w:bookmarkEnd w:id="7"/>
          <w:r>
            <w:fldChar w:fldCharType="end"/>
          </w:r>
        </w:p>
        <w:p>
          <w:pPr>
            <w:pStyle w:val="19"/>
            <w:tabs>
              <w:tab w:val="right" w:leader="dot" w:pos="9026"/>
            </w:tabs>
          </w:pPr>
          <w:r>
            <w:fldChar w:fldCharType="begin"/>
          </w:r>
          <w:r>
            <w:instrText xml:space="preserve"> HYPERLINK \l _Toc8055_WPSOffice_Level1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289b0b7-1947-44e5-8f27-7f6cf42523b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4. Przetwarzanie języka naturalnego</w:t>
              </w:r>
            </w:sdtContent>
          </w:sdt>
          <w:r>
            <w:tab/>
          </w:r>
          <w:bookmarkStart w:id="8" w:name="_Toc8055_WPSOffice_Level1Page"/>
          <w:r>
            <w:t>6</w:t>
          </w:r>
          <w:bookmarkEnd w:id="8"/>
          <w:r>
            <w:fldChar w:fldCharType="end"/>
          </w:r>
        </w:p>
        <w:p>
          <w:pPr>
            <w:pStyle w:val="19"/>
            <w:tabs>
              <w:tab w:val="right" w:leader="dot" w:pos="9026"/>
            </w:tabs>
          </w:pPr>
          <w:r>
            <w:fldChar w:fldCharType="begin"/>
          </w:r>
          <w:r>
            <w:instrText xml:space="preserve"> HYPERLINK \l _Toc8730_WPSOffice_Level1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27ce347-c681-4739-980c-ae61da8ecf2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5. Analiza</w:t>
              </w:r>
            </w:sdtContent>
          </w:sdt>
          <w:r>
            <w:tab/>
          </w:r>
          <w:bookmarkStart w:id="9" w:name="_Toc8730_WPSOffice_Level1Page"/>
          <w:r>
            <w:t>7</w:t>
          </w:r>
          <w:bookmarkEnd w:id="9"/>
          <w:r>
            <w:fldChar w:fldCharType="end"/>
          </w:r>
        </w:p>
        <w:p>
          <w:pPr>
            <w:pStyle w:val="20"/>
            <w:tabs>
              <w:tab w:val="right" w:leader="dot" w:pos="9026"/>
            </w:tabs>
          </w:pPr>
          <w:r>
            <w:fldChar w:fldCharType="begin"/>
          </w:r>
          <w:r>
            <w:instrText xml:space="preserve"> HYPERLINK \l _Toc6010_WPSOffice_Level2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d599a2f-8ca3-4b12-b8c6-499bc900575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5.1. </w:t>
              </w:r>
              <w:r>
                <w:rPr>
                  <w:rFonts w:asciiTheme="majorHAnsi" w:hAnsiTheme="majorHAnsi" w:eastAsiaTheme="majorEastAsia" w:cstheme="majorBidi"/>
                </w:rPr>
                <w:t>Studium przepadku: PKN ORLEN</w:t>
              </w:r>
            </w:sdtContent>
          </w:sdt>
          <w:r>
            <w:tab/>
          </w:r>
          <w:bookmarkStart w:id="10" w:name="_Toc6010_WPSOffice_Level2Page"/>
          <w:r>
            <w:t>7</w:t>
          </w:r>
          <w:bookmarkEnd w:id="10"/>
          <w:r>
            <w:fldChar w:fldCharType="end"/>
          </w:r>
        </w:p>
        <w:p>
          <w:pPr>
            <w:pStyle w:val="20"/>
            <w:tabs>
              <w:tab w:val="right" w:leader="dot" w:pos="9026"/>
            </w:tabs>
          </w:pPr>
          <w:r>
            <w:fldChar w:fldCharType="begin"/>
          </w:r>
          <w:r>
            <w:instrText xml:space="preserve"> HYPERLINK \l _Toc10416_WPSOffice_Level2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cb398bac-4361-4f0b-878e-a2b7538eae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5.2. </w:t>
              </w:r>
              <w:r>
                <w:rPr>
                  <w:rFonts w:asciiTheme="majorHAnsi" w:hAnsiTheme="majorHAnsi" w:eastAsiaTheme="majorEastAsia" w:cstheme="majorBidi"/>
                </w:rPr>
                <w:t>Studium przepadku: CD PROJECT</w:t>
              </w:r>
            </w:sdtContent>
          </w:sdt>
          <w:r>
            <w:tab/>
          </w:r>
          <w:bookmarkStart w:id="11" w:name="_Toc10416_WPSOffice_Level2Page"/>
          <w:r>
            <w:t>8</w:t>
          </w:r>
          <w:bookmarkEnd w:id="11"/>
          <w:r>
            <w:fldChar w:fldCharType="end"/>
          </w:r>
        </w:p>
        <w:p>
          <w:pPr>
            <w:pStyle w:val="20"/>
            <w:tabs>
              <w:tab w:val="right" w:leader="dot" w:pos="9026"/>
            </w:tabs>
          </w:pPr>
          <w:r>
            <w:fldChar w:fldCharType="begin"/>
          </w:r>
          <w:r>
            <w:instrText xml:space="preserve"> HYPERLINK \l _Toc9596_WPSOffice_Level2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aba6c838-0ccb-4b86-9b82-30430e097f5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5.3. </w:t>
              </w:r>
              <w:r>
                <w:rPr>
                  <w:rFonts w:asciiTheme="majorHAnsi" w:hAnsiTheme="majorHAnsi" w:eastAsiaTheme="majorEastAsia" w:cstheme="majorBidi"/>
                </w:rPr>
                <w:t>Podsumowanie</w:t>
              </w:r>
            </w:sdtContent>
          </w:sdt>
          <w:r>
            <w:tab/>
          </w:r>
          <w:bookmarkStart w:id="12" w:name="_Toc9596_WPSOffice_Level2Page"/>
          <w:r>
            <w:t>8</w:t>
          </w:r>
          <w:bookmarkEnd w:id="12"/>
          <w:r>
            <w:fldChar w:fldCharType="end"/>
          </w:r>
        </w:p>
        <w:p>
          <w:pPr>
            <w:pStyle w:val="19"/>
            <w:tabs>
              <w:tab w:val="right" w:leader="dot" w:pos="9026"/>
            </w:tabs>
          </w:pPr>
          <w:r>
            <w:fldChar w:fldCharType="begin"/>
          </w:r>
          <w:r>
            <w:instrText xml:space="preserve"> HYPERLINK \l _Toc6010_WPSOffice_Level1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4ac1e1af-c4ba-4d26-839c-277583c7dd8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6. Referencje</w:t>
              </w:r>
            </w:sdtContent>
          </w:sdt>
          <w:r>
            <w:tab/>
          </w:r>
          <w:bookmarkStart w:id="13" w:name="_Toc6010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numPr>
          <w:ilvl w:val="0"/>
          <w:numId w:val="1"/>
        </w:numPr>
      </w:pPr>
      <w:bookmarkStart w:id="14" w:name="_Toc264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rPr>
          <w:lang w:val="pl-PL"/>
        </w:rPr>
      </w:pPr>
      <w:r>
        <w:rPr>
          <w:lang w:val="pl-PL"/>
        </w:rPr>
        <w:t xml:space="preserve">W pacy przeprowadzę analizę twittów, sprawdzę skorelowanie ich sentymentu z kursem akcji. Będę poszukiwał twittów które wyprzedzają zmianę kursu oraz osoby mające znaczny wpływ na kurs akcji.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1"/>
        </w:numPr>
        <w:ind w:left="0" w:leftChars="0" w:firstLine="0" w:firstLineChars="0"/>
      </w:pPr>
      <w:bookmarkStart w:id="15" w:name="_Toc16068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10"/>
        </w:rPr>
        <w:t>https://www.bankier.pl/new-charts/get-data?symbol=</w:t>
      </w:r>
      <w:r>
        <w:rPr>
          <w:rStyle w:val="10"/>
          <w:b/>
          <w:bCs/>
        </w:rPr>
        <w:t>{symbol}</w:t>
      </w:r>
      <w:r>
        <w:rPr>
          <w:rStyle w:val="10"/>
        </w:rPr>
        <w:t>&amp;intraday=true&amp;type=area</w:t>
      </w:r>
      <w:r>
        <w:rPr>
          <w:rStyle w:val="10"/>
        </w:rPr>
        <w:fldChar w:fldCharType="end"/>
      </w:r>
    </w:p>
    <w:p>
      <w:r>
        <w:t>gdzie {symbol} oznacza symbol spółki giełdowej której notowania chcemy pozyskać.</w:t>
      </w:r>
    </w:p>
    <w:p>
      <w:pPr>
        <w:rPr>
          <w:lang w:val="pl-PL"/>
        </w:rPr>
      </w:pPr>
      <w:r>
        <w:t>Pobrane dane mają format JSON o strukturze</w:t>
      </w:r>
      <w:r>
        <w:rPr>
          <w:lang w:val="pl-PL"/>
        </w:rPr>
        <w:t xml:space="preserve"> zobrazowanej na Rys. 1.</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w:t>
      </w:r>
      <w:r>
        <w:fldChar w:fldCharType="end"/>
      </w:r>
      <w:r>
        <w:rPr>
          <w:lang w:val="pl-PL"/>
        </w:rPr>
        <w:t>. Struktura wiadomości JSON zwracanej prze API b</w:t>
      </w:r>
      <w:r>
        <w:t xml:space="preserve">ankier.pl </w:t>
      </w:r>
    </w:p>
    <w:p>
      <w:pPr>
        <w:bidi w:val="0"/>
        <w:rPr>
          <w:lang w:val="pl-PL"/>
        </w:rPr>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2</w:t>
      </w:r>
      <w:r>
        <w:fldChar w:fldCharType="end"/>
      </w:r>
      <w:r>
        <w:rPr>
          <w:lang w:val="pl-PL"/>
        </w:rPr>
        <w:t>. Struktura JSON kursów akcji zwracana przez API b</w:t>
      </w:r>
      <w:r>
        <w:t xml:space="preserve">ankier.pl </w:t>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pStyle w:val="2"/>
        <w:numPr>
          <w:ilvl w:val="0"/>
          <w:numId w:val="1"/>
        </w:numPr>
        <w:bidi w:val="0"/>
        <w:ind w:left="0" w:leftChars="0" w:firstLine="0" w:firstLineChars="0"/>
      </w:pPr>
      <w:bookmarkStart w:id="16" w:name="_Toc98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8"/>
        <w:numPr>
          <w:ilvl w:val="0"/>
          <w:numId w:val="2"/>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8"/>
        <w:numPr>
          <w:ilvl w:val="0"/>
          <w:numId w:val="2"/>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8"/>
        <w:numPr>
          <w:ilvl w:val="0"/>
          <w:numId w:val="2"/>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Cennik dodatkowych wyszukiwani w opcji Premium</w:t>
      </w:r>
      <w:r>
        <w:rPr>
          <w:lang w:val="pl-PL"/>
        </w:rPr>
        <w:t xml:space="preserve"> został zamieszczony na Rys 3.</w:t>
      </w:r>
      <w:r>
        <w:t xml:space="preserve">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pStyle w:val="4"/>
        <w:bidi w:val="0"/>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3</w:t>
      </w:r>
      <w:r>
        <w:fldChar w:fldCharType="end"/>
      </w:r>
      <w:r>
        <w:rPr>
          <w:lang w:val="pl-PL"/>
        </w:rPr>
        <w:t xml:space="preserve">. Cennik usługi Premium Twittera </w:t>
      </w:r>
    </w:p>
    <w:p>
      <w:pPr>
        <w:bidi w:val="0"/>
        <w:spacing w:before="0" w:beforeAutospacing="0" w:after="160" w:afterAutospacing="0" w:line="259" w:lineRule="auto"/>
        <w:ind w:left="0" w:right="0"/>
        <w:jc w:val="left"/>
      </w:pPr>
    </w:p>
    <w:p>
      <w:pPr>
        <w:pStyle w:val="3"/>
        <w:numPr>
          <w:ilvl w:val="1"/>
          <w:numId w:val="1"/>
        </w:numPr>
        <w:bidi w:val="0"/>
      </w:pPr>
      <w:bookmarkStart w:id="17" w:name="_Toc16068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pStyle w:val="3"/>
        <w:numPr>
          <w:ilvl w:val="1"/>
          <w:numId w:val="1"/>
        </w:numPr>
        <w:bidi w:val="0"/>
        <w:spacing w:before="40" w:beforeAutospacing="0" w:after="0" w:afterAutospacing="0" w:line="259" w:lineRule="auto"/>
        <w:ind w:left="0" w:leftChars="0" w:right="0" w:firstLine="0" w:firstLineChars="0"/>
        <w:jc w:val="left"/>
      </w:pPr>
      <w:bookmarkStart w:id="18" w:name="_Toc98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bidi w:val="0"/>
      </w:pPr>
    </w:p>
    <w:p>
      <w:pPr>
        <w:spacing w:before="0" w:beforeAutospacing="0" w:after="160" w:afterAutospacing="0" w:line="259" w:lineRule="auto"/>
        <w:ind w:left="0" w:right="0"/>
        <w:jc w:val="left"/>
      </w:pPr>
      <w:r>
        <w:drawing>
          <wp:inline distT="0" distB="0" distL="114300" distR="114300">
            <wp:extent cx="3783965" cy="2830195"/>
            <wp:effectExtent l="0" t="0" r="3175" b="4445"/>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3965" cy="2830195"/>
                    </a:xfrm>
                    <a:prstGeom prst="rect">
                      <a:avLst/>
                    </a:prstGeom>
                  </pic:spPr>
                </pic:pic>
              </a:graphicData>
            </a:graphic>
          </wp:inline>
        </w:drawing>
      </w:r>
    </w:p>
    <w:p>
      <w:pPr>
        <w:pStyle w:val="4"/>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4</w:t>
      </w:r>
      <w:r>
        <w:fldChar w:fldCharType="end"/>
      </w:r>
      <w:r>
        <w:rPr>
          <w:lang w:val="pl-PL"/>
        </w:rPr>
        <w:t>. Diagram obrazujący sposób wymiany wiadomości podczas autoryzacji OAuth 2.0</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numPr>
          <w:ilvl w:val="1"/>
          <w:numId w:val="1"/>
        </w:numPr>
        <w:bidi w:val="0"/>
        <w:ind w:left="0" w:leftChars="0" w:firstLine="0" w:firstLineChars="0"/>
      </w:pPr>
      <w:bookmarkStart w:id="19" w:name="_Toc8055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10"/>
        </w:rPr>
        <w:t>https://api.twitter.com/1.1//tweets/search/30day/DEV.json</w:t>
      </w:r>
      <w:r>
        <w:rPr>
          <w:rStyle w:val="10"/>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10"/>
          <w:rFonts w:ascii="Calibri" w:hAnsi="Calibri" w:eastAsia="Calibri" w:cs="Calibri"/>
          <w:sz w:val="22"/>
          <w:szCs w:val="22"/>
          <w:lang w:val="pl-PL"/>
        </w:rPr>
        <w:t>http://www.tweepy.org</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numPr>
          <w:ilvl w:val="1"/>
          <w:numId w:val="1"/>
        </w:numPr>
        <w:bidi w:val="0"/>
        <w:ind w:left="0" w:leftChars="0" w:firstLine="0" w:firstLineChars="0"/>
      </w:pPr>
      <w:bookmarkStart w:id="20" w:name="_Toc8730_WPSOffice_Level2"/>
      <w:r>
        <w:t>Struktura wiadomości</w:t>
      </w:r>
      <w:bookmarkEnd w:id="20"/>
    </w:p>
    <w:p>
      <w:pPr>
        <w:bidi w:val="0"/>
      </w:pPr>
      <w:r>
        <w:t>Pobrane dane mają format JSON. Z pośród kilkunastu dostępnych atrybutów do dalszej analizy wybierzemy tylko kilka najważniejszych:</w:t>
      </w:r>
    </w:p>
    <w:p>
      <w:pPr>
        <w:pStyle w:val="18"/>
        <w:numPr>
          <w:ilvl w:val="0"/>
          <w:numId w:val="3"/>
        </w:numPr>
        <w:bidi w:val="0"/>
        <w:spacing w:before="0" w:beforeAutospacing="0" w:after="160" w:afterAutospacing="0" w:line="259" w:lineRule="auto"/>
        <w:ind w:right="0"/>
        <w:jc w:val="left"/>
        <w:rPr>
          <w:sz w:val="22"/>
          <w:szCs w:val="22"/>
        </w:rPr>
      </w:pPr>
      <w:r>
        <w:t>id - identyfikator</w:t>
      </w:r>
    </w:p>
    <w:p>
      <w:pPr>
        <w:pStyle w:val="18"/>
        <w:numPr>
          <w:ilvl w:val="0"/>
          <w:numId w:val="3"/>
        </w:numPr>
        <w:bidi w:val="0"/>
        <w:spacing w:before="0" w:beforeAutospacing="0" w:after="160" w:afterAutospacing="0" w:line="259" w:lineRule="auto"/>
        <w:ind w:right="0"/>
        <w:jc w:val="left"/>
        <w:rPr>
          <w:sz w:val="22"/>
          <w:szCs w:val="22"/>
        </w:rPr>
      </w:pPr>
      <w:r>
        <w:t>created_at – data utworzenia</w:t>
      </w:r>
    </w:p>
    <w:p>
      <w:pPr>
        <w:pStyle w:val="18"/>
        <w:numPr>
          <w:ilvl w:val="0"/>
          <w:numId w:val="3"/>
        </w:numPr>
        <w:bidi w:val="0"/>
        <w:spacing w:before="0" w:beforeAutospacing="0" w:after="160" w:afterAutospacing="0" w:line="259" w:lineRule="auto"/>
        <w:ind w:left="720" w:right="0" w:hanging="360"/>
        <w:jc w:val="left"/>
        <w:rPr>
          <w:sz w:val="22"/>
          <w:szCs w:val="22"/>
        </w:rPr>
      </w:pPr>
      <w:r>
        <w:t>full_text - pełny tekst wiadomości</w:t>
      </w:r>
    </w:p>
    <w:p>
      <w:pPr>
        <w:pStyle w:val="18"/>
        <w:numPr>
          <w:ilvl w:val="0"/>
          <w:numId w:val="3"/>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8"/>
        <w:numPr>
          <w:ilvl w:val="0"/>
          <w:numId w:val="3"/>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8"/>
        <w:numPr>
          <w:ilvl w:val="0"/>
          <w:numId w:val="3"/>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4366260" cy="295656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66260" cy="2956560"/>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5</w:t>
      </w:r>
      <w:r>
        <w:fldChar w:fldCharType="end"/>
      </w:r>
      <w:r>
        <w:rPr>
          <w:lang w:val="pl-PL"/>
        </w:rPr>
        <w:t>. Struktura wiadomości JSON opisująca Twitt</w:t>
      </w:r>
    </w:p>
    <w:p>
      <w:pPr>
        <w:bidi w:val="0"/>
      </w:pPr>
    </w:p>
    <w:p>
      <w:pPr>
        <w:bidi w:val="0"/>
      </w:pPr>
    </w:p>
    <w:p>
      <w:pPr>
        <w:bidi w:val="0"/>
      </w:pPr>
    </w:p>
    <w:p/>
    <w:p/>
    <w:p/>
    <w:p/>
    <w:p/>
    <w:p/>
    <w:p/>
    <w:p>
      <w:pPr>
        <w:pStyle w:val="2"/>
        <w:numPr>
          <w:ilvl w:val="0"/>
          <w:numId w:val="1"/>
        </w:numPr>
        <w:bidi w:val="0"/>
        <w:ind w:left="0" w:leftChars="0" w:firstLine="0" w:firstLineChars="0"/>
      </w:pPr>
      <w:bookmarkStart w:id="21" w:name="_Toc8055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10"/>
          <w:rFonts w:ascii="Calibri" w:hAnsi="Calibri" w:eastAsia="Calibri" w:cs="Calibri"/>
          <w:color w:val="24292E"/>
          <w:sz w:val="24"/>
          <w:szCs w:val="24"/>
          <w:lang w:val="pl-PL"/>
        </w:rPr>
        <w:t>http://www.nltk.org</w:t>
      </w:r>
      <w:r>
        <w:rPr>
          <w:rStyle w:val="10"/>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10"/>
          <w:rFonts w:ascii="Calibri" w:hAnsi="Calibri" w:eastAsia="Calibri" w:cs="Calibri"/>
          <w:sz w:val="24"/>
          <w:szCs w:val="24"/>
          <w:lang w:val="pl-PL"/>
        </w:rPr>
        <w:t>https://sjp.pl/slownik/odmiany/</w:t>
      </w:r>
      <w:r>
        <w:rPr>
          <w:rStyle w:val="10"/>
          <w:rFonts w:ascii="Calibri" w:hAnsi="Calibri" w:eastAsia="Calibri" w:cs="Calibri"/>
          <w:sz w:val="24"/>
          <w:szCs w:val="24"/>
          <w:lang w:val="pl-PL"/>
        </w:rPr>
        <w:fldChar w:fldCharType="end"/>
      </w:r>
      <w:r>
        <w:rPr>
          <w:rFonts w:ascii="Calibri" w:hAnsi="Calibri" w:eastAsia="Calibri" w:cs="Calibri"/>
          <w:sz w:val="24"/>
          <w:szCs w:val="24"/>
          <w:lang w:val="pl-PL"/>
        </w:rPr>
        <w:t>, zawiera on 224 tysiące form bazowanych wyrazów. Dla każdej z form bazowych słownik zawiera formy odmienione np.: ropa, rop, ropach, ropami, ropą, ropę, ropie, ropo, ropom, ropy. Wycinek słownika fleksyjnego pokazuje Rys.6.</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r>
        <w:drawing>
          <wp:inline distT="0" distB="0" distL="114300" distR="114300">
            <wp:extent cx="5729605" cy="2630805"/>
            <wp:effectExtent l="0" t="0" r="635" b="571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13"/>
                    <a:stretch>
                      <a:fillRect/>
                    </a:stretch>
                  </pic:blipFill>
                  <pic:spPr>
                    <a:xfrm>
                      <a:off x="0" y="0"/>
                      <a:ext cx="5729605" cy="26308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6</w:t>
      </w:r>
      <w:r>
        <w:fldChar w:fldCharType="end"/>
      </w:r>
      <w:r>
        <w:rPr>
          <w:lang w:val="pl-PL"/>
        </w:rPr>
        <w:t xml:space="preserve">. Wycinek słownika fleksyjnego  </w:t>
      </w:r>
    </w:p>
    <w:p>
      <w:pPr>
        <w:bidi w:val="0"/>
      </w:pPr>
    </w:p>
    <w:p>
      <w:pPr>
        <w:bidi w:val="0"/>
      </w:pPr>
    </w:p>
    <w:p>
      <w:pPr>
        <w:bidi w:val="0"/>
      </w:pPr>
    </w:p>
    <w:p>
      <w:pPr>
        <w:bidi w:val="0"/>
      </w:pPr>
    </w:p>
    <w:p>
      <w:pPr>
        <w:pStyle w:val="2"/>
        <w:numPr>
          <w:ilvl w:val="0"/>
          <w:numId w:val="1"/>
        </w:numPr>
        <w:bidi w:val="0"/>
        <w:ind w:left="0" w:leftChars="0" w:firstLine="0" w:firstLineChars="0"/>
      </w:pPr>
      <w:bookmarkStart w:id="22" w:name="_Toc8730_WPSOffice_Level1"/>
      <w:r>
        <w:t>Analiza</w:t>
      </w:r>
      <w:bookmarkEnd w:id="22"/>
      <w:r>
        <w:t xml:space="preserve"> </w:t>
      </w:r>
    </w:p>
    <w:p/>
    <w:p>
      <w:pPr>
        <w:bidi w:val="0"/>
        <w:rPr>
          <w:lang w:val="pl-PL"/>
        </w:rPr>
      </w:pPr>
      <w:r>
        <w:rPr>
          <w:lang w:val="pl-PL"/>
        </w:rPr>
        <w:t>W tym opracowaniu przedstawie szczegółową analizę dla kilku spółek notowanych na GPW. Wybrałem spółki z index-u WIG 20, są to jedne z bardziej znanych w swojej kategorii:</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PKN ORLEN </w:t>
      </w:r>
      <w:r>
        <w:t xml:space="preserve">- </w:t>
      </w:r>
      <w:r>
        <w:rPr>
          <w:lang w:val="pl-PL"/>
        </w:rPr>
        <w:t>największa polska firma petrochemiczna</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CD PROJECT  - najbardziej rozpoznawalny twórca gier komputerowych w Polsce, twórca kultowej gry Wiedźmin, </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GRUPA AZOTY - największy koncert chemiczny w Polsce</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LPP - </w:t>
      </w:r>
      <w:r>
        <w:rPr>
          <w:rFonts w:hint="default"/>
          <w:sz w:val="22"/>
          <w:szCs w:val="22"/>
          <w:lang w:val="pl-PL"/>
        </w:rPr>
        <w:t>polskie przedsiębiorstwo odzieżowe zajmujące się projektowaniem, produkcją i dystrybucją odzieży, mające w swoim portfolu mareki: Reserved, House, Cropp, Mohito i Sinsay</w:t>
      </w:r>
    </w:p>
    <w:p>
      <w:pPr>
        <w:pStyle w:val="18"/>
        <w:numPr>
          <w:ilvl w:val="0"/>
          <w:numId w:val="3"/>
        </w:numPr>
        <w:bidi w:val="0"/>
        <w:spacing w:before="0" w:beforeAutospacing="0" w:after="160" w:afterAutospacing="0" w:line="259" w:lineRule="auto"/>
        <w:ind w:left="720" w:right="0" w:hanging="360"/>
        <w:jc w:val="left"/>
        <w:rPr>
          <w:sz w:val="22"/>
          <w:szCs w:val="22"/>
        </w:rPr>
      </w:pPr>
      <w:r>
        <w:rPr>
          <w:rFonts w:hint="default"/>
          <w:sz w:val="22"/>
          <w:szCs w:val="22"/>
          <w:lang w:val="pl-PL"/>
        </w:rPr>
        <w:t xml:space="preserve">Dino  - największa sieć Polskich dyskontów spożywczych </w:t>
      </w:r>
    </w:p>
    <w:p>
      <w:pPr>
        <w:bidi w:val="0"/>
        <w:rPr>
          <w:lang w:val="pl-PL"/>
        </w:rPr>
      </w:pPr>
    </w:p>
    <w:p>
      <w:pPr>
        <w:bidi w:val="0"/>
        <w:rPr>
          <w:lang w:val="pl-PL"/>
        </w:rPr>
      </w:pPr>
      <w:r>
        <w:rPr>
          <w:lang w:val="pl-PL"/>
        </w:rPr>
        <w:t>Dla każdej przeanalizowanej spółki została przygotowana konfiguracja przedstawiona na Rys. 7.</w:t>
      </w:r>
    </w:p>
    <w:p>
      <w:pPr>
        <w:bidi w:val="0"/>
      </w:pPr>
      <w:r>
        <w:drawing>
          <wp:inline distT="0" distB="0" distL="114300" distR="114300">
            <wp:extent cx="2141220" cy="273050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4"/>
                    <a:stretch>
                      <a:fillRect/>
                    </a:stretch>
                  </pic:blipFill>
                  <pic:spPr>
                    <a:xfrm>
                      <a:off x="0" y="0"/>
                      <a:ext cx="2141220" cy="27305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7</w:t>
      </w:r>
      <w:r>
        <w:fldChar w:fldCharType="end"/>
      </w:r>
      <w:r>
        <w:rPr>
          <w:lang w:val="pl-PL"/>
        </w:rPr>
        <w:t>. Struktura konfiguracji dla jednej ze spółek</w:t>
      </w:r>
    </w:p>
    <w:p>
      <w:pPr>
        <w:rPr>
          <w:lang w:val="pl-PL"/>
        </w:rPr>
      </w:pPr>
    </w:p>
    <w:p>
      <w:pPr>
        <w:bidi w:val="0"/>
        <w:rPr>
          <w:lang w:val="pl-PL"/>
        </w:rPr>
      </w:pPr>
      <w:r>
        <w:rPr>
          <w:lang w:val="pl-PL"/>
        </w:rPr>
        <w:t>Gdzie</w:t>
      </w:r>
    </w:p>
    <w:p>
      <w:pPr>
        <w:pStyle w:val="18"/>
        <w:numPr>
          <w:ilvl w:val="0"/>
          <w:numId w:val="3"/>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8"/>
        <w:numPr>
          <w:ilvl w:val="0"/>
          <w:numId w:val="3"/>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bidi w:val="0"/>
      </w:pPr>
    </w:p>
    <w:p>
      <w:pPr>
        <w:bidi w:val="0"/>
      </w:pPr>
    </w:p>
    <w:p>
      <w:pPr>
        <w:bidi w:val="0"/>
      </w:pPr>
    </w:p>
    <w:p>
      <w:pPr>
        <w:bidi w:val="0"/>
        <w:rPr>
          <w:lang w:val="pl-PL"/>
        </w:rPr>
      </w:pPr>
      <w:r>
        <w:rPr>
          <w:lang w:val="pl-PL"/>
        </w:rPr>
        <w:t>Wyniki analizy przedstawie są na wykresie, przykładowy wykres na Rys. 8.</w:t>
      </w:r>
    </w:p>
    <w:p>
      <w:pPr>
        <w:bidi w:val="0"/>
      </w:pPr>
      <w:r>
        <w:drawing>
          <wp:inline distT="0" distB="0" distL="114300" distR="114300">
            <wp:extent cx="5720080" cy="1458595"/>
            <wp:effectExtent l="0" t="0" r="254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pic:cNvPicPr>
                  </pic:nvPicPr>
                  <pic:blipFill>
                    <a:blip r:embed="rId15"/>
                    <a:stretch>
                      <a:fillRect/>
                    </a:stretch>
                  </pic:blipFill>
                  <pic:spPr>
                    <a:xfrm>
                      <a:off x="0" y="0"/>
                      <a:ext cx="5720080" cy="14585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8</w:t>
      </w:r>
      <w:r>
        <w:fldChar w:fldCharType="end"/>
      </w:r>
      <w:r>
        <w:rPr>
          <w:lang w:val="pl-PL"/>
        </w:rPr>
        <w:t xml:space="preserve">. Wyniki analizy </w:t>
      </w:r>
    </w:p>
    <w:p>
      <w:pPr>
        <w:bidi w:val="0"/>
        <w:rPr>
          <w:lang w:val="pl-PL"/>
        </w:rPr>
      </w:pPr>
      <w:r>
        <w:rPr>
          <w:lang w:val="pl-PL"/>
        </w:rPr>
        <w:t>Górna część wykresu przedstawia cenę akcji w czasie dla analizowanej spółki, cena zmienia się tylko w godzinach 9-17, w dni robocze, jest to związane z godzinami pracy Giełdy Papierów Wartościowych. Wykres oparty jest o dane godzinowe.</w:t>
      </w:r>
    </w:p>
    <w:p>
      <w:pPr>
        <w:bidi w:val="0"/>
        <w:rPr>
          <w:lang w:val="pl-PL"/>
        </w:rPr>
      </w:pPr>
      <w:r>
        <w:rPr>
          <w:lang w:val="pl-PL"/>
        </w:rPr>
        <w:t>Dolny wykres przedstawia twitty w czasie. Os X jest wspólna z wykresem kursu akcji. Os Y przedstawia moc oddziaływania twitta oraz osoby która go opublikowała. Kształty i korowy twittów oznaczają:</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8"/>
        <w:numPr>
          <w:ilvl w:val="0"/>
          <w:numId w:val="3"/>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8"/>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r>
        <w:rPr>
          <w:lang w:val="pl-PL"/>
        </w:rPr>
        <w:t xml:space="preserve">  </w:t>
      </w:r>
    </w:p>
    <w:p>
      <w:pPr>
        <w:pStyle w:val="3"/>
        <w:numPr>
          <w:ilvl w:val="1"/>
          <w:numId w:val="1"/>
        </w:numPr>
        <w:ind w:left="0" w:leftChars="0" w:firstLine="0" w:firstLineChars="0"/>
        <w:rPr>
          <w:lang w:val="pl-PL"/>
        </w:rPr>
      </w:pPr>
      <w:bookmarkStart w:id="23" w:name="_Toc6010_WPSOffice_Level2"/>
      <w:r>
        <w:rPr>
          <w:lang w:val="pl-PL"/>
        </w:rPr>
        <w:t>Studium przepadku: PKN ORLEN</w:t>
      </w:r>
      <w:bookmarkEnd w:id="23"/>
    </w:p>
    <w:p>
      <w:pPr>
        <w:bidi w:val="0"/>
        <w:spacing w:before="0" w:beforeAutospacing="0" w:after="160" w:afterAutospacing="0" w:line="259" w:lineRule="auto"/>
        <w:ind w:left="360" w:right="0"/>
        <w:jc w:val="left"/>
      </w:pPr>
    </w:p>
    <w:p>
      <w:pPr>
        <w:bidi w:val="0"/>
      </w:pPr>
      <w:r>
        <w:drawing>
          <wp:inline distT="0" distB="0" distL="114300" distR="114300">
            <wp:extent cx="5727065" cy="1356995"/>
            <wp:effectExtent l="0" t="0" r="3175" b="6985"/>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2"/>
                    <pic:cNvPicPr>
                      <a:picLocks noChangeAspect="1"/>
                    </pic:cNvPicPr>
                  </pic:nvPicPr>
                  <pic:blipFill>
                    <a:blip r:embed="rId16"/>
                    <a:stretch>
                      <a:fillRect/>
                    </a:stretch>
                  </pic:blipFill>
                  <pic:spPr>
                    <a:xfrm>
                      <a:off x="0" y="0"/>
                      <a:ext cx="5727065" cy="13569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9</w:t>
      </w:r>
      <w:r>
        <w:fldChar w:fldCharType="end"/>
      </w:r>
      <w:r>
        <w:rPr>
          <w:lang w:val="pl-PL"/>
        </w:rPr>
        <w:t>. Korelacja cen akcji i sentymentu twittów dla PKN ORLEN</w:t>
      </w:r>
    </w:p>
    <w:p>
      <w:pPr>
        <w:bidi w:val="0"/>
        <w:rPr>
          <w:lang w:val="pl-PL"/>
        </w:rPr>
      </w:pPr>
      <w:r>
        <w:rPr>
          <w:lang w:val="pl-PL"/>
        </w:rPr>
        <w:t>Dla PKN ORLEN na twitterze znajdowało się sporo informacji o sponsorowanych sportowcach: Orlen Team, twitty te jednak nie są zbyt popularne, mieszczą się w dolnej części wykresu.</w:t>
      </w:r>
    </w:p>
    <w:p>
      <w:pPr>
        <w:bidi w:val="0"/>
        <w:rPr>
          <w:lang w:val="pl-PL"/>
        </w:rPr>
      </w:pPr>
      <w:r>
        <w:rPr>
          <w:lang w:val="pl-PL"/>
        </w:rPr>
        <w:t>Najbardziej znaczące twitty zostały opublikowane przez:</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Bartek Piekarski</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Wojciech Jakóbik</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Rzeczpospolita Ekonomia</w:t>
      </w:r>
    </w:p>
    <w:p>
      <w:pPr>
        <w:pStyle w:val="18"/>
        <w:numPr>
          <w:ilvl w:val="0"/>
          <w:numId w:val="3"/>
        </w:numPr>
        <w:bidi w:val="0"/>
        <w:spacing w:before="0" w:beforeAutospacing="0" w:after="160" w:afterAutospacing="0" w:line="259" w:lineRule="auto"/>
        <w:ind w:right="0"/>
        <w:jc w:val="left"/>
        <w:rPr>
          <w:sz w:val="22"/>
          <w:szCs w:val="22"/>
        </w:rPr>
      </w:pPr>
      <w:r>
        <w:rPr>
          <w:rFonts w:hint="default"/>
          <w:lang w:val="pl-PL"/>
        </w:rPr>
        <w:t>Jarosław Szmyt</w:t>
      </w:r>
      <w:r>
        <w:rPr>
          <w:lang w:val="pl-PL"/>
        </w:rPr>
        <w:t xml:space="preserve"> </w:t>
      </w:r>
    </w:p>
    <w:p>
      <w:pPr>
        <w:bidi w:val="0"/>
        <w:rPr>
          <w:lang w:val="pl-PL"/>
        </w:rPr>
      </w:pPr>
    </w:p>
    <w:p>
      <w:pPr>
        <w:bidi w:val="0"/>
      </w:pPr>
      <w:r>
        <w:drawing>
          <wp:inline distT="0" distB="0" distL="114300" distR="114300">
            <wp:extent cx="5725160" cy="1384300"/>
            <wp:effectExtent l="0" t="0" r="5080" b="254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3"/>
                    <pic:cNvPicPr>
                      <a:picLocks noChangeAspect="1"/>
                    </pic:cNvPicPr>
                  </pic:nvPicPr>
                  <pic:blipFill>
                    <a:blip r:embed="rId17"/>
                    <a:stretch>
                      <a:fillRect/>
                    </a:stretch>
                  </pic:blipFill>
                  <pic:spPr>
                    <a:xfrm>
                      <a:off x="0" y="0"/>
                      <a:ext cx="5725160" cy="13843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10</w:t>
      </w:r>
      <w:r>
        <w:fldChar w:fldCharType="end"/>
      </w:r>
      <w:r>
        <w:rPr>
          <w:lang w:val="pl-PL"/>
        </w:rPr>
        <w:t>. Twitty o największej mocy</w:t>
      </w:r>
    </w:p>
    <w:p>
      <w:pPr>
        <w:bidi w:val="0"/>
        <w:rPr>
          <w:lang w:val="pl-PL"/>
        </w:rPr>
      </w:pPr>
    </w:p>
    <w:p>
      <w:pPr>
        <w:bidi w:val="0"/>
        <w:rPr>
          <w:lang w:val="pl-PL"/>
        </w:rPr>
      </w:pPr>
      <w:r>
        <w:rPr>
          <w:lang w:val="pl-PL"/>
        </w:rPr>
        <w:t xml:space="preserve">Jeden z twittów  ( oznaczony zieloną ramką na Rys. 10.) wydaje się być wyprzedzający zmianę kursu akcji. Jest to twitt </w:t>
      </w:r>
      <w:r>
        <w:rPr>
          <w:rFonts w:hint="default"/>
          <w:lang w:val="pl-PL"/>
        </w:rPr>
        <w:t xml:space="preserve">Jarosław Szmyt który odnosi się do artykułu zamieszczonego na stronie FMF FM pod tytułem:  </w:t>
      </w:r>
      <w:r>
        <w:rPr>
          <w:rFonts w:hint="default"/>
          <w:i/>
          <w:iCs/>
          <w:lang w:val="pl-PL"/>
        </w:rPr>
        <w:t xml:space="preserve">„Zanieczyszczona ropa z Rosji: Niemcy chcą przerzucić problem na Polskę?”. </w:t>
      </w:r>
      <w:r>
        <w:rPr>
          <w:rFonts w:hint="default"/>
          <w:i w:val="0"/>
          <w:iCs w:val="0"/>
          <w:lang w:val="pl-PL"/>
        </w:rPr>
        <w:t xml:space="preserve">Jest to informacje która mogła mieć wpływ na notowania PNK ORLEN, aczkolwiek akcjonariusze mogli pozyskać tę informacje z różnych kanałów. </w:t>
      </w:r>
    </w:p>
    <w:p>
      <w:pPr>
        <w:rPr>
          <w:lang w:val="pl-PL"/>
        </w:rPr>
      </w:pPr>
    </w:p>
    <w:p>
      <w:pPr>
        <w:pStyle w:val="3"/>
        <w:numPr>
          <w:ilvl w:val="1"/>
          <w:numId w:val="1"/>
        </w:numPr>
        <w:ind w:left="0" w:leftChars="0" w:firstLine="0" w:firstLineChars="0"/>
        <w:rPr>
          <w:lang w:val="pl-PL"/>
        </w:rPr>
      </w:pPr>
      <w:bookmarkStart w:id="24" w:name="_Toc10416_WPSOffice_Level2"/>
      <w:r>
        <w:rPr>
          <w:lang w:val="pl-PL"/>
        </w:rPr>
        <w:t>Studium przepadku: CD PROJECT</w:t>
      </w:r>
      <w:bookmarkEnd w:id="24"/>
    </w:p>
    <w:p>
      <w:pPr>
        <w:rPr>
          <w:lang w:val="pl-PL"/>
        </w:rPr>
      </w:pPr>
    </w:p>
    <w:p>
      <w:r>
        <w:drawing>
          <wp:inline distT="0" distB="0" distL="114300" distR="114300">
            <wp:extent cx="5724525" cy="1384935"/>
            <wp:effectExtent l="0" t="0" r="5715" b="1905"/>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pic:cNvPicPr>
                      <a:picLocks noChangeAspect="1"/>
                    </pic:cNvPicPr>
                  </pic:nvPicPr>
                  <pic:blipFill>
                    <a:blip r:embed="rId18"/>
                    <a:stretch>
                      <a:fillRect/>
                    </a:stretch>
                  </pic:blipFill>
                  <pic:spPr>
                    <a:xfrm>
                      <a:off x="0" y="0"/>
                      <a:ext cx="5724525" cy="1384935"/>
                    </a:xfrm>
                    <a:prstGeom prst="rect">
                      <a:avLst/>
                    </a:prstGeom>
                    <a:noFill/>
                    <a:ln w="9525">
                      <a:noFill/>
                    </a:ln>
                  </pic:spPr>
                </pic:pic>
              </a:graphicData>
            </a:graphic>
          </wp:inline>
        </w:drawing>
      </w:r>
    </w:p>
    <w:p>
      <w:pPr>
        <w:pStyle w:val="4"/>
        <w:rPr>
          <w:lang w:val="pl-PL"/>
        </w:rPr>
      </w:pPr>
      <w:r>
        <w:t xml:space="preserve">Rys. </w:t>
      </w:r>
      <w:r>
        <w:fldChar w:fldCharType="begin"/>
      </w:r>
      <w:r>
        <w:instrText xml:space="preserve"> SEQ Rys. \* ARABIC </w:instrText>
      </w:r>
      <w:r>
        <w:fldChar w:fldCharType="separate"/>
      </w:r>
      <w:r>
        <w:t>11</w:t>
      </w:r>
      <w:r>
        <w:fldChar w:fldCharType="end"/>
      </w:r>
      <w:r>
        <w:rPr>
          <w:lang w:val="pl-PL"/>
        </w:rPr>
        <w:t xml:space="preserve">. Korelacja kursu akcji CD PROJEKT z sentymentami twittów </w:t>
      </w:r>
    </w:p>
    <w:p>
      <w:pPr>
        <w:rPr>
          <w:lang w:val="pl-PL"/>
        </w:rPr>
      </w:pPr>
    </w:p>
    <w:p>
      <w:pPr>
        <w:bidi w:val="0"/>
        <w:rPr>
          <w:rFonts w:hint="default"/>
          <w:lang w:val="pl-PL"/>
        </w:rPr>
      </w:pPr>
      <w:r>
        <w:rPr>
          <w:lang w:val="pl-PL"/>
        </w:rPr>
        <w:t xml:space="preserve">Dla CD PROJEKT najbardziej znaczącą informacją był twitt WPROST o tym oczekiwaniach w związku z grą </w:t>
      </w:r>
      <w:r>
        <w:rPr>
          <w:rFonts w:hint="default"/>
          <w:lang w:val="pl-PL"/>
        </w:rPr>
        <w:t xml:space="preserve">„Cyberpunk 2077”, nie miał on jednak wpływy na cenę akcji. </w:t>
      </w:r>
    </w:p>
    <w:p>
      <w:pPr>
        <w:bidi w:val="0"/>
        <w:rPr>
          <w:rFonts w:hint="default"/>
          <w:lang w:val="pl-PL"/>
        </w:rPr>
      </w:pPr>
      <w:r>
        <w:rPr>
          <w:rFonts w:hint="default"/>
          <w:lang w:val="pl-PL"/>
        </w:rPr>
        <w:t>Kurs firmy znacząco wzrósł  miedzy czwartkową a piątkową sesją. Analiza twittów z tego okresu odpowiada na pytanie dlaczego to się stało. O 2019-05-24 07:00:33 na twittterze pojawiła się informacja o nadspodziewanie dobrych wynikach finansowych firmy, opublikowana przez Wirtualnemedia.pl, ta informacja pochodziła z oficjalnego raportu firmy opublikowanego 23-05 o 18:00 (juz po zamknięciu rynku).</w:t>
      </w:r>
    </w:p>
    <w:p>
      <w:pPr>
        <w:bidi w:val="0"/>
        <w:rPr>
          <w:lang w:val="pl-PL"/>
        </w:rPr>
      </w:pPr>
      <w:r>
        <w:rPr>
          <w:lang w:val="pl-PL"/>
        </w:rPr>
        <w:t xml:space="preserve">       </w:t>
      </w:r>
    </w:p>
    <w:p>
      <w:pPr>
        <w:rPr>
          <w:lang w:val="pl-PL"/>
        </w:rPr>
      </w:pPr>
    </w:p>
    <w:p>
      <w:pPr>
        <w:rPr>
          <w:lang w:val="pl-PL"/>
        </w:rPr>
      </w:pPr>
    </w:p>
    <w:p>
      <w:pPr>
        <w:rPr>
          <w:lang w:val="pl-PL"/>
        </w:rPr>
      </w:pPr>
    </w:p>
    <w:p>
      <w:pPr>
        <w:pStyle w:val="3"/>
        <w:numPr>
          <w:ilvl w:val="1"/>
          <w:numId w:val="1"/>
        </w:numPr>
        <w:ind w:left="0" w:leftChars="0" w:firstLine="0" w:firstLineChars="0"/>
        <w:rPr>
          <w:lang w:val="pl-PL"/>
        </w:rPr>
      </w:pPr>
      <w:r>
        <w:rPr>
          <w:lang w:val="pl-PL"/>
        </w:rPr>
        <w:t>Studium przepadku: GRUPA AZOTY</w:t>
      </w:r>
    </w:p>
    <w:p>
      <w:pPr>
        <w:rPr>
          <w:lang w:val="pl-PL"/>
        </w:rPr>
      </w:pPr>
    </w:p>
    <w:p>
      <w:r>
        <w:drawing>
          <wp:inline distT="0" distB="0" distL="114300" distR="114300">
            <wp:extent cx="5730875" cy="1416685"/>
            <wp:effectExtent l="0" t="0" r="6985" b="635"/>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pic:cNvPicPr>
                      <a:picLocks noChangeAspect="1"/>
                    </pic:cNvPicPr>
                  </pic:nvPicPr>
                  <pic:blipFill>
                    <a:blip r:embed="rId19"/>
                    <a:stretch>
                      <a:fillRect/>
                    </a:stretch>
                  </pic:blipFill>
                  <pic:spPr>
                    <a:xfrm>
                      <a:off x="0" y="0"/>
                      <a:ext cx="5730875" cy="1416685"/>
                    </a:xfrm>
                    <a:prstGeom prst="rect">
                      <a:avLst/>
                    </a:prstGeom>
                    <a:noFill/>
                    <a:ln w="9525">
                      <a:noFill/>
                    </a:ln>
                  </pic:spPr>
                </pic:pic>
              </a:graphicData>
            </a:graphic>
          </wp:inline>
        </w:drawing>
      </w:r>
    </w:p>
    <w:p>
      <w:pPr>
        <w:pStyle w:val="4"/>
        <w:rPr>
          <w:lang w:val="pl-PL"/>
        </w:rPr>
      </w:pPr>
      <w:r>
        <w:t xml:space="preserve">Rys. </w:t>
      </w:r>
      <w:r>
        <w:fldChar w:fldCharType="begin"/>
      </w:r>
      <w:r>
        <w:instrText xml:space="preserve"> SEQ Rys. \* ARABIC </w:instrText>
      </w:r>
      <w:r>
        <w:fldChar w:fldCharType="separate"/>
      </w:r>
      <w:r>
        <w:t>12</w:t>
      </w:r>
      <w:r>
        <w:fldChar w:fldCharType="end"/>
      </w:r>
      <w:r>
        <w:rPr>
          <w:lang w:val="pl-PL"/>
        </w:rPr>
        <w:t>. Kurs GRUPY AZOTY oraz najważniejsze twitty</w:t>
      </w:r>
    </w:p>
    <w:p>
      <w:pPr>
        <w:rPr>
          <w:rFonts w:hint="default"/>
          <w:lang w:val="pl-PL"/>
        </w:rPr>
      </w:pPr>
      <w:r>
        <w:rPr>
          <w:lang w:val="pl-PL"/>
        </w:rPr>
        <w:t xml:space="preserve">Kurs GRUPY AZOTY wydaje się być bardzo słabo skorelowany z twittami. Od poniedziałku do czwartku najistotniejszymi informacjami były te opublikowane przez </w:t>
      </w:r>
      <w:r>
        <w:rPr>
          <w:rFonts w:hint="default"/>
          <w:lang w:val="pl-PL"/>
        </w:rPr>
        <w:t>„Green-news.pl”i „wGospodarce.pl” na temat planowanych inwestycji w zieloną energie. W czwartek kurs spadał mimo braku negatywnych informacji, przy obecności pozytywnych, przykład Rys. 13.</w:t>
      </w:r>
    </w:p>
    <w:p>
      <w:pPr>
        <w:rPr>
          <w:rFonts w:hint="default"/>
          <w:lang w:val="pl-PL"/>
        </w:rPr>
      </w:pPr>
    </w:p>
    <w:p>
      <w:r>
        <w:drawing>
          <wp:inline distT="0" distB="0" distL="114300" distR="114300">
            <wp:extent cx="5725160" cy="257810"/>
            <wp:effectExtent l="0" t="0" r="5080" b="1270"/>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3"/>
                    <pic:cNvPicPr>
                      <a:picLocks noChangeAspect="1"/>
                    </pic:cNvPicPr>
                  </pic:nvPicPr>
                  <pic:blipFill>
                    <a:blip r:embed="rId20"/>
                    <a:stretch>
                      <a:fillRect/>
                    </a:stretch>
                  </pic:blipFill>
                  <pic:spPr>
                    <a:xfrm>
                      <a:off x="0" y="0"/>
                      <a:ext cx="5725160" cy="257810"/>
                    </a:xfrm>
                    <a:prstGeom prst="rect">
                      <a:avLst/>
                    </a:prstGeom>
                    <a:noFill/>
                    <a:ln w="9525">
                      <a:noFill/>
                    </a:ln>
                  </pic:spPr>
                </pic:pic>
              </a:graphicData>
            </a:graphic>
          </wp:inline>
        </w:drawing>
      </w:r>
    </w:p>
    <w:p>
      <w:pPr>
        <w:pStyle w:val="4"/>
        <w:rPr>
          <w:rFonts w:hint="default"/>
          <w:lang w:val="pl-PL"/>
        </w:rPr>
      </w:pPr>
      <w:r>
        <w:t xml:space="preserve">Rys. </w:t>
      </w:r>
      <w:r>
        <w:fldChar w:fldCharType="begin"/>
      </w:r>
      <w:r>
        <w:instrText xml:space="preserve"> SEQ Rys. \* ARABIC </w:instrText>
      </w:r>
      <w:r>
        <w:fldChar w:fldCharType="separate"/>
      </w:r>
      <w:r>
        <w:t>13</w:t>
      </w:r>
      <w:r>
        <w:fldChar w:fldCharType="end"/>
      </w:r>
      <w:r>
        <w:rPr>
          <w:lang w:val="pl-PL"/>
        </w:rPr>
        <w:t>. Przykład pozytywnej informacji dla GRUPY AZOTY</w:t>
      </w:r>
    </w:p>
    <w:p>
      <w:pPr>
        <w:rPr>
          <w:lang w:val="pl-PL"/>
        </w:rPr>
      </w:pPr>
    </w:p>
    <w:p>
      <w:pPr>
        <w:pStyle w:val="3"/>
        <w:numPr>
          <w:ilvl w:val="1"/>
          <w:numId w:val="1"/>
        </w:numPr>
        <w:ind w:left="0" w:leftChars="0" w:firstLine="0" w:firstLineChars="0"/>
        <w:rPr>
          <w:lang w:val="pl-PL"/>
        </w:rPr>
      </w:pPr>
      <w:r>
        <w:rPr>
          <w:lang w:val="pl-PL"/>
        </w:rPr>
        <w:t>Studium przepadku:  LPP</w:t>
      </w:r>
    </w:p>
    <w:p>
      <w:pPr>
        <w:rPr>
          <w:lang w:val="pl-PL"/>
        </w:rPr>
      </w:pPr>
    </w:p>
    <w:p>
      <w:pPr>
        <w:rPr>
          <w:lang w:val="pl-PL"/>
        </w:rPr>
      </w:pPr>
    </w:p>
    <w:p>
      <w:pPr>
        <w:rPr>
          <w:lang w:val="pl-PL"/>
        </w:rPr>
      </w:pPr>
    </w:p>
    <w:p>
      <w:pPr>
        <w:pStyle w:val="3"/>
        <w:numPr>
          <w:ilvl w:val="1"/>
          <w:numId w:val="1"/>
        </w:numPr>
        <w:ind w:left="0" w:leftChars="0" w:firstLine="0" w:firstLineChars="0"/>
        <w:rPr>
          <w:lang w:val="pl-PL"/>
        </w:rPr>
      </w:pPr>
      <w:r>
        <w:rPr>
          <w:lang w:val="pl-PL"/>
        </w:rPr>
        <w:t>Studium przepadku:  Dino</w:t>
      </w:r>
      <w:bookmarkStart w:id="27" w:name="_GoBack"/>
      <w:bookmarkEnd w:id="27"/>
    </w:p>
    <w:p>
      <w:pPr>
        <w:rPr>
          <w:lang w:val="pl-PL"/>
        </w:rPr>
      </w:pPr>
    </w:p>
    <w:p>
      <w:pPr>
        <w:pStyle w:val="4"/>
        <w:rPr>
          <w:lang w:val="pl-PL"/>
        </w:rPr>
      </w:pPr>
    </w:p>
    <w:p>
      <w:pPr>
        <w:rPr>
          <w:lang w:val="pl-PL"/>
        </w:rPr>
      </w:pPr>
    </w:p>
    <w:p>
      <w:pPr>
        <w:bidi w:val="0"/>
      </w:pPr>
    </w:p>
    <w:p>
      <w:pPr>
        <w:pStyle w:val="3"/>
        <w:numPr>
          <w:ilvl w:val="1"/>
          <w:numId w:val="1"/>
        </w:numPr>
        <w:ind w:left="0" w:leftChars="0" w:firstLine="0" w:firstLineChars="0"/>
        <w:rPr>
          <w:lang w:val="pl-PL"/>
        </w:rPr>
      </w:pPr>
      <w:bookmarkStart w:id="25" w:name="_Toc9596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pStyle w:val="2"/>
        <w:numPr>
          <w:ilvl w:val="0"/>
          <w:numId w:val="1"/>
        </w:numPr>
        <w:bidi w:val="0"/>
        <w:ind w:left="0" w:leftChars="0" w:firstLine="0" w:firstLineChars="0"/>
      </w:pPr>
      <w:bookmarkStart w:id="26" w:name="_Toc6010_WPSOffice_Level1"/>
      <w:r>
        <w:t>Referencje</w:t>
      </w:r>
      <w:bookmarkEnd w:id="26"/>
    </w:p>
    <w:p>
      <w:pPr>
        <w:bidi w:val="0"/>
      </w:pPr>
    </w:p>
    <w:p>
      <w:pPr>
        <w:pStyle w:val="18"/>
        <w:numPr>
          <w:ilvl w:val="0"/>
          <w:numId w:val="4"/>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"http://www.tweepy.org"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http://www.tweepy.org</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8"/>
        <w:numPr>
          <w:ilvl w:val="0"/>
          <w:numId w:val="4"/>
        </w:numPr>
        <w:bidi w:val="0"/>
        <w:spacing w:before="0" w:beforeAutospacing="0" w:after="0" w:afterAutospacing="0" w:line="259" w:lineRule="auto"/>
        <w:ind w:left="720" w:right="0" w:hanging="360"/>
        <w:jc w:val="left"/>
        <w:rPr>
          <w:rStyle w:val="10"/>
          <w:rFonts w:ascii="Calibri" w:hAnsi="Calibri" w:eastAsia="Calibri" w:cs="Calibri"/>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"https://github.com/PyConPL/Book/tree/master/2013/przetwarzanie_jezyka_naturalnego_w_praktyce"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https://github.com/PyConPL/Book/tree/master/2013/przetwarzanie_jezyka_naturalnego_w_praktyce</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8"/>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10"/>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"https://github.com/agh-glk/pydic"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https://github.com/agh-glk/pydic</w:t>
      </w:r>
      <w:r>
        <w:rPr>
          <w:rStyle w:val="10"/>
          <w:rFonts w:ascii="Calibri" w:hAnsi="Calibri" w:eastAsia="Calibri" w:cs="Calibri"/>
          <w:sz w:val="22"/>
          <w:szCs w:val="22"/>
          <w:lang w:val="pl-PL"/>
        </w:rPr>
        <w:fldChar w:fldCharType="end"/>
      </w:r>
      <w:r>
        <w:rPr>
          <w:rStyle w:val="10"/>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8"/>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"http://jsonviewer.stack.hu"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http://jsonviewer.stack.hu</w:t>
      </w:r>
      <w:r>
        <w:rPr>
          <w:rStyle w:val="10"/>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8"/>
        <w:numPr>
          <w:ilvl w:val="0"/>
          <w:numId w:val="4"/>
        </w:numPr>
        <w:bidi w:val="0"/>
        <w:spacing w:before="0" w:beforeAutospacing="0" w:after="0" w:afterAutospacing="0" w:line="259" w:lineRule="auto"/>
        <w:ind w:left="720" w:right="0" w:hanging="360"/>
        <w:jc w:val="left"/>
        <w:rPr>
          <w:sz w:val="22"/>
          <w:szCs w:val="22"/>
          <w:lang w:val="pl-PL"/>
        </w:rPr>
      </w:pPr>
      <w:r>
        <w:rPr>
          <w:rStyle w:val="10"/>
          <w:rFonts w:ascii="Calibri" w:hAnsi="Calibri" w:eastAsia="Calibri" w:cs="Calibri"/>
          <w:sz w:val="22"/>
          <w:szCs w:val="22"/>
          <w:lang w:val="pl-PL"/>
        </w:rPr>
        <w:fldChar w:fldCharType="begin"/>
      </w:r>
      <w:r>
        <w:rPr>
          <w:rStyle w:val="10"/>
          <w:rFonts w:ascii="Calibri" w:hAnsi="Calibri" w:eastAsia="Calibri" w:cs="Calibri"/>
          <w:sz w:val="22"/>
          <w:szCs w:val="22"/>
          <w:lang w:val="pl-PL"/>
        </w:rPr>
        <w:instrText xml:space="preserve"> HYPERLINK "https://sjp.pl/slownik/odmiany" \h </w:instrText>
      </w:r>
      <w:r>
        <w:rPr>
          <w:rStyle w:val="10"/>
          <w:rFonts w:ascii="Calibri" w:hAnsi="Calibri" w:eastAsia="Calibri" w:cs="Calibri"/>
          <w:sz w:val="22"/>
          <w:szCs w:val="22"/>
          <w:lang w:val="pl-PL"/>
        </w:rPr>
        <w:fldChar w:fldCharType="separate"/>
      </w:r>
      <w:r>
        <w:rPr>
          <w:rStyle w:val="10"/>
          <w:rFonts w:ascii="Calibri" w:hAnsi="Calibri" w:eastAsia="Calibri" w:cs="Calibri"/>
          <w:sz w:val="22"/>
          <w:szCs w:val="22"/>
          <w:lang w:val="pl-PL"/>
        </w:rPr>
        <w:t>https://sjp.pl/slownik/odmiany</w:t>
      </w:r>
      <w:r>
        <w:rPr>
          <w:rStyle w:val="10"/>
          <w:rFonts w:ascii="Calibri" w:hAnsi="Calibri" w:eastAsia="Calibri" w:cs="Calibri"/>
          <w:sz w:val="22"/>
          <w:szCs w:val="22"/>
          <w:lang w:val="pl-PL"/>
        </w:rPr>
        <w:fldChar w:fldCharType="end"/>
      </w:r>
      <w:r>
        <w:rPr>
          <w:rStyle w:val="10"/>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6"/>
            <w:bidi w:val="0"/>
            <w:ind w:left="-115"/>
            <w:jc w:val="left"/>
          </w:pPr>
        </w:p>
      </w:tc>
      <w:tc>
        <w:tcPr>
          <w:tcW w:w="2308" w:type="dxa"/>
        </w:tcPr>
        <w:p>
          <w:pPr>
            <w:pStyle w:val="6"/>
            <w:bidi w:val="0"/>
            <w:jc w:val="center"/>
          </w:pPr>
        </w:p>
      </w:tc>
      <w:tc>
        <w:tcPr>
          <w:tcW w:w="2308" w:type="dxa"/>
        </w:tcPr>
        <w:p>
          <w:pPr>
            <w:pStyle w:val="6"/>
            <w:bidi w:val="0"/>
            <w:ind w:right="-115"/>
            <w:jc w:val="center"/>
          </w:pPr>
        </w:p>
      </w:tc>
      <w:tc>
        <w:tcPr>
          <w:tcW w:w="2301" w:type="dxa"/>
        </w:tcPr>
        <w:p>
          <w:pPr>
            <w:pStyle w:val="6"/>
            <w:bidi w:val="0"/>
            <w:ind w:right="-115"/>
            <w:jc w:val="center"/>
          </w:pPr>
        </w:p>
      </w:tc>
    </w:tr>
  </w:tbl>
  <w:p>
    <w:pPr>
      <w:pStyle w:val="5"/>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6"/>
            <w:bidi w:val="0"/>
            <w:jc w:val="center"/>
          </w:pPr>
        </w:p>
      </w:tc>
      <w:tc>
        <w:tcPr>
          <w:tcW w:w="3009" w:type="dxa"/>
        </w:tcPr>
        <w:p>
          <w:pPr>
            <w:pStyle w:val="6"/>
            <w:bidi w:val="0"/>
            <w:ind w:right="-115"/>
            <w:jc w:val="center"/>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1F98C7"/>
    <w:multiLevelType w:val="multilevel"/>
    <w:tmpl w:val="131F98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2BA75D5"/>
    <w:rsid w:val="0509326A"/>
    <w:rsid w:val="05C034A8"/>
    <w:rsid w:val="07490BF4"/>
    <w:rsid w:val="0ACE18B3"/>
    <w:rsid w:val="0C030517"/>
    <w:rsid w:val="0C305FEF"/>
    <w:rsid w:val="0CBE23B8"/>
    <w:rsid w:val="11AE7656"/>
    <w:rsid w:val="12455BAE"/>
    <w:rsid w:val="13814DBF"/>
    <w:rsid w:val="1D5619B2"/>
    <w:rsid w:val="1E4125C6"/>
    <w:rsid w:val="1EE315D4"/>
    <w:rsid w:val="1F6673AB"/>
    <w:rsid w:val="1FB41C02"/>
    <w:rsid w:val="25C17829"/>
    <w:rsid w:val="27AA568C"/>
    <w:rsid w:val="283D6F78"/>
    <w:rsid w:val="28E01310"/>
    <w:rsid w:val="2A75090E"/>
    <w:rsid w:val="2C6D37F7"/>
    <w:rsid w:val="31514A96"/>
    <w:rsid w:val="32F74A4F"/>
    <w:rsid w:val="3386028B"/>
    <w:rsid w:val="34906FC9"/>
    <w:rsid w:val="3690408C"/>
    <w:rsid w:val="371AE9B4"/>
    <w:rsid w:val="38005340"/>
    <w:rsid w:val="38BC1423"/>
    <w:rsid w:val="3B81B46D"/>
    <w:rsid w:val="3C3C1086"/>
    <w:rsid w:val="3D333C30"/>
    <w:rsid w:val="40687AC3"/>
    <w:rsid w:val="41191E45"/>
    <w:rsid w:val="4195524E"/>
    <w:rsid w:val="43DF4487"/>
    <w:rsid w:val="44A262F7"/>
    <w:rsid w:val="48226099"/>
    <w:rsid w:val="4E37671E"/>
    <w:rsid w:val="4FC76961"/>
    <w:rsid w:val="52C71357"/>
    <w:rsid w:val="52E2517D"/>
    <w:rsid w:val="53057BDB"/>
    <w:rsid w:val="532FD36E"/>
    <w:rsid w:val="549B1966"/>
    <w:rsid w:val="564F23A6"/>
    <w:rsid w:val="58106F46"/>
    <w:rsid w:val="5A6F14EA"/>
    <w:rsid w:val="5B9C242E"/>
    <w:rsid w:val="5C07E635"/>
    <w:rsid w:val="5DBFA29A"/>
    <w:rsid w:val="5FCD7E42"/>
    <w:rsid w:val="603A2D11"/>
    <w:rsid w:val="6122F62A"/>
    <w:rsid w:val="629EBD13"/>
    <w:rsid w:val="640375DD"/>
    <w:rsid w:val="641E38B3"/>
    <w:rsid w:val="66F7C450"/>
    <w:rsid w:val="6AF12E57"/>
    <w:rsid w:val="6D45725C"/>
    <w:rsid w:val="6DD31C0A"/>
    <w:rsid w:val="6FFA396F"/>
    <w:rsid w:val="702B72D2"/>
    <w:rsid w:val="70962736"/>
    <w:rsid w:val="7425687B"/>
    <w:rsid w:val="76BCA82E"/>
    <w:rsid w:val="7D152FCE"/>
    <w:rsid w:val="7D690C3C"/>
    <w:rsid w:val="7DE303F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Title Char"/>
    <w:basedOn w:val="9"/>
    <w:link w:val="8"/>
    <w:qFormat/>
    <w:uiPriority w:val="10"/>
    <w:rPr>
      <w:rFonts w:asciiTheme="majorHAnsi" w:hAnsiTheme="majorHAnsi" w:eastAsiaTheme="majorEastAsia" w:cstheme="majorBidi"/>
      <w:spacing w:val="-10"/>
      <w:kern w:val="28"/>
      <w:sz w:val="56"/>
      <w:szCs w:val="56"/>
    </w:rPr>
  </w:style>
  <w:style w:type="character" w:customStyle="1" w:styleId="14">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paragraph" w:customStyle="1" w:styleId="19">
    <w:name w:val="WPSOffice Tabela ręczna 1"/>
    <w:qFormat/>
    <w:uiPriority w:val="0"/>
    <w:pPr>
      <w:ind w:leftChars="0"/>
    </w:pPr>
    <w:rPr>
      <w:rFonts w:asciiTheme="minorHAnsi" w:hAnsiTheme="minorHAnsi" w:eastAsiaTheme="minorHAnsi" w:cstheme="minorBidi"/>
      <w:sz w:val="20"/>
      <w:szCs w:val="20"/>
    </w:rPr>
  </w:style>
  <w:style w:type="paragraph" w:customStyle="1" w:styleId="20">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03e3d6-b843-43a7-a915-7295ae29bbe8}"/>
        <w:style w:val=""/>
        <w:category>
          <w:name w:val="Ogólne"/>
          <w:gallery w:val="placeholder"/>
        </w:category>
        <w:types>
          <w:type w:val="bbPlcHdr"/>
        </w:types>
        <w:behaviors>
          <w:behavior w:val="content"/>
        </w:behaviors>
        <w:description w:val=""/>
        <w:guid w:val="{8d03e3d6-b843-43a7-a915-7295ae29bbe8}"/>
      </w:docPartPr>
      <w:docPartBody>
        <w:p>
          <w:r>
            <w:rPr>
              <w:color w:val="808080"/>
            </w:rPr>
            <w:t>Kliknij tutaj, aby wprowadzić tekst.</w:t>
          </w:r>
        </w:p>
      </w:docPartBody>
    </w:docPart>
    <w:docPart>
      <w:docPartPr>
        <w:name w:val="{3eac29e5-da81-401d-be65-41c1d1967106}"/>
        <w:style w:val=""/>
        <w:category>
          <w:name w:val="Ogólne"/>
          <w:gallery w:val="placeholder"/>
        </w:category>
        <w:types>
          <w:type w:val="bbPlcHdr"/>
        </w:types>
        <w:behaviors>
          <w:behavior w:val="content"/>
        </w:behaviors>
        <w:description w:val=""/>
        <w:guid w:val="{3eac29e5-da81-401d-be65-41c1d1967106}"/>
      </w:docPartPr>
      <w:docPartBody>
        <w:p>
          <w:r>
            <w:rPr>
              <w:color w:val="808080"/>
            </w:rPr>
            <w:t>Kliknij tutaj, aby wprowadzić tekst.</w:t>
          </w:r>
        </w:p>
      </w:docPartBody>
    </w:docPart>
    <w:docPart>
      <w:docPartPr>
        <w:name w:val="{59e770fa-9727-4045-9266-4df9e07236b4}"/>
        <w:style w:val=""/>
        <w:category>
          <w:name w:val="Ogólne"/>
          <w:gallery w:val="placeholder"/>
        </w:category>
        <w:types>
          <w:type w:val="bbPlcHdr"/>
        </w:types>
        <w:behaviors>
          <w:behavior w:val="content"/>
        </w:behaviors>
        <w:description w:val=""/>
        <w:guid w:val="{59e770fa-9727-4045-9266-4df9e07236b4}"/>
      </w:docPartPr>
      <w:docPartBody>
        <w:p>
          <w:r>
            <w:rPr>
              <w:color w:val="808080"/>
            </w:rPr>
            <w:t>Kliknij tutaj, aby wprowadzić tekst.</w:t>
          </w:r>
        </w:p>
      </w:docPartBody>
    </w:docPart>
    <w:docPart>
      <w:docPartPr>
        <w:name w:val="{91184795-57d7-4a31-aa33-36e0a48fa599}"/>
        <w:style w:val=""/>
        <w:category>
          <w:name w:val="Ogólne"/>
          <w:gallery w:val="placeholder"/>
        </w:category>
        <w:types>
          <w:type w:val="bbPlcHdr"/>
        </w:types>
        <w:behaviors>
          <w:behavior w:val="content"/>
        </w:behaviors>
        <w:description w:val=""/>
        <w:guid w:val="{91184795-57d7-4a31-aa33-36e0a48fa599}"/>
      </w:docPartPr>
      <w:docPartBody>
        <w:p>
          <w:r>
            <w:rPr>
              <w:color w:val="808080"/>
            </w:rPr>
            <w:t>Kliknij tutaj, aby wprowadzić tekst.</w:t>
          </w:r>
        </w:p>
      </w:docPartBody>
    </w:docPart>
    <w:docPart>
      <w:docPartPr>
        <w:name w:val="{52e3ad69-14a3-462d-808d-48af34ede999}"/>
        <w:style w:val=""/>
        <w:category>
          <w:name w:val="Ogólne"/>
          <w:gallery w:val="placeholder"/>
        </w:category>
        <w:types>
          <w:type w:val="bbPlcHdr"/>
        </w:types>
        <w:behaviors>
          <w:behavior w:val="content"/>
        </w:behaviors>
        <w:description w:val=""/>
        <w:guid w:val="{52e3ad69-14a3-462d-808d-48af34ede999}"/>
      </w:docPartPr>
      <w:docPartBody>
        <w:p>
          <w:r>
            <w:rPr>
              <w:color w:val="808080"/>
            </w:rPr>
            <w:t>Kliknij tutaj, aby wprowadzić tekst.</w:t>
          </w:r>
        </w:p>
      </w:docPartBody>
    </w:docPart>
    <w:docPart>
      <w:docPartPr>
        <w:name w:val="{d61ed3ed-fa50-4b12-8b9c-44cd7a40066a}"/>
        <w:style w:val=""/>
        <w:category>
          <w:name w:val="Ogólne"/>
          <w:gallery w:val="placeholder"/>
        </w:category>
        <w:types>
          <w:type w:val="bbPlcHdr"/>
        </w:types>
        <w:behaviors>
          <w:behavior w:val="content"/>
        </w:behaviors>
        <w:description w:val=""/>
        <w:guid w:val="{d61ed3ed-fa50-4b12-8b9c-44cd7a40066a}"/>
      </w:docPartPr>
      <w:docPartBody>
        <w:p>
          <w:r>
            <w:rPr>
              <w:color w:val="808080"/>
            </w:rPr>
            <w:t>Kliknij tutaj, aby wprowadzić tekst.</w:t>
          </w:r>
        </w:p>
      </w:docPartBody>
    </w:docPart>
    <w:docPart>
      <w:docPartPr>
        <w:name w:val="{f75617dc-e658-4230-828a-9daf4310df4d}"/>
        <w:style w:val=""/>
        <w:category>
          <w:name w:val="Ogólne"/>
          <w:gallery w:val="placeholder"/>
        </w:category>
        <w:types>
          <w:type w:val="bbPlcHdr"/>
        </w:types>
        <w:behaviors>
          <w:behavior w:val="content"/>
        </w:behaviors>
        <w:description w:val=""/>
        <w:guid w:val="{f75617dc-e658-4230-828a-9daf4310df4d}"/>
      </w:docPartPr>
      <w:docPartBody>
        <w:p>
          <w:r>
            <w:rPr>
              <w:color w:val="808080"/>
            </w:rPr>
            <w:t>Kliknij tutaj, aby wprowadzić tekst.</w:t>
          </w:r>
        </w:p>
      </w:docPartBody>
    </w:docPart>
    <w:docPart>
      <w:docPartPr>
        <w:name w:val="{0289b0b7-1947-44e5-8f27-7f6cf42523ba}"/>
        <w:style w:val=""/>
        <w:category>
          <w:name w:val="Ogólne"/>
          <w:gallery w:val="placeholder"/>
        </w:category>
        <w:types>
          <w:type w:val="bbPlcHdr"/>
        </w:types>
        <w:behaviors>
          <w:behavior w:val="content"/>
        </w:behaviors>
        <w:description w:val=""/>
        <w:guid w:val="{0289b0b7-1947-44e5-8f27-7f6cf42523ba}"/>
      </w:docPartPr>
      <w:docPartBody>
        <w:p>
          <w:r>
            <w:rPr>
              <w:color w:val="808080"/>
            </w:rPr>
            <w:t>Kliknij tutaj, aby wprowadzić tekst.</w:t>
          </w:r>
        </w:p>
      </w:docPartBody>
    </w:docPart>
    <w:docPart>
      <w:docPartPr>
        <w:name w:val="{d27ce347-c681-4739-980c-ae61da8ecf27}"/>
        <w:style w:val=""/>
        <w:category>
          <w:name w:val="Ogólne"/>
          <w:gallery w:val="placeholder"/>
        </w:category>
        <w:types>
          <w:type w:val="bbPlcHdr"/>
        </w:types>
        <w:behaviors>
          <w:behavior w:val="content"/>
        </w:behaviors>
        <w:description w:val=""/>
        <w:guid w:val="{d27ce347-c681-4739-980c-ae61da8ecf27}"/>
      </w:docPartPr>
      <w:docPartBody>
        <w:p>
          <w:r>
            <w:rPr>
              <w:color w:val="808080"/>
            </w:rPr>
            <w:t>Kliknij tutaj, aby wprowadzić tekst.</w:t>
          </w:r>
        </w:p>
      </w:docPartBody>
    </w:docPart>
    <w:docPart>
      <w:docPartPr>
        <w:name w:val="{0d599a2f-8ca3-4b12-b8c6-499bc9005754}"/>
        <w:style w:val=""/>
        <w:category>
          <w:name w:val="Ogólne"/>
          <w:gallery w:val="placeholder"/>
        </w:category>
        <w:types>
          <w:type w:val="bbPlcHdr"/>
        </w:types>
        <w:behaviors>
          <w:behavior w:val="content"/>
        </w:behaviors>
        <w:description w:val=""/>
        <w:guid w:val="{0d599a2f-8ca3-4b12-b8c6-499bc9005754}"/>
      </w:docPartPr>
      <w:docPartBody>
        <w:p>
          <w:r>
            <w:rPr>
              <w:color w:val="808080"/>
            </w:rPr>
            <w:t>Kliknij tutaj, aby wprowadzić tekst.</w:t>
          </w:r>
        </w:p>
      </w:docPartBody>
    </w:docPart>
    <w:docPart>
      <w:docPartPr>
        <w:name w:val="{cb398bac-4361-4f0b-878e-a2b7538eaeb4}"/>
        <w:style w:val=""/>
        <w:category>
          <w:name w:val="Ogólne"/>
          <w:gallery w:val="placeholder"/>
        </w:category>
        <w:types>
          <w:type w:val="bbPlcHdr"/>
        </w:types>
        <w:behaviors>
          <w:behavior w:val="content"/>
        </w:behaviors>
        <w:description w:val=""/>
        <w:guid w:val="{cb398bac-4361-4f0b-878e-a2b7538eaeb4}"/>
      </w:docPartPr>
      <w:docPartBody>
        <w:p>
          <w:r>
            <w:rPr>
              <w:color w:val="808080"/>
            </w:rPr>
            <w:t>Kliknij tutaj, aby wprowadzić tekst.</w:t>
          </w:r>
        </w:p>
      </w:docPartBody>
    </w:docPart>
    <w:docPart>
      <w:docPartPr>
        <w:name w:val="{aba6c838-0ccb-4b86-9b82-30430e097f5b}"/>
        <w:style w:val=""/>
        <w:category>
          <w:name w:val="Ogólne"/>
          <w:gallery w:val="placeholder"/>
        </w:category>
        <w:types>
          <w:type w:val="bbPlcHdr"/>
        </w:types>
        <w:behaviors>
          <w:behavior w:val="content"/>
        </w:behaviors>
        <w:description w:val=""/>
        <w:guid w:val="{aba6c838-0ccb-4b86-9b82-30430e097f5b}"/>
      </w:docPartPr>
      <w:docPartBody>
        <w:p>
          <w:r>
            <w:rPr>
              <w:color w:val="808080"/>
            </w:rPr>
            <w:t>Kliknij tutaj, aby wprowadzić tekst.</w:t>
          </w:r>
        </w:p>
      </w:docPartBody>
    </w:docPart>
    <w:docPart>
      <w:docPartPr>
        <w:name w:val="{4ac1e1af-c4ba-4d26-839c-277583c7dd84}"/>
        <w:style w:val=""/>
        <w:category>
          <w:name w:val="Ogólne"/>
          <w:gallery w:val="placeholder"/>
        </w:category>
        <w:types>
          <w:type w:val="bbPlcHdr"/>
        </w:types>
        <w:behaviors>
          <w:behavior w:val="content"/>
        </w:behaviors>
        <w:description w:val=""/>
        <w:guid w:val="{4ac1e1af-c4ba-4d26-839c-277583c7dd84}"/>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1363</Words>
  <Characters>8567</Characters>
  <TotalTime>10</TotalTime>
  <ScaleCrop>false</ScaleCrop>
  <LinksUpToDate>false</LinksUpToDate>
  <CharactersWithSpaces>9975</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2019-05-28T20:37:30Z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