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left"/>
      </w:pPr>
      <w:r>
        <w:rPr>
          <w:rFonts w:ascii="Arial" w:cs="Arial" w:eastAsia="Arial" w:hAnsi="Arial"/>
          <w:b/>
          <w:bCs/>
          <w:color w:val="1F2A44"/>
          <w:sz w:val="96"/>
          <w:szCs w:val="96"/>
        </w:rPr>
        <w:t xml:space="preserve">HESTIA</w:t>
      </w:r>
    </w:p>
    <w:p>
      <w:pPr>
        <w:spacing w:after="480" w:before="0"/>
      </w:pPr>
      <w:r>
        <w:rPr>
          <w:rFonts w:ascii="Arial" w:cs="Arial" w:eastAsia="Arial" w:hAnsi="Arial"/>
          <w:color w:val="B58A40"/>
          <w:sz w:val="36"/>
          <w:szCs w:val="36"/>
        </w:rPr>
        <w:t xml:space="preserve">Strategic Audit and Next Build Phase</w:t>
      </w:r>
    </w:p>
    <w:p>
      <w:pPr>
        <w:pBdr>
          <w:bottom w:val="single" w:color="B58A40" w:sz="12" w:space="8"/>
        </w:pBdr>
        <w:spacing w:after="100" w:before="200"/>
      </w:pPr>
    </w:p>
    <w:p>
      <w:pPr>
        <w:spacing w:after="100" w:before="200"/>
      </w:pPr>
      <w:r>
        <w:rPr>
          <w:rFonts w:ascii="Arial" w:cs="Arial" w:eastAsia="Arial" w:hAnsi="Arial"/>
          <w:color w:val="1A1A1A"/>
          <w:sz w:val="22"/>
          <w:szCs w:val="22"/>
        </w:rPr>
        <w:t xml:space="preserve">Audience: Founder + Investor Review</w:t>
      </w:r>
    </w:p>
    <w:p>
      <w:pPr>
        <w:spacing w:after="100" w:before="40"/>
      </w:pPr>
      <w:r>
        <w:rPr>
          <w:rFonts w:ascii="Arial" w:cs="Arial" w:eastAsia="Arial" w:hAnsi="Arial"/>
          <w:color w:val="1A1A1A"/>
          <w:sz w:val="22"/>
          <w:szCs w:val="22"/>
        </w:rPr>
        <w:t xml:space="preserve">Investor Stage Targeted: Pre-Seed / Angel, One Live Venue</w:t>
      </w:r>
    </w:p>
    <w:p>
      <w:pPr>
        <w:spacing w:after="100" w:before="40"/>
      </w:pPr>
      <w:r>
        <w:rPr>
          <w:rFonts w:ascii="Arial" w:cs="Arial" w:eastAsia="Arial" w:hAnsi="Arial"/>
          <w:color w:val="1A1A1A"/>
          <w:sz w:val="22"/>
          <w:szCs w:val="22"/>
        </w:rPr>
        <w:t xml:space="preserve">Prepared by Toam Griffel, with implementation guidance</w:t>
      </w:r>
    </w:p>
    <w:p>
      <w:pPr>
        <w:spacing w:after="100" w:before="40"/>
      </w:pPr>
      <w:r>
        <w:rPr>
          <w:rFonts w:ascii="Arial" w:cs="Arial" w:eastAsia="Arial" w:hAnsi="Arial"/>
          <w:color w:val="1A1A1A"/>
          <w:sz w:val="22"/>
          <w:szCs w:val="22"/>
        </w:rPr>
        <w:t xml:space="preserve">Date: 2026-05-17</w:t>
      </w:r>
    </w:p>
    <w:p>
      <w:pPr>
        <w:spacing w:after="100" w:before="600"/>
      </w:pPr>
      <w:r>
        <w:rPr>
          <w:rFonts w:ascii="Arial" w:cs="Arial" w:eastAsia="Arial" w:hAnsi="Arial"/>
          <w:i/>
          <w:iCs/>
          <w:color w:val="555555"/>
          <w:sz w:val="20"/>
          <w:szCs w:val="20"/>
        </w:rPr>
        <w:t xml:space="preserve">Companion implementation document: HESTIA_AUDIT_AND_NEXT_PHASE.md in /docs/strategy/</w:t>
      </w:r>
    </w:p>
    <w:p>
      <w:r>
        <w:br w:type="page"/>
      </w:r>
    </w:p>
    <w:p>
      <w:pPr>
        <w:pStyle w:val="Heading1"/>
        <w:spacing w:after="160" w:before="360"/>
      </w:pPr>
      <w:r>
        <w:rPr>
          <w:rFonts w:ascii="Arial" w:cs="Arial" w:eastAsia="Arial" w:hAnsi="Arial"/>
          <w:b/>
          <w:bCs/>
          <w:color w:val="1F2A44"/>
          <w:sz w:val="36"/>
          <w:szCs w:val="36"/>
        </w:rPr>
        <w:t xml:space="preserve">1. Executive Summary</w:t>
      </w:r>
    </w:p>
    <w:p>
      <w:pPr>
        <w:spacing w:after="80" w:before="60" w:line="300"/>
        <w:jc w:val="left"/>
      </w:pPr>
      <w:r>
        <w:rPr>
          <w:rFonts w:ascii="Arial" w:cs="Arial" w:eastAsia="Arial" w:hAnsi="Arial"/>
          <w:color w:val="1A1A1A"/>
          <w:sz w:val="22"/>
          <w:szCs w:val="22"/>
        </w:rPr>
        <w:t xml:space="preserve">HESTIA today is two products held together by a clean hook-based architecture. The first is a serious operational intelligence engine — the deterministic Shift Brain service, a costing-honest pricing layer for cocktails, the verified-price audit trail, and a SQLite-backed Express backend with role-aware endpoints. The second is a wide surface of owner-facing pages and seeded sample content that is currently dragging the product toward the dashboard-wrapper trap the founding strategy document explicitly warns against.</w:t>
      </w:r>
    </w:p>
    <w:p>
      <w:pPr>
        <w:spacing w:after="80" w:before="60" w:line="300"/>
        <w:jc w:val="left"/>
      </w:pPr>
      <w:r>
        <w:rPr>
          <w:rFonts w:ascii="Arial" w:cs="Arial" w:eastAsia="Arial" w:hAnsi="Arial"/>
          <w:color w:val="1A1A1A"/>
          <w:sz w:val="22"/>
          <w:szCs w:val="22"/>
        </w:rPr>
        <w:t xml:space="preserve">The strongest parts of HESTIA are not the screens visitors see first. They are the service layer underneath: shiftBrainService.js, the bar pricing adapter, the hospitality ontology specification, and the audit-logged verified-price flow. These foundations are pre-seed-grade. They demonstrate that the founder thinks in operational loops, not in dashboards.</w:t>
      </w:r>
    </w:p>
    <w:p>
      <w:pPr>
        <w:spacing w:after="80" w:before="60" w:line="300"/>
        <w:jc w:val="left"/>
      </w:pPr>
      <w:r>
        <w:rPr>
          <w:rFonts w:ascii="Arial" w:cs="Arial" w:eastAsia="Arial" w:hAnsi="Arial"/>
          <w:color w:val="1A1A1A"/>
          <w:sz w:val="22"/>
          <w:szCs w:val="22"/>
        </w:rPr>
        <w:t xml:space="preserve">The weakest parts are the most visible. Four files under src/data/ still ship fabricated staff names, invented dollar amounts for profit leaks, and a hardcoded expected cover count. The owner area exposes eleven separate pages, far more than a pre-seed venue needs and exactly the dashboard overload the strategy document treats as a failure mode.</w:t>
      </w:r>
    </w:p>
    <w:p>
      <w:pPr>
        <w:pBdr>
          <w:left w:val="single" w:color="B58A40" w:sz="18" w:space="8"/>
        </w:pBdr>
        <w:spacing w:after="120" w:before="120" w:line="300"/>
        <w:ind w:left="200"/>
      </w:pPr>
      <w:r>
        <w:rPr>
          <w:rFonts w:ascii="Arial" w:cs="Arial" w:eastAsia="Arial" w:hAnsi="Arial"/>
          <w:i/>
          <w:iCs/>
          <w:color w:val="1A1A1A"/>
          <w:sz w:val="22"/>
          <w:szCs w:val="22"/>
        </w:rPr>
        <w:t xml:space="preserve">Until the seeded content is removed from runtime and the owner home becomes a single operational page, the product is one click away from a credibility loss on fabricated data — regardless of how strong the architecture underneath is.</w:t>
      </w:r>
    </w:p>
    <w:p>
      <w:pPr>
        <w:spacing w:after="80" w:before="60" w:line="300"/>
        <w:jc w:val="left"/>
      </w:pPr>
      <w:r>
        <w:rPr>
          <w:rFonts w:ascii="Arial" w:cs="Arial" w:eastAsia="Arial" w:hAnsi="Arial"/>
          <w:color w:val="1A1A1A"/>
          <w:sz w:val="22"/>
          <w:szCs w:val="22"/>
        </w:rPr>
        <w:t xml:space="preserve">The next build phase must accomplish three things in order. First: remove or hide the fake-data surfaces and harden authentication so the product is safe to demonstrate on real venue data. Second: cut the owner experience to one page, OperationalPulse, which is already Shift-Brain-driven. Third: close the manager's daily loop through the backend so a closed shift correctly inherits to the next briefing across devices.</w:t>
      </w:r>
    </w:p>
    <w:p>
      <w:pPr>
        <w:spacing w:after="80" w:before="60" w:line="300"/>
        <w:jc w:val="left"/>
      </w:pPr>
      <w:r>
        <w:rPr>
          <w:rFonts w:ascii="Arial" w:cs="Arial" w:eastAsia="Arial" w:hAnsi="Arial"/>
          <w:color w:val="1A1A1A"/>
          <w:sz w:val="22"/>
          <w:szCs w:val="22"/>
        </w:rPr>
        <w:t xml:space="preserve">If those three things land, HESTIA at one live venue becomes a defensible pre-seed product. Predictive ordering, multi-site intelligence, guest memory, and autonomous routing remain on the roadmap, but they are V2 and V3 — not now.</w:t>
      </w:r>
    </w:p>
    <w:p>
      <w:pPr>
        <w:pStyle w:val="Heading1"/>
        <w:spacing w:after="160" w:before="360"/>
      </w:pPr>
      <w:r>
        <w:rPr>
          <w:rFonts w:ascii="Arial" w:cs="Arial" w:eastAsia="Arial" w:hAnsi="Arial"/>
          <w:b/>
          <w:bCs/>
          <w:color w:val="1F2A44"/>
          <w:sz w:val="36"/>
          <w:szCs w:val="36"/>
        </w:rPr>
        <w:t xml:space="preserve">2. Product Positioning</w:t>
      </w:r>
    </w:p>
    <w:p>
      <w:pPr>
        <w:pStyle w:val="Heading2"/>
        <w:spacing w:after="120" w:before="280"/>
      </w:pPr>
      <w:r>
        <w:rPr>
          <w:rFonts w:ascii="Arial" w:cs="Arial" w:eastAsia="Arial" w:hAnsi="Arial"/>
          <w:b/>
          <w:bCs/>
          <w:color w:val="1F2A44"/>
          <w:sz w:val="28"/>
          <w:szCs w:val="28"/>
        </w:rPr>
        <w:t xml:space="preserve">What HESTIA is becoming</w:t>
      </w:r>
    </w:p>
    <w:p>
      <w:pPr>
        <w:spacing w:after="80" w:before="60" w:line="300"/>
        <w:jc w:val="left"/>
      </w:pPr>
      <w:r>
        <w:rPr>
          <w:rFonts w:ascii="Arial" w:cs="Arial" w:eastAsia="Arial" w:hAnsi="Arial"/>
          <w:color w:val="1A1A1A"/>
          <w:sz w:val="22"/>
          <w:szCs w:val="22"/>
        </w:rPr>
        <w:t xml:space="preserve">Grounded in the code, HESTIA is a role-aware, mobile-first operational loop for a single bar-led venue, with a deterministic intelligence service that converts the venue's daily exceptions — open actions, unresolved incidents, scheduled events, owner notes — into a pre-shift briefing, a manager checklist, and an operational status banner.</w:t>
      </w:r>
    </w:p>
    <w:p>
      <w:pPr>
        <w:spacing w:after="80" w:before="60" w:line="300"/>
        <w:jc w:val="left"/>
      </w:pPr>
      <w:r>
        <w:rPr>
          <w:rFonts w:ascii="Arial" w:cs="Arial" w:eastAsia="Arial" w:hAnsi="Arial"/>
          <w:color w:val="1A1A1A"/>
          <w:sz w:val="22"/>
          <w:szCs w:val="22"/>
        </w:rPr>
        <w:t xml:space="preserve">Shift Brain is the first surface that genuinely departs from dashboard thinking. It does not summarize what happened. It tells the operator what to do next, with sources and confidence. That is the philosophical break from BI software the strategy document calls for.</w:t>
      </w:r>
    </w:p>
    <w:p>
      <w:pPr>
        <w:spacing w:after="80" w:before="60" w:line="300"/>
        <w:jc w:val="left"/>
      </w:pPr>
      <w:r>
        <w:rPr>
          <w:rFonts w:ascii="Arial" w:cs="Arial" w:eastAsia="Arial" w:hAnsi="Arial"/>
          <w:color w:val="1A1A1A"/>
          <w:sz w:val="22"/>
          <w:szCs w:val="22"/>
        </w:rPr>
        <w:t xml:space="preserve">Around Shift Brain, the codebase has begun to build the rest of the vision: a costing-honest Cocktail Lab with confidence indicators and traffic-light gating; a bar product foundation defining schemas, supplier candidate references, and a database migration map; the hospitality ontology layer specifying entities, decisions, memory candidates, event types, and operational loops; and a real SQLite backend with tables for venues, users, shift_reports, business_memory, actions, incidents, notes, event_plans, and a verified-price audit log.</w:t>
      </w:r>
    </w:p>
    <w:p>
      <w:pPr>
        <w:pStyle w:val="Heading2"/>
        <w:spacing w:after="120" w:before="280"/>
      </w:pPr>
      <w:r>
        <w:rPr>
          <w:rFonts w:ascii="Arial" w:cs="Arial" w:eastAsia="Arial" w:hAnsi="Arial"/>
          <w:b/>
          <w:bCs/>
          <w:color w:val="1F2A44"/>
          <w:sz w:val="28"/>
          <w:szCs w:val="28"/>
        </w:rPr>
        <w:t xml:space="preserve">Positioning statement</w:t>
      </w:r>
    </w:p>
    <w:p>
      <w:pPr>
        <w:pBdr>
          <w:left w:val="single" w:color="B58A40" w:sz="18" w:space="8"/>
        </w:pBdr>
        <w:spacing w:after="120" w:before="120" w:line="300"/>
        <w:ind w:left="200"/>
      </w:pPr>
      <w:r>
        <w:rPr>
          <w:rFonts w:ascii="Arial" w:cs="Arial" w:eastAsia="Arial" w:hAnsi="Arial"/>
          <w:i/>
          <w:iCs/>
          <w:color w:val="1A1A1A"/>
          <w:sz w:val="22"/>
          <w:szCs w:val="22"/>
        </w:rPr>
        <w:t xml:space="preserve">HESTIA is not a POS, not a CRM, not a BI dashboard, not a chatbot. HESTIA is the operational control plane for a hospitality manager: the place the next shift is briefed from, exceptions are captured in one tap, and unresolved items are forced to inherit forward.</w:t>
      </w:r>
    </w:p>
    <w:p>
      <w:pPr>
        <w:spacing w:after="80" w:before="60" w:line="300"/>
        <w:jc w:val="left"/>
      </w:pPr>
      <w:r>
        <w:rPr>
          <w:rFonts w:ascii="Arial" w:cs="Arial" w:eastAsia="Arial" w:hAnsi="Arial"/>
          <w:color w:val="1A1A1A"/>
          <w:sz w:val="22"/>
          <w:szCs w:val="22"/>
        </w:rPr>
        <w:t xml:space="preserve">The wedge from the strategy foundation — independent cocktail bars and bar-program restaurants of 1 to 10 locations — is correct and matches the founder's own operating context as a high-level bartender and consultant. That alignment between founder and user is the single most defensible thing about the early HESTIA story.</w:t>
      </w:r>
    </w:p>
    <w:p>
      <w:pPr>
        <w:pStyle w:val="Heading2"/>
        <w:spacing w:after="120" w:before="280"/>
      </w:pPr>
      <w:r>
        <w:rPr>
          <w:rFonts w:ascii="Arial" w:cs="Arial" w:eastAsia="Arial" w:hAnsi="Arial"/>
          <w:b/>
          <w:bCs/>
          <w:color w:val="1F2A44"/>
          <w:sz w:val="28"/>
          <w:szCs w:val="28"/>
        </w:rPr>
        <w:t xml:space="preserve">Where positioning is leaking</w:t>
      </w:r>
    </w:p>
    <w:p>
      <w:pPr>
        <w:pStyle w:val="ListParagraph"/>
        <w:numPr>
          <w:ilvl w:val="0"/>
          <w:numId w:val="2"/>
        </w:numPr>
        <w:spacing w:after="40" w:before="40" w:line="280"/>
      </w:pPr>
      <w:r>
        <w:rPr>
          <w:rFonts w:ascii="Arial" w:cs="Arial" w:eastAsia="Arial" w:hAnsi="Arial"/>
          <w:color w:val="1A1A1A"/>
          <w:sz w:val="22"/>
          <w:szCs w:val="22"/>
        </w:rPr>
        <w:t xml:space="preserve">The owner area with eleven pages currently signals BI dashboard, against the strategy document's explicit guidance.</w:t>
      </w:r>
    </w:p>
    <w:p>
      <w:pPr>
        <w:pStyle w:val="ListParagraph"/>
        <w:numPr>
          <w:ilvl w:val="0"/>
          <w:numId w:val="2"/>
        </w:numPr>
        <w:spacing w:after="40" w:before="40" w:line="280"/>
      </w:pPr>
      <w:r>
        <w:rPr>
          <w:rFonts w:ascii="Arial" w:cs="Arial" w:eastAsia="Arial" w:hAnsi="Arial"/>
          <w:color w:val="1A1A1A"/>
          <w:sz w:val="22"/>
          <w:szCs w:val="22"/>
        </w:rPr>
        <w:t xml:space="preserve">BusinessMRI, ExecutiveOverview, StrategicRecommendations and ProfitLeaks are positioned as analytics surfaces without a real data stream behind them — they read as vanity.</w:t>
      </w:r>
    </w:p>
    <w:p>
      <w:pPr>
        <w:pStyle w:val="ListParagraph"/>
        <w:numPr>
          <w:ilvl w:val="0"/>
          <w:numId w:val="2"/>
        </w:numPr>
        <w:spacing w:after="40" w:before="40" w:line="280"/>
      </w:pPr>
      <w:r>
        <w:rPr>
          <w:rFonts w:ascii="Arial" w:cs="Arial" w:eastAsia="Arial" w:hAnsi="Arial"/>
          <w:color w:val="1A1A1A"/>
          <w:sz w:val="22"/>
          <w:szCs w:val="22"/>
        </w:rPr>
        <w:t xml:space="preserve">The Cocktail Lab is excellent on its own terms, but in a manager-first product it should sit one level down from Shift Brain, not at the same hierarchical level.</w:t>
      </w:r>
    </w:p>
    <w:p>
      <w:pPr>
        <w:spacing w:after="80" w:before="60" w:line="300"/>
        <w:jc w:val="left"/>
      </w:pPr>
      <w:r>
        <w:rPr>
          <w:rFonts w:ascii="Arial" w:cs="Arial" w:eastAsia="Arial" w:hAnsi="Arial"/>
          <w:i/>
          <w:iCs/>
          <w:color w:val="1A1A1A"/>
          <w:sz w:val="22"/>
          <w:szCs w:val="22"/>
        </w:rPr>
        <w:t xml:space="preserve">The fix is a positioning decision, not a code rewrite. Shift Brain is the home. The bar program is a tool. The owner gets a single status page, not a dashboard.</w:t>
      </w:r>
    </w:p>
    <w:p>
      <w:r>
        <w:br w:type="page"/>
      </w:r>
    </w:p>
    <w:p>
      <w:pPr>
        <w:pStyle w:val="Heading1"/>
        <w:spacing w:after="160" w:before="360"/>
      </w:pPr>
      <w:r>
        <w:rPr>
          <w:rFonts w:ascii="Arial" w:cs="Arial" w:eastAsia="Arial" w:hAnsi="Arial"/>
          <w:b/>
          <w:bCs/>
          <w:color w:val="1F2A44"/>
          <w:sz w:val="36"/>
          <w:szCs w:val="36"/>
        </w:rPr>
        <w:t xml:space="preserve">3. MVP Scope — Pre-Seed, One Live Venue</w:t>
      </w:r>
    </w:p>
    <w:p>
      <w:pPr>
        <w:spacing w:after="80" w:before="60" w:line="300"/>
        <w:jc w:val="left"/>
      </w:pPr>
      <w:r>
        <w:rPr>
          <w:rFonts w:ascii="Arial" w:cs="Arial" w:eastAsia="Arial" w:hAnsi="Arial"/>
          <w:color w:val="1A1A1A"/>
          <w:sz w:val="22"/>
          <w:szCs w:val="22"/>
        </w:rPr>
        <w:t xml:space="preserve">The MVP is defined by what the manager and owner of one venue do in a single day, end to end. Anything outside that loop is V2.</w:t>
      </w:r>
    </w:p>
    <w:p>
      <w:pPr>
        <w:pStyle w:val="Heading2"/>
        <w:spacing w:after="120" w:before="280"/>
      </w:pPr>
      <w:r>
        <w:rPr>
          <w:rFonts w:ascii="Arial" w:cs="Arial" w:eastAsia="Arial" w:hAnsi="Arial"/>
          <w:b/>
          <w:bCs/>
          <w:color w:val="1F2A44"/>
          <w:sz w:val="28"/>
          <w:szCs w:val="28"/>
        </w:rPr>
        <w:t xml:space="preserve">3.1 The daily loop the MVP must close</w:t>
      </w:r>
    </w:p>
    <w:p>
      <w:pPr>
        <w:pStyle w:val="ListParagraph"/>
        <w:numPr>
          <w:ilvl w:val="0"/>
          <w:numId w:val="3"/>
        </w:numPr>
        <w:spacing w:after="40" w:before="40" w:line="280"/>
      </w:pPr>
      <w:r>
        <w:rPr>
          <w:rFonts w:ascii="Arial" w:cs="Arial" w:eastAsia="Arial" w:hAnsi="Arial"/>
          <w:color w:val="1A1A1A"/>
          <w:sz w:val="22"/>
          <w:szCs w:val="22"/>
        </w:rPr>
        <w:t xml:space="preserve">Pre-shift: manager opens HESTIA on phone, sees the Shift Brain pre-shift briefing, acknowledges briefable items, taps Start Shift.</w:t>
      </w:r>
    </w:p>
    <w:p>
      <w:pPr>
        <w:pStyle w:val="ListParagraph"/>
        <w:numPr>
          <w:ilvl w:val="0"/>
          <w:numId w:val="3"/>
        </w:numPr>
        <w:spacing w:after="40" w:before="40" w:line="280"/>
      </w:pPr>
      <w:r>
        <w:rPr>
          <w:rFonts w:ascii="Arial" w:cs="Arial" w:eastAsia="Arial" w:hAnsi="Arial"/>
          <w:color w:val="1A1A1A"/>
          <w:sz w:val="22"/>
          <w:szCs w:val="22"/>
        </w:rPr>
        <w:t xml:space="preserve">Live: staff and manager log incidents in one tap; manager adjusts open actions; optional shift notes are captured.</w:t>
      </w:r>
    </w:p>
    <w:p>
      <w:pPr>
        <w:pStyle w:val="ListParagraph"/>
        <w:numPr>
          <w:ilvl w:val="0"/>
          <w:numId w:val="3"/>
        </w:numPr>
        <w:spacing w:after="40" w:before="40" w:line="280"/>
      </w:pPr>
      <w:r>
        <w:rPr>
          <w:rFonts w:ascii="Arial" w:cs="Arial" w:eastAsia="Arial" w:hAnsi="Arial"/>
          <w:color w:val="1A1A1A"/>
          <w:sz w:val="22"/>
          <w:szCs w:val="22"/>
        </w:rPr>
        <w:t xml:space="preserve">Close: manager opens End-of-Shift Review, confirms the deterministic summary, marks open items as carry-forward, archives the report.</w:t>
      </w:r>
    </w:p>
    <w:p>
      <w:pPr>
        <w:pStyle w:val="ListParagraph"/>
        <w:numPr>
          <w:ilvl w:val="0"/>
          <w:numId w:val="3"/>
        </w:numPr>
        <w:spacing w:after="40" w:before="40" w:line="280"/>
      </w:pPr>
      <w:r>
        <w:rPr>
          <w:rFonts w:ascii="Arial" w:cs="Arial" w:eastAsia="Arial" w:hAnsi="Arial"/>
          <w:color w:val="1A1A1A"/>
          <w:sz w:val="22"/>
          <w:szCs w:val="22"/>
        </w:rPr>
        <w:t xml:space="preserve">Carry-forward: the next pre-shift briefing inherits the unresolved items, with priority preserved. The cycle continues.</w:t>
      </w:r>
    </w:p>
    <w:p>
      <w:pPr>
        <w:spacing w:after="80" w:before="60" w:line="300"/>
        <w:jc w:val="left"/>
      </w:pPr>
      <w:r>
        <w:rPr>
          <w:rFonts w:ascii="Arial" w:cs="Arial" w:eastAsia="Arial" w:hAnsi="Arial"/>
          <w:color w:val="1A1A1A"/>
          <w:sz w:val="22"/>
          <w:szCs w:val="22"/>
        </w:rPr>
        <w:t xml:space="preserve">Every surface in this loop already exists in the codebase except a proper End-of-Shift Review that consumes the deterministic Shift Brain snapshot and writes back to business memory and the shift reports table. That is the single highest-leverage build in the next phase.</w:t>
      </w:r>
    </w:p>
    <w:p>
      <w:pPr>
        <w:pStyle w:val="Heading2"/>
        <w:spacing w:after="120" w:before="280"/>
      </w:pPr>
      <w:r>
        <w:rPr>
          <w:rFonts w:ascii="Arial" w:cs="Arial" w:eastAsia="Arial" w:hAnsi="Arial"/>
          <w:b/>
          <w:bCs/>
          <w:color w:val="1F2A44"/>
          <w:sz w:val="28"/>
          <w:szCs w:val="28"/>
        </w:rPr>
        <w:t xml:space="preserve">3.2 What must ship in the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2960"/>
      </w:tblGrid>
      <w:tr>
        <w:trPr>
          <w:tblHeader/>
        </w:trPr>
        <w:tc>
          <w:tcPr>
            <w:tcW w:type="dxa" w:w="2200"/>
            <w:tcBorders>
              <w:top w:val="single" w:color="CCCCCC" w:sz="4"/>
              <w:left w:val="single" w:color="CCCCCC" w:sz="4"/>
              <w:bottom w:val="single" w:color="CCCCCC" w:sz="4"/>
              <w:right w:val="single" w:color="CCCCCC" w:sz="4"/>
            </w:tcBorders>
            <w:shd w:fill="1F2A44" w:val="clear"/>
            <w:tcMar>
              <w:top w:type="dxa" w:w="100"/>
              <w:left w:type="dxa" w:w="140"/>
              <w:bottom w:type="dxa" w:w="100"/>
              <w:right w:type="dxa" w:w="140"/>
            </w:tcMar>
          </w:tcPr>
          <w:p>
            <w:pPr>
              <w:spacing w:after="0" w:before="0" w:line="260"/>
              <w:jc w:val="left"/>
            </w:pPr>
            <w:r>
              <w:rPr>
                <w:rFonts w:ascii="Arial" w:cs="Arial" w:eastAsia="Arial" w:hAnsi="Arial"/>
                <w:b/>
                <w:bCs/>
                <w:color w:val="FFFFFF"/>
                <w:sz w:val="20"/>
                <w:szCs w:val="20"/>
              </w:rPr>
              <w:t xml:space="preserve">Area</w:t>
            </w:r>
          </w:p>
        </w:tc>
        <w:tc>
          <w:tcPr>
            <w:tcW w:type="dxa" w:w="4200"/>
            <w:tcBorders>
              <w:top w:val="single" w:color="CCCCCC" w:sz="4"/>
              <w:left w:val="single" w:color="CCCCCC" w:sz="4"/>
              <w:bottom w:val="single" w:color="CCCCCC" w:sz="4"/>
              <w:right w:val="single" w:color="CCCCCC" w:sz="4"/>
            </w:tcBorders>
            <w:shd w:fill="1F2A44" w:val="clear"/>
            <w:tcMar>
              <w:top w:type="dxa" w:w="100"/>
              <w:left w:type="dxa" w:w="140"/>
              <w:bottom w:type="dxa" w:w="100"/>
              <w:right w:type="dxa" w:w="140"/>
            </w:tcMar>
          </w:tcPr>
          <w:p>
            <w:pPr>
              <w:spacing w:after="0" w:before="0" w:line="260"/>
              <w:jc w:val="left"/>
            </w:pPr>
            <w:r>
              <w:rPr>
                <w:rFonts w:ascii="Arial" w:cs="Arial" w:eastAsia="Arial" w:hAnsi="Arial"/>
                <w:b/>
                <w:bCs/>
                <w:color w:val="FFFFFF"/>
                <w:sz w:val="20"/>
                <w:szCs w:val="20"/>
              </w:rPr>
              <w:t xml:space="preserve">Surface</w:t>
            </w:r>
          </w:p>
        </w:tc>
        <w:tc>
          <w:tcPr>
            <w:tcW w:type="dxa" w:w="2960"/>
            <w:tcBorders>
              <w:top w:val="single" w:color="CCCCCC" w:sz="4"/>
              <w:left w:val="single" w:color="CCCCCC" w:sz="4"/>
              <w:bottom w:val="single" w:color="CCCCCC" w:sz="4"/>
              <w:right w:val="single" w:color="CCCCCC" w:sz="4"/>
            </w:tcBorders>
            <w:shd w:fill="1F2A44" w:val="clear"/>
            <w:tcMar>
              <w:top w:type="dxa" w:w="100"/>
              <w:left w:type="dxa" w:w="140"/>
              <w:bottom w:type="dxa" w:w="100"/>
              <w:right w:type="dxa" w:w="140"/>
            </w:tcMar>
          </w:tcPr>
          <w:p>
            <w:pPr>
              <w:spacing w:after="0" w:before="0" w:line="260"/>
              <w:jc w:val="left"/>
            </w:pPr>
            <w:r>
              <w:rPr>
                <w:rFonts w:ascii="Arial" w:cs="Arial" w:eastAsia="Arial" w:hAnsi="Arial"/>
                <w:b/>
                <w:bCs/>
                <w:color w:val="FFFFFF"/>
                <w:sz w:val="20"/>
                <w:szCs w:val="20"/>
              </w:rPr>
              <w:t xml:space="preserve">Status</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Authentication</w:t>
            </w:r>
          </w:p>
        </w:tc>
        <w:tc>
          <w:tcPr>
            <w:tcW w:type="dxa" w:w="4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Real login backed by users table</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Needs hardening — replace demo access codes</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Pre-shift briefing</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PreShiftBriefing.jsx + shiftBrainService.js</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Ready; minor wiring remains</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Live incident capture</w:t>
            </w:r>
          </w:p>
        </w:tc>
        <w:tc>
          <w:tcPr>
            <w:tcW w:type="dxa" w:w="4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ServiceRecovery + ManagerActionCenter</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Needs one-tap mobile flow</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Action board</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ActionBoard.jsx</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Route writes through API, not localStorage</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Operational notes</w:t>
            </w:r>
          </w:p>
        </w:tc>
        <w:tc>
          <w:tcPr>
            <w:tcW w:type="dxa" w:w="4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OperationalNotes.jsx</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Route writes through API</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End-of-Shift Review</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EndOfShiftReview.jsx</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Significant build — see Phase 2</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Owner home</w:t>
            </w:r>
          </w:p>
        </w:tc>
        <w:tc>
          <w:tcPr>
            <w:tcW w:type="dxa" w:w="4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OperationalPulse.jsx</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Promote to default owner landing</w:t>
            </w:r>
          </w:p>
        </w:tc>
      </w:tr>
      <w:tr>
        <w:tc>
          <w:tcPr>
            <w:tcW w:type="dxa" w:w="2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Cocktail Lab</w:t>
            </w:r>
          </w:p>
        </w:tc>
        <w:tc>
          <w:tcPr>
            <w:tcW w:type="dxa" w:w="42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CocktailLabStudio + pricing adapter</w:t>
            </w:r>
          </w:p>
        </w:tc>
        <w:tc>
          <w:tcPr>
            <w:tcW w:type="dxa" w:w="29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Already production-quality</w:t>
            </w:r>
          </w:p>
        </w:tc>
      </w:tr>
      <w:tr>
        <w:tc>
          <w:tcPr>
            <w:tcW w:type="dxa" w:w="2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Verified Price Overrides</w:t>
            </w:r>
          </w:p>
        </w:tc>
        <w:tc>
          <w:tcPr>
            <w:tcW w:type="dxa" w:w="42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VerifiedPriceEntryPanel + audit log</w:t>
            </w:r>
          </w:p>
        </w:tc>
        <w:tc>
          <w:tcPr>
            <w:tcW w:type="dxa" w:w="29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Keep — architecturally exemplary</w:t>
            </w:r>
          </w:p>
        </w:tc>
      </w:tr>
    </w:tbl>
    <w:p>
      <w:pPr>
        <w:pStyle w:val="Heading2"/>
        <w:spacing w:after="120" w:before="280"/>
      </w:pPr>
      <w:r>
        <w:rPr>
          <w:rFonts w:ascii="Arial" w:cs="Arial" w:eastAsia="Arial" w:hAnsi="Arial"/>
          <w:b/>
          <w:bCs/>
          <w:color w:val="1F2A44"/>
          <w:sz w:val="28"/>
          <w:szCs w:val="28"/>
        </w:rPr>
        <w:t xml:space="preserve">3.3 What must be removed or hidden before MVP</w:t>
      </w:r>
    </w:p>
    <w:p>
      <w:pPr>
        <w:spacing w:after="80" w:before="60" w:line="300"/>
        <w:jc w:val="left"/>
      </w:pPr>
      <w:r>
        <w:rPr>
          <w:rFonts w:ascii="Arial" w:cs="Arial" w:eastAsia="Arial" w:hAnsi="Arial"/>
          <w:color w:val="1A1A1A"/>
          <w:sz w:val="22"/>
          <w:szCs w:val="22"/>
        </w:rPr>
        <w:t xml:space="preserve">These surfaces are either fake-data risks or premature owner BI. They should be hidden behind a feature flag or made empty-state-only before showing the product on a real venue's data. The components should remain in the repository — well-written code aligned with V2 vision — but unreachable through navigation in the MVP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4"/>
              <w:left w:val="single" w:color="CCCCCC" w:sz="4"/>
              <w:bottom w:val="single" w:color="CCCCCC" w:sz="4"/>
              <w:right w:val="single" w:color="CCCCCC" w:sz="4"/>
            </w:tcBorders>
            <w:shd w:fill="1F2A44" w:val="clear"/>
            <w:tcMar>
              <w:top w:type="dxa" w:w="100"/>
              <w:left w:type="dxa" w:w="140"/>
              <w:bottom w:type="dxa" w:w="100"/>
              <w:right w:type="dxa" w:w="140"/>
            </w:tcMar>
          </w:tcPr>
          <w:p>
            <w:pPr>
              <w:spacing w:after="0" w:before="0" w:line="260"/>
              <w:jc w:val="left"/>
            </w:pPr>
            <w:r>
              <w:rPr>
                <w:rFonts w:ascii="Arial" w:cs="Arial" w:eastAsia="Arial" w:hAnsi="Arial"/>
                <w:b/>
                <w:bCs/>
                <w:color w:val="FFFFFF"/>
                <w:sz w:val="20"/>
                <w:szCs w:val="20"/>
              </w:rPr>
              <w:t xml:space="preserve">Surface</w:t>
            </w:r>
          </w:p>
        </w:tc>
        <w:tc>
          <w:tcPr>
            <w:tcW w:type="dxa" w:w="5860"/>
            <w:tcBorders>
              <w:top w:val="single" w:color="CCCCCC" w:sz="4"/>
              <w:left w:val="single" w:color="CCCCCC" w:sz="4"/>
              <w:bottom w:val="single" w:color="CCCCCC" w:sz="4"/>
              <w:right w:val="single" w:color="CCCCCC" w:sz="4"/>
            </w:tcBorders>
            <w:shd w:fill="1F2A44" w:val="clear"/>
            <w:tcMar>
              <w:top w:type="dxa" w:w="100"/>
              <w:left w:type="dxa" w:w="140"/>
              <w:bottom w:type="dxa" w:w="100"/>
              <w:right w:type="dxa" w:w="140"/>
            </w:tcMar>
          </w:tcPr>
          <w:p>
            <w:pPr>
              <w:spacing w:after="0" w:before="0" w:line="260"/>
              <w:jc w:val="left"/>
            </w:pPr>
            <w:r>
              <w:rPr>
                <w:rFonts w:ascii="Arial" w:cs="Arial" w:eastAsia="Arial" w:hAnsi="Arial"/>
                <w:b/>
                <w:bCs/>
                <w:color w:val="FFFFFF"/>
                <w:sz w:val="20"/>
                <w:szCs w:val="20"/>
              </w:rPr>
              <w:t xml:space="preserve">Why it must be hidden for MVP</w:t>
            </w:r>
          </w:p>
        </w:tc>
      </w:tr>
      <w:t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Hardcoded staff list (src/data/staff.js)</w:t>
            </w:r>
          </w:p>
        </w:tc>
        <w:tc>
          <w:tcPr>
            <w:tcW w:type="dxa" w:w="5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Contains four fabricated employees with invented progress scores</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Profit leaks with invented dollars (src/data/businessMemory.js)</w:t>
            </w:r>
          </w:p>
        </w:tc>
        <w:tc>
          <w:tcPr>
            <w:tcW w:type="dxa" w:w="5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Six categories with specific monthly figures no real venue supplied</w:t>
            </w:r>
          </w:p>
        </w:tc>
      </w:tr>
      <w:t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INITIAL_SHIFT_PROFILE (src/data/operations.js)</w:t>
            </w:r>
          </w:p>
        </w:tc>
        <w:tc>
          <w:tcPr>
            <w:tcW w:type="dxa" w:w="5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Hardcoded 184 expected covers, 4 VIP reservations</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BusinessMRI page</w:t>
            </w:r>
          </w:p>
        </w:tc>
        <w:tc>
          <w:tcPr>
            <w:tcW w:type="dxa" w:w="5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Vanity dashboard, no real data feed</w:t>
            </w:r>
          </w:p>
        </w:tc>
      </w:tr>
      <w:t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ExecutiveOverview page</w:t>
            </w:r>
          </w:p>
        </w:tc>
        <w:tc>
          <w:tcPr>
            <w:tcW w:type="dxa" w:w="5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Vanity dashboard, no real data feed</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StrategicRecommendations page</w:t>
            </w:r>
          </w:p>
        </w:tc>
        <w:tc>
          <w:tcPr>
            <w:tcW w:type="dxa" w:w="5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Premature unless backed by shiftBrain output</w:t>
            </w:r>
          </w:p>
        </w:tc>
      </w:tr>
      <w:tr>
        <w:tc>
          <w:tcPr>
            <w:tcW w:type="dxa" w:w="35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ProfitLeaks page</w:t>
            </w:r>
          </w:p>
        </w:tc>
        <w:tc>
          <w:tcPr>
            <w:tcW w:type="dxa" w:w="58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Renders the fabricated array above</w:t>
            </w:r>
          </w:p>
        </w:tc>
      </w:tr>
      <w:tr>
        <w:tc>
          <w:tcPr>
            <w:tcW w:type="dxa" w:w="35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WeeklySummary page</w:t>
            </w:r>
          </w:p>
        </w:tc>
        <w:tc>
          <w:tcPr>
            <w:tcW w:type="dxa" w:w="58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Fold the one useful column into OperationalPulse for MVP</w:t>
            </w:r>
          </w:p>
        </w:tc>
      </w:tr>
    </w:tbl>
    <w:p>
      <w:pPr>
        <w:pStyle w:val="Heading2"/>
        <w:spacing w:after="120" w:before="280"/>
      </w:pPr>
      <w:r>
        <w:rPr>
          <w:rFonts w:ascii="Arial" w:cs="Arial" w:eastAsia="Arial" w:hAnsi="Arial"/>
          <w:b/>
          <w:bCs/>
          <w:color w:val="1F2A44"/>
          <w:sz w:val="28"/>
          <w:szCs w:val="28"/>
        </w:rPr>
        <w:t xml:space="preserve">3.4 Acceptance criteria for MVP-ready</w:t>
      </w:r>
    </w:p>
    <w:p>
      <w:pPr>
        <w:spacing w:after="80" w:before="60" w:line="300"/>
        <w:jc w:val="left"/>
      </w:pPr>
      <w:r>
        <w:rPr>
          <w:rFonts w:ascii="Arial" w:cs="Arial" w:eastAsia="Arial" w:hAnsi="Arial"/>
          <w:color w:val="1A1A1A"/>
          <w:sz w:val="22"/>
          <w:szCs w:val="22"/>
        </w:rPr>
        <w:t xml:space="preserve">The MVP is shippable to one live venue when, with zero seeded data, a manager can:</w:t>
      </w:r>
    </w:p>
    <w:p>
      <w:pPr>
        <w:pStyle w:val="ListParagraph"/>
        <w:numPr>
          <w:ilvl w:val="0"/>
          <w:numId w:val="2"/>
        </w:numPr>
        <w:spacing w:after="40" w:before="40" w:line="280"/>
      </w:pPr>
      <w:r>
        <w:rPr>
          <w:rFonts w:ascii="Arial" w:cs="Arial" w:eastAsia="Arial" w:hAnsi="Arial"/>
          <w:color w:val="1A1A1A"/>
          <w:sz w:val="22"/>
          <w:szCs w:val="22"/>
        </w:rPr>
        <w:t xml:space="preserve">Log in with a venue-issued credential — not a demo access code.</w:t>
      </w:r>
    </w:p>
    <w:p>
      <w:pPr>
        <w:pStyle w:val="ListParagraph"/>
        <w:numPr>
          <w:ilvl w:val="0"/>
          <w:numId w:val="2"/>
        </w:numPr>
        <w:spacing w:after="40" w:before="40" w:line="280"/>
      </w:pPr>
      <w:r>
        <w:rPr>
          <w:rFonts w:ascii="Arial" w:cs="Arial" w:eastAsia="Arial" w:hAnsi="Arial"/>
          <w:color w:val="1A1A1A"/>
          <w:sz w:val="22"/>
          <w:szCs w:val="22"/>
        </w:rPr>
        <w:t xml:space="preserve">See an empty-state Shift Brain that still produces a usable briefing.</w:t>
      </w:r>
    </w:p>
    <w:p>
      <w:pPr>
        <w:pStyle w:val="ListParagraph"/>
        <w:numPr>
          <w:ilvl w:val="0"/>
          <w:numId w:val="2"/>
        </w:numPr>
        <w:spacing w:after="40" w:before="40" w:line="280"/>
      </w:pPr>
      <w:r>
        <w:rPr>
          <w:rFonts w:ascii="Arial" w:cs="Arial" w:eastAsia="Arial" w:hAnsi="Arial"/>
          <w:color w:val="1A1A1A"/>
          <w:sz w:val="22"/>
          <w:szCs w:val="22"/>
        </w:rPr>
        <w:t xml:space="preserve">Capture an incident in one tap, see it in tomorrow's briefing, and have it persist across browser reload.</w:t>
      </w:r>
    </w:p>
    <w:p>
      <w:pPr>
        <w:pStyle w:val="ListParagraph"/>
        <w:numPr>
          <w:ilvl w:val="0"/>
          <w:numId w:val="2"/>
        </w:numPr>
        <w:spacing w:after="40" w:before="40" w:line="280"/>
      </w:pPr>
      <w:r>
        <w:rPr>
          <w:rFonts w:ascii="Arial" w:cs="Arial" w:eastAsia="Arial" w:hAnsi="Arial"/>
          <w:color w:val="1A1A1A"/>
          <w:sz w:val="22"/>
          <w:szCs w:val="22"/>
        </w:rPr>
        <w:t xml:space="preserve">Close a shift, generate a summary, mark items as carry-forward, and see them in tomorrow's briefing via the backend, not localStorage.</w:t>
      </w:r>
    </w:p>
    <w:p>
      <w:pPr>
        <w:pStyle w:val="ListParagraph"/>
        <w:numPr>
          <w:ilvl w:val="0"/>
          <w:numId w:val="2"/>
        </w:numPr>
        <w:spacing w:after="40" w:before="40" w:line="280"/>
      </w:pPr>
      <w:r>
        <w:rPr>
          <w:rFonts w:ascii="Arial" w:cs="Arial" w:eastAsia="Arial" w:hAnsi="Arial"/>
          <w:color w:val="1A1A1A"/>
          <w:sz w:val="22"/>
          <w:szCs w:val="22"/>
        </w:rPr>
        <w:t xml:space="preserve">As the owner, open OperationalPulse and see the same operational status the manager sees, with the same risk signals and recommended focus.</w:t>
      </w:r>
    </w:p>
    <w:p>
      <w:r>
        <w:br w:type="page"/>
      </w:r>
    </w:p>
    <w:p>
      <w:pPr>
        <w:pStyle w:val="Heading1"/>
        <w:spacing w:after="160" w:before="360"/>
      </w:pPr>
      <w:r>
        <w:rPr>
          <w:rFonts w:ascii="Arial" w:cs="Arial" w:eastAsia="Arial" w:hAnsi="Arial"/>
          <w:b/>
          <w:bCs/>
          <w:color w:val="1F2A44"/>
          <w:sz w:val="36"/>
          <w:szCs w:val="36"/>
        </w:rPr>
        <w:t xml:space="preserve">4. Non-MVP — The V2 and V3 Vision</w:t>
      </w:r>
    </w:p>
    <w:p>
      <w:pPr>
        <w:spacing w:after="80" w:before="60" w:line="300"/>
        <w:jc w:val="left"/>
      </w:pPr>
      <w:r>
        <w:rPr>
          <w:rFonts w:ascii="Arial" w:cs="Arial" w:eastAsia="Arial" w:hAnsi="Arial"/>
          <w:color w:val="1A1A1A"/>
          <w:sz w:val="22"/>
          <w:szCs w:val="22"/>
        </w:rPr>
        <w:t xml:space="preserve">The strategy document's V2 and V3 specifications are correct and should be preserved in the roadmap unchanged. The clarification here is procedural: what stays behind the MVP wall until a paying second venue exists.</w:t>
      </w:r>
    </w:p>
    <w:p>
      <w:pPr>
        <w:pStyle w:val="Heading2"/>
        <w:spacing w:after="120" w:before="280"/>
      </w:pPr>
      <w:r>
        <w:rPr>
          <w:rFonts w:ascii="Arial" w:cs="Arial" w:eastAsia="Arial" w:hAnsi="Arial"/>
          <w:b/>
          <w:bCs/>
          <w:color w:val="1F2A44"/>
          <w:sz w:val="28"/>
          <w:szCs w:val="28"/>
        </w:rPr>
        <w:t xml:space="preserve">V2 — Retention and dependency</w:t>
      </w:r>
    </w:p>
    <w:p>
      <w:pPr>
        <w:spacing w:after="80" w:before="60" w:line="300"/>
        <w:jc w:val="left"/>
      </w:pPr>
      <w:r>
        <w:rPr>
          <w:rFonts w:ascii="Arial" w:cs="Arial" w:eastAsia="Arial" w:hAnsi="Arial"/>
          <w:color w:val="1A1A1A"/>
          <w:sz w:val="22"/>
          <w:szCs w:val="22"/>
        </w:rPr>
        <w:t xml:space="preserve">Unlocked once one live venue retains the product for approximately ninety days.</w:t>
      </w:r>
    </w:p>
    <w:p>
      <w:pPr>
        <w:pStyle w:val="ListParagraph"/>
        <w:numPr>
          <w:ilvl w:val="0"/>
          <w:numId w:val="2"/>
        </w:numPr>
        <w:spacing w:after="40" w:before="40" w:line="280"/>
      </w:pPr>
      <w:r>
        <w:rPr>
          <w:rFonts w:ascii="Arial" w:cs="Arial" w:eastAsia="Arial" w:hAnsi="Arial"/>
          <w:color w:val="1A1A1A"/>
          <w:sz w:val="22"/>
          <w:szCs w:val="22"/>
        </w:rPr>
        <w:t xml:space="preserve">Predictive ordering surface, after a real POS and supplier integration.</w:t>
      </w:r>
    </w:p>
    <w:p>
      <w:pPr>
        <w:pStyle w:val="ListParagraph"/>
        <w:numPr>
          <w:ilvl w:val="0"/>
          <w:numId w:val="2"/>
        </w:numPr>
        <w:spacing w:after="40" w:before="40" w:line="280"/>
      </w:pPr>
      <w:r>
        <w:rPr>
          <w:rFonts w:ascii="Arial" w:cs="Arial" w:eastAsia="Arial" w:hAnsi="Arial"/>
          <w:color w:val="1A1A1A"/>
          <w:sz w:val="22"/>
          <w:szCs w:val="22"/>
        </w:rPr>
        <w:t xml:space="preserve">Staffing forecasts, after sufficient shift and sales history exists in the database.</w:t>
      </w:r>
    </w:p>
    <w:p>
      <w:pPr>
        <w:pStyle w:val="ListParagraph"/>
        <w:numPr>
          <w:ilvl w:val="0"/>
          <w:numId w:val="2"/>
        </w:numPr>
        <w:spacing w:after="40" w:before="40" w:line="280"/>
      </w:pPr>
      <w:r>
        <w:rPr>
          <w:rFonts w:ascii="Arial" w:cs="Arial" w:eastAsia="Arial" w:hAnsi="Arial"/>
          <w:color w:val="1A1A1A"/>
          <w:sz w:val="22"/>
          <w:szCs w:val="22"/>
        </w:rPr>
        <w:t xml:space="preserve">Coaching prompts derived from repeated incidents, after at least thirty days of incident data per staff member.</w:t>
      </w:r>
    </w:p>
    <w:p>
      <w:pPr>
        <w:pStyle w:val="ListParagraph"/>
        <w:numPr>
          <w:ilvl w:val="0"/>
          <w:numId w:val="2"/>
        </w:numPr>
        <w:spacing w:after="40" w:before="40" w:line="280"/>
      </w:pPr>
      <w:r>
        <w:rPr>
          <w:rFonts w:ascii="Arial" w:cs="Arial" w:eastAsia="Arial" w:hAnsi="Arial"/>
          <w:color w:val="1A1A1A"/>
          <w:sz w:val="22"/>
          <w:szCs w:val="22"/>
        </w:rPr>
        <w:t xml:space="preserve">Minimal viable guest memory, after reservations integration or manual guest log.</w:t>
      </w:r>
    </w:p>
    <w:p>
      <w:pPr>
        <w:pStyle w:val="ListParagraph"/>
        <w:numPr>
          <w:ilvl w:val="0"/>
          <w:numId w:val="2"/>
        </w:numPr>
        <w:spacing w:after="40" w:before="40" w:line="280"/>
      </w:pPr>
      <w:r>
        <w:rPr>
          <w:rFonts w:ascii="Arial" w:cs="Arial" w:eastAsia="Arial" w:hAnsi="Arial"/>
          <w:color w:val="1A1A1A"/>
          <w:sz w:val="22"/>
          <w:szCs w:val="22"/>
        </w:rPr>
        <w:t xml:space="preserve">Service recovery playbooks tied to incident type.</w:t>
      </w:r>
    </w:p>
    <w:p>
      <w:pPr>
        <w:pStyle w:val="ListParagraph"/>
        <w:numPr>
          <w:ilvl w:val="0"/>
          <w:numId w:val="2"/>
        </w:numPr>
        <w:spacing w:after="40" w:before="40" w:line="280"/>
      </w:pPr>
      <w:r>
        <w:rPr>
          <w:rFonts w:ascii="Arial" w:cs="Arial" w:eastAsia="Arial" w:hAnsi="Arial"/>
          <w:color w:val="1A1A1A"/>
          <w:sz w:val="22"/>
          <w:szCs w:val="22"/>
        </w:rPr>
        <w:t xml:space="preserve">Cross-shift benchmarking inside a single venue.</w:t>
      </w:r>
    </w:p>
    <w:p>
      <w:pPr>
        <w:pStyle w:val="ListParagraph"/>
        <w:numPr>
          <w:ilvl w:val="0"/>
          <w:numId w:val="2"/>
        </w:numPr>
        <w:spacing w:after="40" w:before="40" w:line="280"/>
      </w:pPr>
      <w:r>
        <w:rPr>
          <w:rFonts w:ascii="Arial" w:cs="Arial" w:eastAsia="Arial" w:hAnsi="Arial"/>
          <w:color w:val="1A1A1A"/>
          <w:sz w:val="22"/>
          <w:szCs w:val="22"/>
        </w:rPr>
        <w:t xml:space="preserve">Vendor issue tracking.</w:t>
      </w:r>
    </w:p>
    <w:p>
      <w:pPr>
        <w:pStyle w:val="ListParagraph"/>
        <w:numPr>
          <w:ilvl w:val="0"/>
          <w:numId w:val="2"/>
        </w:numPr>
        <w:spacing w:after="40" w:before="40" w:line="280"/>
      </w:pPr>
      <w:r>
        <w:rPr>
          <w:rFonts w:ascii="Arial" w:cs="Arial" w:eastAsia="Arial" w:hAnsi="Arial"/>
          <w:color w:val="1A1A1A"/>
          <w:sz w:val="22"/>
          <w:szCs w:val="22"/>
        </w:rPr>
        <w:t xml:space="preserve">Real POS integration — Toast or Square as first targets.</w:t>
      </w:r>
    </w:p>
    <w:p>
      <w:pPr>
        <w:pStyle w:val="Heading2"/>
        <w:spacing w:after="120" w:before="280"/>
      </w:pPr>
      <w:r>
        <w:rPr>
          <w:rFonts w:ascii="Arial" w:cs="Arial" w:eastAsia="Arial" w:hAnsi="Arial"/>
          <w:b/>
          <w:bCs/>
          <w:color w:val="1F2A44"/>
          <w:sz w:val="28"/>
          <w:szCs w:val="28"/>
        </w:rPr>
        <w:t xml:space="preserve">V3 — Category-defining</w:t>
      </w:r>
    </w:p>
    <w:p>
      <w:pPr>
        <w:spacing w:after="80" w:before="60" w:line="300"/>
        <w:jc w:val="left"/>
      </w:pPr>
      <w:r>
        <w:rPr>
          <w:rFonts w:ascii="Arial" w:cs="Arial" w:eastAsia="Arial" w:hAnsi="Arial"/>
          <w:color w:val="1A1A1A"/>
          <w:sz w:val="22"/>
          <w:szCs w:val="22"/>
        </w:rPr>
        <w:t xml:space="preserve">Unlocked after two or more live venues retain.</w:t>
      </w:r>
    </w:p>
    <w:p>
      <w:pPr>
        <w:pStyle w:val="ListParagraph"/>
        <w:numPr>
          <w:ilvl w:val="0"/>
          <w:numId w:val="2"/>
        </w:numPr>
        <w:spacing w:after="40" w:before="40" w:line="280"/>
      </w:pPr>
      <w:r>
        <w:rPr>
          <w:rFonts w:ascii="Arial" w:cs="Arial" w:eastAsia="Arial" w:hAnsi="Arial"/>
          <w:color w:val="1A1A1A"/>
          <w:sz w:val="22"/>
          <w:szCs w:val="22"/>
        </w:rPr>
        <w:t xml:space="preserve">Operational memory graph — the hospitality ontology becomes runtime.</w:t>
      </w:r>
    </w:p>
    <w:p>
      <w:pPr>
        <w:pStyle w:val="ListParagraph"/>
        <w:numPr>
          <w:ilvl w:val="0"/>
          <w:numId w:val="2"/>
        </w:numPr>
        <w:spacing w:after="40" w:before="40" w:line="280"/>
      </w:pPr>
      <w:r>
        <w:rPr>
          <w:rFonts w:ascii="Arial" w:cs="Arial" w:eastAsia="Arial" w:hAnsi="Arial"/>
          <w:color w:val="1A1A1A"/>
          <w:sz w:val="22"/>
          <w:szCs w:val="22"/>
        </w:rPr>
        <w:t xml:space="preserve">Multi-site drift detection.</w:t>
      </w:r>
    </w:p>
    <w:p>
      <w:pPr>
        <w:pStyle w:val="ListParagraph"/>
        <w:numPr>
          <w:ilvl w:val="0"/>
          <w:numId w:val="2"/>
        </w:numPr>
        <w:spacing w:after="40" w:before="40" w:line="280"/>
      </w:pPr>
      <w:r>
        <w:rPr>
          <w:rFonts w:ascii="Arial" w:cs="Arial" w:eastAsia="Arial" w:hAnsi="Arial"/>
          <w:color w:val="1A1A1A"/>
          <w:sz w:val="22"/>
          <w:szCs w:val="22"/>
        </w:rPr>
        <w:t xml:space="preserve">Cross-location intelligence.</w:t>
      </w:r>
    </w:p>
    <w:p>
      <w:pPr>
        <w:pStyle w:val="ListParagraph"/>
        <w:numPr>
          <w:ilvl w:val="0"/>
          <w:numId w:val="2"/>
        </w:numPr>
        <w:spacing w:after="40" w:before="40" w:line="280"/>
      </w:pPr>
      <w:r>
        <w:rPr>
          <w:rFonts w:ascii="Arial" w:cs="Arial" w:eastAsia="Arial" w:hAnsi="Arial"/>
          <w:color w:val="1A1A1A"/>
          <w:sz w:val="22"/>
          <w:szCs w:val="22"/>
        </w:rPr>
        <w:t xml:space="preserve">Autonomous action routing, governed by the trust model already specified in the architecture document.</w:t>
      </w:r>
    </w:p>
    <w:p>
      <w:pPr>
        <w:pStyle w:val="ListParagraph"/>
        <w:numPr>
          <w:ilvl w:val="0"/>
          <w:numId w:val="2"/>
        </w:numPr>
        <w:spacing w:after="40" w:before="40" w:line="280"/>
      </w:pPr>
      <w:r>
        <w:rPr>
          <w:rFonts w:ascii="Arial" w:cs="Arial" w:eastAsia="Arial" w:hAnsi="Arial"/>
          <w:color w:val="1A1A1A"/>
          <w:sz w:val="22"/>
          <w:szCs w:val="22"/>
        </w:rPr>
        <w:t xml:space="preserve">Premium guest-service context engine.</w:t>
      </w:r>
    </w:p>
    <w:p>
      <w:pPr>
        <w:pStyle w:val="ListParagraph"/>
        <w:numPr>
          <w:ilvl w:val="0"/>
          <w:numId w:val="2"/>
        </w:numPr>
        <w:spacing w:after="40" w:before="40" w:line="280"/>
      </w:pPr>
      <w:r>
        <w:rPr>
          <w:rFonts w:ascii="Arial" w:cs="Arial" w:eastAsia="Arial" w:hAnsi="Arial"/>
          <w:color w:val="1A1A1A"/>
          <w:sz w:val="22"/>
          <w:szCs w:val="22"/>
        </w:rPr>
        <w:t xml:space="preserve">Role-aware AI copilots — one per role, narrow scope.</w:t>
      </w:r>
    </w:p>
    <w:p>
      <w:pPr>
        <w:pStyle w:val="Heading2"/>
        <w:spacing w:after="120" w:before="280"/>
      </w:pPr>
      <w:r>
        <w:rPr>
          <w:rFonts w:ascii="Arial" w:cs="Arial" w:eastAsia="Arial" w:hAnsi="Arial"/>
          <w:b/>
          <w:bCs/>
          <w:color w:val="1F2A44"/>
          <w:sz w:val="28"/>
          <w:szCs w:val="28"/>
        </w:rPr>
        <w:t xml:space="preserve">What never gets built</w:t>
      </w:r>
    </w:p>
    <w:p>
      <w:pPr>
        <w:pStyle w:val="ListParagraph"/>
        <w:numPr>
          <w:ilvl w:val="0"/>
          <w:numId w:val="2"/>
        </w:numPr>
        <w:spacing w:after="40" w:before="40" w:line="280"/>
      </w:pPr>
      <w:r>
        <w:rPr>
          <w:rFonts w:ascii="Arial" w:cs="Arial" w:eastAsia="Arial" w:hAnsi="Arial"/>
          <w:color w:val="1A1A1A"/>
          <w:sz w:val="22"/>
          <w:szCs w:val="22"/>
        </w:rPr>
        <w:t xml:space="preserve">Generic chatbot home screen.</w:t>
      </w:r>
    </w:p>
    <w:p>
      <w:pPr>
        <w:pStyle w:val="ListParagraph"/>
        <w:numPr>
          <w:ilvl w:val="0"/>
          <w:numId w:val="2"/>
        </w:numPr>
        <w:spacing w:after="40" w:before="40" w:line="280"/>
      </w:pPr>
      <w:r>
        <w:rPr>
          <w:rFonts w:ascii="Arial" w:cs="Arial" w:eastAsia="Arial" w:hAnsi="Arial"/>
          <w:color w:val="1A1A1A"/>
          <w:sz w:val="22"/>
          <w:szCs w:val="22"/>
        </w:rPr>
        <w:t xml:space="preserve">POS replacement.</w:t>
      </w:r>
    </w:p>
    <w:p>
      <w:pPr>
        <w:pStyle w:val="ListParagraph"/>
        <w:numPr>
          <w:ilvl w:val="0"/>
          <w:numId w:val="2"/>
        </w:numPr>
        <w:spacing w:after="40" w:before="40" w:line="280"/>
      </w:pPr>
      <w:r>
        <w:rPr>
          <w:rFonts w:ascii="Arial" w:cs="Arial" w:eastAsia="Arial" w:hAnsi="Arial"/>
          <w:color w:val="1A1A1A"/>
          <w:sz w:val="22"/>
          <w:szCs w:val="22"/>
        </w:rPr>
        <w:t xml:space="preserve">Marketplace integrations as a category.</w:t>
      </w:r>
    </w:p>
    <w:p>
      <w:pPr>
        <w:pStyle w:val="ListParagraph"/>
        <w:numPr>
          <w:ilvl w:val="0"/>
          <w:numId w:val="2"/>
        </w:numPr>
        <w:spacing w:after="40" w:before="40" w:line="280"/>
      </w:pPr>
      <w:r>
        <w:rPr>
          <w:rFonts w:ascii="Arial" w:cs="Arial" w:eastAsia="Arial" w:hAnsi="Arial"/>
          <w:color w:val="1A1A1A"/>
          <w:sz w:val="22"/>
          <w:szCs w:val="22"/>
        </w:rPr>
        <w:t xml:space="preserve">Configurable report builder.</w:t>
      </w:r>
    </w:p>
    <w:p>
      <w:pPr>
        <w:pStyle w:val="ListParagraph"/>
        <w:numPr>
          <w:ilvl w:val="0"/>
          <w:numId w:val="2"/>
        </w:numPr>
        <w:spacing w:after="40" w:before="40" w:line="280"/>
      </w:pPr>
      <w:r>
        <w:rPr>
          <w:rFonts w:ascii="Arial" w:cs="Arial" w:eastAsia="Arial" w:hAnsi="Arial"/>
          <w:color w:val="1A1A1A"/>
          <w:sz w:val="22"/>
          <w:szCs w:val="22"/>
        </w:rPr>
        <w:t xml:space="preserve">Multi-tenant enterprise mode before retention is proven.</w:t>
      </w:r>
    </w:p>
    <w:p>
      <w:r>
        <w:br w:type="page"/>
      </w:r>
    </w:p>
    <w:p>
      <w:pPr>
        <w:pStyle w:val="Heading1"/>
        <w:spacing w:after="160" w:before="360"/>
      </w:pPr>
      <w:r>
        <w:rPr>
          <w:rFonts w:ascii="Arial" w:cs="Arial" w:eastAsia="Arial" w:hAnsi="Arial"/>
          <w:b/>
          <w:bCs/>
          <w:color w:val="1F2A44"/>
          <w:sz w:val="36"/>
          <w:szCs w:val="36"/>
        </w:rPr>
        <w:t xml:space="preserve">5. Critical Risks</w:t>
      </w:r>
    </w:p>
    <w:p>
      <w:pPr>
        <w:spacing w:after="80" w:before="60" w:line="300"/>
        <w:jc w:val="left"/>
      </w:pPr>
      <w:r>
        <w:rPr>
          <w:rFonts w:ascii="Arial" w:cs="Arial" w:eastAsia="Arial" w:hAnsi="Arial"/>
          <w:color w:val="1A1A1A"/>
          <w:sz w:val="22"/>
          <w:szCs w:val="22"/>
        </w:rPr>
        <w:t xml:space="preserve">Five risks are visible in the current state of the codebase, ordered by severity for a pre-seed investor conversation.</w:t>
      </w:r>
    </w:p>
    <w:p>
      <w:pPr>
        <w:pStyle w:val="Heading2"/>
        <w:spacing w:after="120" w:before="280"/>
      </w:pPr>
      <w:r>
        <w:rPr>
          <w:rFonts w:ascii="Arial" w:cs="Arial" w:eastAsia="Arial" w:hAnsi="Arial"/>
          <w:b/>
          <w:bCs/>
          <w:color w:val="1F2A44"/>
          <w:sz w:val="28"/>
          <w:szCs w:val="28"/>
        </w:rPr>
        <w:t xml:space="preserve">Risk 1 — Fake data on demo surfaces</w:t>
      </w:r>
    </w:p>
    <w:p>
      <w:pPr>
        <w:spacing w:after="80" w:before="60" w:line="300"/>
        <w:jc w:val="left"/>
      </w:pPr>
      <w:r>
        <w:rPr>
          <w:rFonts w:ascii="Arial" w:cs="Arial" w:eastAsia="Arial" w:hAnsi="Arial"/>
          <w:b/>
          <w:bCs/>
          <w:color w:val="1A1A1A"/>
          <w:sz w:val="22"/>
          <w:szCs w:val="22"/>
        </w:rPr>
        <w:t xml:space="preserve">Severity: High. </w:t>
      </w:r>
    </w:p>
    <w:p>
      <w:pPr>
        <w:spacing w:after="80" w:before="60" w:line="300"/>
        <w:jc w:val="left"/>
      </w:pPr>
      <w:r>
        <w:rPr>
          <w:rFonts w:ascii="Arial" w:cs="Arial" w:eastAsia="Arial" w:hAnsi="Arial"/>
          <w:color w:val="1A1A1A"/>
          <w:sz w:val="22"/>
          <w:szCs w:val="22"/>
        </w:rPr>
        <w:t xml:space="preserve">Four files render fabricated content at runtime: hardcoded staff names with invented progress scores, six profit-leak categories with specific monthly dollar amounts, and a hardcoded expected cover count of 184. The project's own coding rules forbid this for the hospitality ontology and the bar product foundation layers, but the rule has not been enforced on these older data files. If an angel investor opens the product on what they believe to be a real venue and sees fabricated staff scores, product credibility collapses faster than any single feature can rebuild it.</w:t>
      </w:r>
    </w:p>
    <w:p>
      <w:pPr>
        <w:pStyle w:val="Heading2"/>
        <w:spacing w:after="120" w:before="280"/>
      </w:pPr>
      <w:r>
        <w:rPr>
          <w:rFonts w:ascii="Arial" w:cs="Arial" w:eastAsia="Arial" w:hAnsi="Arial"/>
          <w:b/>
          <w:bCs/>
          <w:color w:val="1F2A44"/>
          <w:sz w:val="28"/>
          <w:szCs w:val="28"/>
        </w:rPr>
        <w:t xml:space="preserve">Risk 2 — Owner dashboard sprawl</w:t>
      </w:r>
    </w:p>
    <w:p>
      <w:pPr>
        <w:spacing w:after="80" w:before="60" w:line="300"/>
        <w:jc w:val="left"/>
      </w:pPr>
      <w:r>
        <w:rPr>
          <w:rFonts w:ascii="Arial" w:cs="Arial" w:eastAsia="Arial" w:hAnsi="Arial"/>
          <w:b/>
          <w:bCs/>
          <w:color w:val="1A1A1A"/>
          <w:sz w:val="22"/>
          <w:szCs w:val="22"/>
        </w:rPr>
        <w:t xml:space="preserve">Severity: High. </w:t>
      </w:r>
    </w:p>
    <w:p>
      <w:pPr>
        <w:spacing w:after="80" w:before="60" w:line="300"/>
        <w:jc w:val="left"/>
      </w:pPr>
      <w:r>
        <w:rPr>
          <w:rFonts w:ascii="Arial" w:cs="Arial" w:eastAsia="Arial" w:hAnsi="Arial"/>
          <w:color w:val="1A1A1A"/>
          <w:sz w:val="22"/>
          <w:szCs w:val="22"/>
        </w:rPr>
        <w:t xml:space="preserve">Eleven owner-facing components is more surface than a pre-seed product can defend. The strategy document explicitly identifies this as a failure mode. The owner role at one venue needs one page: a single operational pulse that reflects current status, top risk signals, and the next one or two things to act on — all sourced from Shift Brain. That page exists. The other ten should be hidden behind a feature flag for MVP.</w:t>
      </w:r>
    </w:p>
    <w:p>
      <w:pPr>
        <w:pStyle w:val="Heading2"/>
        <w:spacing w:after="120" w:before="280"/>
      </w:pPr>
      <w:r>
        <w:rPr>
          <w:rFonts w:ascii="Arial" w:cs="Arial" w:eastAsia="Arial" w:hAnsi="Arial"/>
          <w:b/>
          <w:bCs/>
          <w:color w:val="1F2A44"/>
          <w:sz w:val="28"/>
          <w:szCs w:val="28"/>
        </w:rPr>
        <w:t xml:space="preserve">Risk 3 — Authentication and demo access codes</w:t>
      </w:r>
    </w:p>
    <w:p>
      <w:pPr>
        <w:spacing w:after="80" w:before="60" w:line="300"/>
        <w:jc w:val="left"/>
      </w:pPr>
      <w:r>
        <w:rPr>
          <w:rFonts w:ascii="Arial" w:cs="Arial" w:eastAsia="Arial" w:hAnsi="Arial"/>
          <w:b/>
          <w:bCs/>
          <w:color w:val="1A1A1A"/>
          <w:sz w:val="22"/>
          <w:szCs w:val="22"/>
        </w:rPr>
        <w:t xml:space="preserve">Severity: Medium-high. </w:t>
      </w:r>
    </w:p>
    <w:p>
      <w:pPr>
        <w:spacing w:after="80" w:before="60" w:line="300"/>
        <w:jc w:val="left"/>
      </w:pPr>
      <w:r>
        <w:rPr>
          <w:rFonts w:ascii="Arial" w:cs="Arial" w:eastAsia="Arial" w:hAnsi="Arial"/>
          <w:color w:val="1A1A1A"/>
          <w:sz w:val="22"/>
          <w:szCs w:val="22"/>
        </w:rPr>
        <w:t xml:space="preserve">The backend currently accepts three literal access codes — EMP123, MNG123, OWN123 — and trusts an HTTP header to assert role. This is acceptable for a developer demo and unsuitable for any live or investor-facing use. The migration path is clear: the users table already exists; routing login through bcrypt password verification and replacing the header with a signed session token is a coordinated change across five frontend files and one server file.</w:t>
      </w:r>
    </w:p>
    <w:p>
      <w:pPr>
        <w:pStyle w:val="Heading2"/>
        <w:spacing w:after="120" w:before="280"/>
      </w:pPr>
      <w:r>
        <w:rPr>
          <w:rFonts w:ascii="Arial" w:cs="Arial" w:eastAsia="Arial" w:hAnsi="Arial"/>
          <w:b/>
          <w:bCs/>
          <w:color w:val="1F2A44"/>
          <w:sz w:val="28"/>
          <w:szCs w:val="28"/>
        </w:rPr>
        <w:t xml:space="preserve">Risk 4 — localStorage as system of record</w:t>
      </w:r>
    </w:p>
    <w:p>
      <w:pPr>
        <w:spacing w:after="80" w:before="60" w:line="300"/>
        <w:jc w:val="left"/>
      </w:pPr>
      <w:r>
        <w:rPr>
          <w:rFonts w:ascii="Arial" w:cs="Arial" w:eastAsia="Arial" w:hAnsi="Arial"/>
          <w:b/>
          <w:bCs/>
          <w:color w:val="1A1A1A"/>
          <w:sz w:val="22"/>
          <w:szCs w:val="22"/>
        </w:rPr>
        <w:t xml:space="preserve">Severity: Medium. </w:t>
      </w:r>
    </w:p>
    <w:p>
      <w:pPr>
        <w:spacing w:after="80" w:before="60" w:line="300"/>
        <w:jc w:val="left"/>
      </w:pPr>
      <w:r>
        <w:rPr>
          <w:rFonts w:ascii="Arial" w:cs="Arial" w:eastAsia="Arial" w:hAnsi="Arial"/>
          <w:color w:val="1A1A1A"/>
          <w:sz w:val="22"/>
          <w:szCs w:val="22"/>
        </w:rPr>
        <w:t xml:space="preserve">Most application state still lives primarily in browser localStorage, with the backend used as a sync target rather than a source of truth. Two failure modes follow: a demo on a fresh device shows an empty product even when the venue has been using it; and different roles on different devices see different states. For one live venue this is tolerable, but the next investor question — where does the data live? — currently has an honest answer of: mostly in the browser. That must change before any retention or cross-device claim can be made.</w:t>
      </w:r>
    </w:p>
    <w:p>
      <w:pPr>
        <w:pStyle w:val="Heading2"/>
        <w:spacing w:after="120" w:before="280"/>
      </w:pPr>
      <w:r>
        <w:rPr>
          <w:rFonts w:ascii="Arial" w:cs="Arial" w:eastAsia="Arial" w:hAnsi="Arial"/>
          <w:b/>
          <w:bCs/>
          <w:color w:val="1F2A44"/>
          <w:sz w:val="28"/>
          <w:szCs w:val="28"/>
        </w:rPr>
        <w:t xml:space="preserve">Risk 5 — Domain ontology is not yet a moat</w:t>
      </w:r>
    </w:p>
    <w:p>
      <w:pPr>
        <w:spacing w:after="80" w:before="60" w:line="300"/>
        <w:jc w:val="left"/>
      </w:pPr>
      <w:r>
        <w:rPr>
          <w:rFonts w:ascii="Arial" w:cs="Arial" w:eastAsia="Arial" w:hAnsi="Arial"/>
          <w:b/>
          <w:bCs/>
          <w:color w:val="1A1A1A"/>
          <w:sz w:val="22"/>
          <w:szCs w:val="22"/>
        </w:rPr>
        <w:t xml:space="preserve">Severity: Low-medium. </w:t>
      </w:r>
    </w:p>
    <w:p>
      <w:pPr>
        <w:spacing w:after="80" w:before="60" w:line="300"/>
        <w:jc w:val="left"/>
      </w:pPr>
      <w:r>
        <w:rPr>
          <w:rFonts w:ascii="Arial" w:cs="Arial" w:eastAsia="Arial" w:hAnsi="Arial"/>
          <w:color w:val="1A1A1A"/>
          <w:sz w:val="22"/>
          <w:szCs w:val="22"/>
        </w:rPr>
        <w:t xml:space="preserve">The hospitality ontology and bar product foundation are well-specified but not wired to runtime. This is the right choice for now — premature activation would create false intelligence. The risk is that the long-term moat narrative depends on this layer becoming runtime, and there is currently no scheduled moment for that to happen. The next-phase plan in section 7 schedules ontology activation as a V2 milestone, contingent on retention.</w:t>
      </w:r>
    </w:p>
    <w:p>
      <w:r>
        <w:br w:type="page"/>
      </w:r>
    </w:p>
    <w:p>
      <w:pPr>
        <w:pStyle w:val="Heading1"/>
        <w:spacing w:after="160" w:before="360"/>
      </w:pPr>
      <w:r>
        <w:rPr>
          <w:rFonts w:ascii="Arial" w:cs="Arial" w:eastAsia="Arial" w:hAnsi="Arial"/>
          <w:b/>
          <w:bCs/>
          <w:color w:val="1F2A44"/>
          <w:sz w:val="36"/>
          <w:szCs w:val="36"/>
        </w:rPr>
        <w:t xml:space="preserve">6. Feature Priorities — Phased Build Plan</w:t>
      </w:r>
    </w:p>
    <w:p>
      <w:pPr>
        <w:spacing w:after="80" w:before="60" w:line="300"/>
        <w:jc w:val="left"/>
      </w:pPr>
      <w:r>
        <w:rPr>
          <w:rFonts w:ascii="Arial" w:cs="Arial" w:eastAsia="Arial" w:hAnsi="Arial"/>
          <w:color w:val="1A1A1A"/>
          <w:sz w:val="22"/>
          <w:szCs w:val="22"/>
        </w:rPr>
        <w:t xml:space="preserve">Each phase below is shippable independently. Detailed implementation prompts for Claude Code, with per-file specifications and acceptance criteria, are in the companion Markdown document. The summary table here captures the strategic shape of the next ninety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600"/>
        <w:gridCol w:w="1360"/>
      </w:tblGrid>
      <w:tr>
        <w:trPr>
          <w:tblHeader/>
        </w:trPr>
        <w:tc>
          <w:tcPr>
            <w:tcW w:type="dxa" w:w="2400"/>
            <w:tcBorders>
              <w:top w:val="single" w:color="CCCCCC" w:sz="4"/>
              <w:left w:val="single" w:color="CCCCCC" w:sz="4"/>
              <w:bottom w:val="single" w:color="CCCCCC" w:sz="4"/>
              <w:right w:val="single" w:color="CCCCCC" w:sz="4"/>
            </w:tcBorders>
            <w:shd w:fill="1F2A44" w:val="clear"/>
            <w:tcMar>
              <w:top w:type="dxa" w:w="100"/>
              <w:left w:type="dxa" w:w="140"/>
              <w:bottom w:type="dxa" w:w="100"/>
              <w:right w:type="dxa" w:w="140"/>
            </w:tcMar>
          </w:tcPr>
          <w:p>
            <w:pPr>
              <w:spacing w:after="0" w:before="0" w:line="260"/>
              <w:jc w:val="left"/>
            </w:pPr>
            <w:r>
              <w:rPr>
                <w:rFonts w:ascii="Arial" w:cs="Arial" w:eastAsia="Arial" w:hAnsi="Arial"/>
                <w:b/>
                <w:bCs/>
                <w:color w:val="FFFFFF"/>
                <w:sz w:val="20"/>
                <w:szCs w:val="20"/>
              </w:rPr>
              <w:t xml:space="preserve">Phase</w:t>
            </w:r>
          </w:p>
        </w:tc>
        <w:tc>
          <w:tcPr>
            <w:tcW w:type="dxa" w:w="5600"/>
            <w:tcBorders>
              <w:top w:val="single" w:color="CCCCCC" w:sz="4"/>
              <w:left w:val="single" w:color="CCCCCC" w:sz="4"/>
              <w:bottom w:val="single" w:color="CCCCCC" w:sz="4"/>
              <w:right w:val="single" w:color="CCCCCC" w:sz="4"/>
            </w:tcBorders>
            <w:shd w:fill="1F2A44" w:val="clear"/>
            <w:tcMar>
              <w:top w:type="dxa" w:w="100"/>
              <w:left w:type="dxa" w:w="140"/>
              <w:bottom w:type="dxa" w:w="100"/>
              <w:right w:type="dxa" w:w="140"/>
            </w:tcMar>
          </w:tcPr>
          <w:p>
            <w:pPr>
              <w:spacing w:after="0" w:before="0" w:line="260"/>
              <w:jc w:val="left"/>
            </w:pPr>
            <w:r>
              <w:rPr>
                <w:rFonts w:ascii="Arial" w:cs="Arial" w:eastAsia="Arial" w:hAnsi="Arial"/>
                <w:b/>
                <w:bCs/>
                <w:color w:val="FFFFFF"/>
                <w:sz w:val="20"/>
                <w:szCs w:val="20"/>
              </w:rPr>
              <w:t xml:space="preserve">Goal</w:t>
            </w:r>
          </w:p>
        </w:tc>
        <w:tc>
          <w:tcPr>
            <w:tcW w:type="dxa" w:w="1360"/>
            <w:tcBorders>
              <w:top w:val="single" w:color="CCCCCC" w:sz="4"/>
              <w:left w:val="single" w:color="CCCCCC" w:sz="4"/>
              <w:bottom w:val="single" w:color="CCCCCC" w:sz="4"/>
              <w:right w:val="single" w:color="CCCCCC" w:sz="4"/>
            </w:tcBorders>
            <w:shd w:fill="1F2A44" w:val="clear"/>
            <w:tcMar>
              <w:top w:type="dxa" w:w="100"/>
              <w:left w:type="dxa" w:w="140"/>
              <w:bottom w:type="dxa" w:w="100"/>
              <w:right w:type="dxa" w:w="140"/>
            </w:tcMar>
          </w:tcPr>
          <w:p>
            <w:pPr>
              <w:spacing w:after="0" w:before="0" w:line="260"/>
              <w:jc w:val="left"/>
            </w:pPr>
            <w:r>
              <w:rPr>
                <w:rFonts w:ascii="Arial" w:cs="Arial" w:eastAsia="Arial" w:hAnsi="Arial"/>
                <w:b/>
                <w:bCs/>
                <w:color w:val="FFFFFF"/>
                <w:sz w:val="20"/>
                <w:szCs w:val="20"/>
              </w:rPr>
              <w:t xml:space="preserve">Effort</w:t>
            </w:r>
          </w:p>
        </w:tc>
      </w:tr>
      <w:t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Phase 1 — Demo Trust</w:t>
            </w:r>
          </w:p>
        </w:tc>
        <w:tc>
          <w:tcPr>
            <w:tcW w:type="dxa" w:w="5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Remove all fake-data runtime surfaces; gate premature owner pages; harden login.</w:t>
            </w:r>
          </w:p>
        </w:tc>
        <w:tc>
          <w:tcPr>
            <w:tcW w:type="dxa" w:w="1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2 to 4 days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Phase 2 — Manager Loop</w:t>
            </w:r>
          </w:p>
        </w:tc>
        <w:tc>
          <w:tcPr>
            <w:tcW w:type="dxa" w:w="5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Close the daily shift cycle end-to-end through the API. Build End-of-Shift Review.</w:t>
            </w:r>
          </w:p>
        </w:tc>
        <w:tc>
          <w:tcPr>
            <w:tcW w:type="dxa" w:w="1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4 to 7 days</w:t>
            </w:r>
          </w:p>
        </w:tc>
      </w:tr>
      <w:t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Phase 3 — Brand Migration</w:t>
            </w:r>
          </w:p>
        </w:tc>
        <w:tc>
          <w:tcPr>
            <w:tcW w:type="dxa" w:w="5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Complete the HOSPIA to HESTIA identifier rename across localStorage keys, HTTP headers, SQLite file, and package name.</w:t>
            </w:r>
          </w:p>
        </w:tc>
        <w:tc>
          <w:tcPr>
            <w:tcW w:type="dxa" w:w="1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1 to 2 days</w:t>
            </w:r>
          </w:p>
        </w:tc>
      </w:tr>
      <w:tr>
        <w:tc>
          <w:tcPr>
            <w:tcW w:type="dxa" w:w="24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Phase 4 — AI-Assisted Shift Intelligence</w:t>
            </w:r>
          </w:p>
        </w:tc>
        <w:tc>
          <w:tcPr>
            <w:tcW w:type="dxa" w:w="560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Add Gemini-powered narrative summary and incident classification on top of the deterministic core, preserving the trust model.</w:t>
            </w:r>
          </w:p>
        </w:tc>
        <w:tc>
          <w:tcPr>
            <w:tcW w:type="dxa" w:w="136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3 to 5 days</w:t>
            </w:r>
          </w:p>
        </w:tc>
      </w:tr>
      <w:tr>
        <w:tc>
          <w:tcPr>
            <w:tcW w:type="dxa" w:w="24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Phase 5 — Owner Weekly Brief</w:t>
            </w:r>
          </w:p>
        </w:tc>
        <w:tc>
          <w:tcPr>
            <w:tcW w:type="dxa" w:w="560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Real-data weekly digest from archived shift reports, with explicit empty-state when insufficient data exists.</w:t>
            </w:r>
          </w:p>
        </w:tc>
        <w:tc>
          <w:tcPr>
            <w:tcW w:type="dxa" w:w="1360"/>
            <w:tcBorders>
              <w:top w:val="single" w:color="CCCCCC" w:sz="4"/>
              <w:left w:val="single" w:color="CCCCCC" w:sz="4"/>
              <w:bottom w:val="single" w:color="CCCCCC" w:sz="4"/>
              <w:right w:val="single" w:color="CCCCCC" w:sz="4"/>
            </w:tcBorders>
            <w:shd w:fill="F5F5F5" w:val="clear"/>
            <w:tcMar>
              <w:top w:type="dxa" w:w="100"/>
              <w:left w:type="dxa" w:w="140"/>
              <w:bottom w:type="dxa" w:w="100"/>
              <w:right w:type="dxa" w:w="140"/>
            </w:tcMar>
          </w:tcPr>
          <w:p>
            <w:pPr>
              <w:spacing w:after="0" w:before="0" w:line="260"/>
              <w:jc w:val="left"/>
            </w:pPr>
            <w:r>
              <w:rPr>
                <w:rFonts w:ascii="Arial" w:cs="Arial" w:eastAsia="Arial" w:hAnsi="Arial"/>
                <w:color w:val="1A1A1A"/>
                <w:sz w:val="20"/>
                <w:szCs w:val="20"/>
              </w:rPr>
              <w:t xml:space="preserve">2 to 3 days</w:t>
            </w:r>
          </w:p>
        </w:tc>
      </w:tr>
    </w:tbl>
    <w:p>
      <w:pPr>
        <w:pStyle w:val="Heading2"/>
        <w:spacing w:after="120" w:before="280"/>
      </w:pPr>
      <w:r>
        <w:rPr>
          <w:rFonts w:ascii="Arial" w:cs="Arial" w:eastAsia="Arial" w:hAnsi="Arial"/>
          <w:b/>
          <w:bCs/>
          <w:color w:val="1F2A44"/>
          <w:sz w:val="28"/>
          <w:szCs w:val="28"/>
        </w:rPr>
        <w:t xml:space="preserve">Phase 1 — Demo Trust Hardening</w:t>
      </w:r>
    </w:p>
    <w:p>
      <w:pPr>
        <w:spacing w:after="80" w:before="60" w:line="300"/>
        <w:jc w:val="left"/>
      </w:pPr>
      <w:r>
        <w:rPr>
          <w:rFonts w:ascii="Arial" w:cs="Arial" w:eastAsia="Arial" w:hAnsi="Arial"/>
          <w:color w:val="1A1A1A"/>
          <w:sz w:val="22"/>
          <w:szCs w:val="22"/>
        </w:rPr>
        <w:t xml:space="preserve">The product must be safe to demonstrate on real venue data. Concretely:</w:t>
      </w:r>
    </w:p>
    <w:p>
      <w:pPr>
        <w:pStyle w:val="ListParagraph"/>
        <w:numPr>
          <w:ilvl w:val="0"/>
          <w:numId w:val="2"/>
        </w:numPr>
        <w:spacing w:after="40" w:before="40" w:line="280"/>
      </w:pPr>
      <w:r>
        <w:rPr>
          <w:rFonts w:ascii="Arial" w:cs="Arial" w:eastAsia="Arial" w:hAnsi="Arial"/>
          <w:color w:val="1A1A1A"/>
          <w:sz w:val="22"/>
          <w:szCs w:val="22"/>
        </w:rPr>
        <w:t xml:space="preserve">Replace the seeded staff array with API-backed staff or an empty-state with an explicit Add Staff call to action.</w:t>
      </w:r>
    </w:p>
    <w:p>
      <w:pPr>
        <w:pStyle w:val="ListParagraph"/>
        <w:numPr>
          <w:ilvl w:val="0"/>
          <w:numId w:val="2"/>
        </w:numPr>
        <w:spacing w:after="40" w:before="40" w:line="280"/>
      </w:pPr>
      <w:r>
        <w:rPr>
          <w:rFonts w:ascii="Arial" w:cs="Arial" w:eastAsia="Arial" w:hAnsi="Arial"/>
          <w:color w:val="1A1A1A"/>
          <w:sz w:val="22"/>
          <w:szCs w:val="22"/>
        </w:rPr>
        <w:t xml:space="preserve">Remove seeded profit-leak figures and hide the ProfitLeaks page behind a feature flag.</w:t>
      </w:r>
    </w:p>
    <w:p>
      <w:pPr>
        <w:pStyle w:val="ListParagraph"/>
        <w:numPr>
          <w:ilvl w:val="0"/>
          <w:numId w:val="2"/>
        </w:numPr>
        <w:spacing w:after="40" w:before="40" w:line="280"/>
      </w:pPr>
      <w:r>
        <w:rPr>
          <w:rFonts w:ascii="Arial" w:cs="Arial" w:eastAsia="Arial" w:hAnsi="Arial"/>
          <w:color w:val="1A1A1A"/>
          <w:sz w:val="22"/>
          <w:szCs w:val="22"/>
        </w:rPr>
        <w:t xml:space="preserve">Replace INITIAL_SHIFT_PROFILE with a load from business memory or an empty state.</w:t>
      </w:r>
    </w:p>
    <w:p>
      <w:pPr>
        <w:pStyle w:val="ListParagraph"/>
        <w:numPr>
          <w:ilvl w:val="0"/>
          <w:numId w:val="2"/>
        </w:numPr>
        <w:spacing w:after="40" w:before="40" w:line="280"/>
      </w:pPr>
      <w:r>
        <w:rPr>
          <w:rFonts w:ascii="Arial" w:cs="Arial" w:eastAsia="Arial" w:hAnsi="Arial"/>
          <w:color w:val="1A1A1A"/>
          <w:sz w:val="22"/>
          <w:szCs w:val="22"/>
        </w:rPr>
        <w:t xml:space="preserve">Hide BusinessMRI, ExecutiveOverview, StrategicRecommendations, ProfitLeaks, and WeeklySummary behind feature flags.</w:t>
      </w:r>
    </w:p>
    <w:p>
      <w:pPr>
        <w:pStyle w:val="ListParagraph"/>
        <w:numPr>
          <w:ilvl w:val="0"/>
          <w:numId w:val="2"/>
        </w:numPr>
        <w:spacing w:after="40" w:before="40" w:line="280"/>
      </w:pPr>
      <w:r>
        <w:rPr>
          <w:rFonts w:ascii="Arial" w:cs="Arial" w:eastAsia="Arial" w:hAnsi="Arial"/>
          <w:color w:val="1A1A1A"/>
          <w:sz w:val="22"/>
          <w:szCs w:val="22"/>
        </w:rPr>
        <w:t xml:space="preserve">Promote OperationalPulse to the default owner landing page.</w:t>
      </w:r>
    </w:p>
    <w:p>
      <w:pPr>
        <w:pStyle w:val="ListParagraph"/>
        <w:numPr>
          <w:ilvl w:val="0"/>
          <w:numId w:val="2"/>
        </w:numPr>
        <w:spacing w:after="40" w:before="40" w:line="280"/>
      </w:pPr>
      <w:r>
        <w:rPr>
          <w:rFonts w:ascii="Arial" w:cs="Arial" w:eastAsia="Arial" w:hAnsi="Arial"/>
          <w:color w:val="1A1A1A"/>
          <w:sz w:val="22"/>
          <w:szCs w:val="22"/>
        </w:rPr>
        <w:t xml:space="preserve">Remove the ACCESS_CODES literal from the server; add bcrypt-hashed passwords and a real login flow; replace the role HTTP header with a session token.</w:t>
      </w:r>
    </w:p>
    <w:p>
      <w:pPr>
        <w:pStyle w:val="Heading2"/>
        <w:spacing w:after="120" w:before="280"/>
      </w:pPr>
      <w:r>
        <w:rPr>
          <w:rFonts w:ascii="Arial" w:cs="Arial" w:eastAsia="Arial" w:hAnsi="Arial"/>
          <w:b/>
          <w:bCs/>
          <w:color w:val="1F2A44"/>
          <w:sz w:val="28"/>
          <w:szCs w:val="28"/>
        </w:rPr>
        <w:t xml:space="preserve">Phase 2 — Manager Loop Closure</w:t>
      </w:r>
    </w:p>
    <w:p>
      <w:pPr>
        <w:spacing w:after="80" w:before="60" w:line="300"/>
        <w:jc w:val="left"/>
      </w:pPr>
      <w:r>
        <w:rPr>
          <w:rFonts w:ascii="Arial" w:cs="Arial" w:eastAsia="Arial" w:hAnsi="Arial"/>
          <w:color w:val="1A1A1A"/>
          <w:sz w:val="22"/>
          <w:szCs w:val="22"/>
        </w:rPr>
        <w:t xml:space="preserve">The single highest-leverage build. Concretely:</w:t>
      </w:r>
    </w:p>
    <w:p>
      <w:pPr>
        <w:pStyle w:val="ListParagraph"/>
        <w:numPr>
          <w:ilvl w:val="0"/>
          <w:numId w:val="2"/>
        </w:numPr>
        <w:spacing w:after="40" w:before="40" w:line="280"/>
      </w:pPr>
      <w:r>
        <w:rPr>
          <w:rFonts w:ascii="Arial" w:cs="Arial" w:eastAsia="Arial" w:hAnsi="Arial"/>
          <w:color w:val="1A1A1A"/>
          <w:sz w:val="22"/>
          <w:szCs w:val="22"/>
        </w:rPr>
        <w:t xml:space="preserve">Route all action, incident, note, and shift-report writes through the API; treat localStorage as a cache only.</w:t>
      </w:r>
    </w:p>
    <w:p>
      <w:pPr>
        <w:pStyle w:val="ListParagraph"/>
        <w:numPr>
          <w:ilvl w:val="0"/>
          <w:numId w:val="2"/>
        </w:numPr>
        <w:spacing w:after="40" w:before="40" w:line="280"/>
      </w:pPr>
      <w:r>
        <w:rPr>
          <w:rFonts w:ascii="Arial" w:cs="Arial" w:eastAsia="Arial" w:hAnsi="Arial"/>
          <w:color w:val="1A1A1A"/>
          <w:sz w:val="22"/>
          <w:szCs w:val="22"/>
        </w:rPr>
        <w:t xml:space="preserve">Add an append-only events table to SQLite; every operational write also inserts one row to events.</w:t>
      </w:r>
    </w:p>
    <w:p>
      <w:pPr>
        <w:pStyle w:val="ListParagraph"/>
        <w:numPr>
          <w:ilvl w:val="0"/>
          <w:numId w:val="2"/>
        </w:numPr>
        <w:spacing w:after="40" w:before="40" w:line="280"/>
      </w:pPr>
      <w:r>
        <w:rPr>
          <w:rFonts w:ascii="Arial" w:cs="Arial" w:eastAsia="Arial" w:hAnsi="Arial"/>
          <w:color w:val="1A1A1A"/>
          <w:sz w:val="22"/>
          <w:szCs w:val="22"/>
        </w:rPr>
        <w:t xml:space="preserve">Expand End-of-Shift Review to consume the Shift Brain snapshot, present carry-forward selection, and write to shift_reports with the deterministic summary embedded.</w:t>
      </w:r>
    </w:p>
    <w:p>
      <w:pPr>
        <w:pStyle w:val="ListParagraph"/>
        <w:numPr>
          <w:ilvl w:val="0"/>
          <w:numId w:val="2"/>
        </w:numPr>
        <w:spacing w:after="40" w:before="40" w:line="280"/>
      </w:pPr>
      <w:r>
        <w:rPr>
          <w:rFonts w:ascii="Arial" w:cs="Arial" w:eastAsia="Arial" w:hAnsi="Arial"/>
          <w:color w:val="1A1A1A"/>
          <w:sz w:val="22"/>
          <w:szCs w:val="22"/>
        </w:rPr>
        <w:t xml:space="preserve">Add buildNextShiftInheritance to shiftBrainService.js — the deterministic carry-forward engine called by the next pre-shift briefing.</w:t>
      </w:r>
    </w:p>
    <w:p>
      <w:pPr>
        <w:pStyle w:val="ListParagraph"/>
        <w:numPr>
          <w:ilvl w:val="0"/>
          <w:numId w:val="2"/>
        </w:numPr>
        <w:spacing w:after="40" w:before="40" w:line="280"/>
      </w:pPr>
      <w:r>
        <w:rPr>
          <w:rFonts w:ascii="Arial" w:cs="Arial" w:eastAsia="Arial" w:hAnsi="Arial"/>
          <w:color w:val="1A1A1A"/>
          <w:sz w:val="22"/>
          <w:szCs w:val="22"/>
        </w:rPr>
        <w:t xml:space="preserve">Render the carry-forward callouts at the top of the pre-shift briefing on the following day.</w:t>
      </w:r>
    </w:p>
    <w:p>
      <w:pPr>
        <w:pStyle w:val="Heading2"/>
        <w:spacing w:after="120" w:before="280"/>
      </w:pPr>
      <w:r>
        <w:rPr>
          <w:rFonts w:ascii="Arial" w:cs="Arial" w:eastAsia="Arial" w:hAnsi="Arial"/>
          <w:b/>
          <w:bCs/>
          <w:color w:val="1F2A44"/>
          <w:sz w:val="28"/>
          <w:szCs w:val="28"/>
        </w:rPr>
        <w:t xml:space="preserve">Phase 3 — Brand Migration</w:t>
      </w:r>
    </w:p>
    <w:p>
      <w:pPr>
        <w:spacing w:after="80" w:before="60" w:line="300"/>
        <w:jc w:val="left"/>
      </w:pPr>
      <w:r>
        <w:rPr>
          <w:rFonts w:ascii="Arial" w:cs="Arial" w:eastAsia="Arial" w:hAnsi="Arial"/>
          <w:color w:val="1A1A1A"/>
          <w:sz w:val="22"/>
          <w:szCs w:val="22"/>
        </w:rPr>
        <w:t xml:space="preserve">Outstanding from Phase 2 of the architecture work. Coordinated rename:</w:t>
      </w:r>
    </w:p>
    <w:p>
      <w:pPr>
        <w:pStyle w:val="ListParagraph"/>
        <w:numPr>
          <w:ilvl w:val="0"/>
          <w:numId w:val="2"/>
        </w:numPr>
        <w:spacing w:after="40" w:before="40" w:line="280"/>
      </w:pPr>
      <w:r>
        <w:rPr>
          <w:rFonts w:ascii="Arial" w:cs="Arial" w:eastAsia="Arial" w:hAnsi="Arial"/>
          <w:color w:val="1A1A1A"/>
          <w:sz w:val="22"/>
          <w:szCs w:val="22"/>
        </w:rPr>
        <w:t xml:space="preserve">Migrate hospia.* localStorage keys to hestia.* with an idempotent one-time migration function.</w:t>
      </w:r>
    </w:p>
    <w:p>
      <w:pPr>
        <w:pStyle w:val="ListParagraph"/>
        <w:numPr>
          <w:ilvl w:val="0"/>
          <w:numId w:val="2"/>
        </w:numPr>
        <w:spacing w:after="40" w:before="40" w:line="280"/>
      </w:pPr>
      <w:r>
        <w:rPr>
          <w:rFonts w:ascii="Arial" w:cs="Arial" w:eastAsia="Arial" w:hAnsi="Arial"/>
          <w:color w:val="1A1A1A"/>
          <w:sz w:val="22"/>
          <w:szCs w:val="22"/>
        </w:rPr>
        <w:t xml:space="preserve">Rename the role HTTP header in all six locations atomically — or remove it entirely if Phase 1 has already replaced it.</w:t>
      </w:r>
    </w:p>
    <w:p>
      <w:pPr>
        <w:pStyle w:val="ListParagraph"/>
        <w:numPr>
          <w:ilvl w:val="0"/>
          <w:numId w:val="2"/>
        </w:numPr>
        <w:spacing w:after="40" w:before="40" w:line="280"/>
      </w:pPr>
      <w:r>
        <w:rPr>
          <w:rFonts w:ascii="Arial" w:cs="Arial" w:eastAsia="Arial" w:hAnsi="Arial"/>
          <w:color w:val="1A1A1A"/>
          <w:sz w:val="22"/>
          <w:szCs w:val="22"/>
        </w:rPr>
        <w:t xml:space="preserve">Rename data/hospia.sqlite to data/hestia.sqlite via a file-rename migration on server boot.</w:t>
      </w:r>
    </w:p>
    <w:p>
      <w:pPr>
        <w:pStyle w:val="ListParagraph"/>
        <w:numPr>
          <w:ilvl w:val="0"/>
          <w:numId w:val="2"/>
        </w:numPr>
        <w:spacing w:after="40" w:before="40" w:line="280"/>
      </w:pPr>
      <w:r>
        <w:rPr>
          <w:rFonts w:ascii="Arial" w:cs="Arial" w:eastAsia="Arial" w:hAnsi="Arial"/>
          <w:color w:val="1A1A1A"/>
          <w:sz w:val="22"/>
          <w:szCs w:val="22"/>
        </w:rPr>
        <w:t xml:space="preserve">Rename the HOSPIA_LOCAL_APP package and folder, and update the two HOSPIA-prefixed strategy and architecture documents.</w:t>
      </w:r>
    </w:p>
    <w:p>
      <w:pPr>
        <w:pStyle w:val="Heading2"/>
        <w:spacing w:after="120" w:before="280"/>
      </w:pPr>
      <w:r>
        <w:rPr>
          <w:rFonts w:ascii="Arial" w:cs="Arial" w:eastAsia="Arial" w:hAnsi="Arial"/>
          <w:b/>
          <w:bCs/>
          <w:color w:val="1F2A44"/>
          <w:sz w:val="28"/>
          <w:szCs w:val="28"/>
        </w:rPr>
        <w:t xml:space="preserve">Phase 4 — AI-Assisted Shift Intelligence</w:t>
      </w:r>
    </w:p>
    <w:p>
      <w:pPr>
        <w:spacing w:after="80" w:before="60" w:line="300"/>
        <w:jc w:val="left"/>
      </w:pPr>
      <w:r>
        <w:rPr>
          <w:rFonts w:ascii="Arial" w:cs="Arial" w:eastAsia="Arial" w:hAnsi="Arial"/>
          <w:color w:val="1A1A1A"/>
          <w:sz w:val="22"/>
          <w:szCs w:val="22"/>
        </w:rPr>
        <w:t xml:space="preserve">Augmentation, not replacement. Concretely:</w:t>
      </w:r>
    </w:p>
    <w:p>
      <w:pPr>
        <w:pStyle w:val="ListParagraph"/>
        <w:numPr>
          <w:ilvl w:val="0"/>
          <w:numId w:val="2"/>
        </w:numPr>
        <w:spacing w:after="40" w:before="40" w:line="280"/>
      </w:pPr>
      <w:r>
        <w:rPr>
          <w:rFonts w:ascii="Arial" w:cs="Arial" w:eastAsia="Arial" w:hAnsi="Arial"/>
          <w:color w:val="1A1A1A"/>
          <w:sz w:val="22"/>
          <w:szCs w:val="22"/>
        </w:rPr>
        <w:t xml:space="preserve">Add summarizeShift to shiftBrainService.js; calls Gemini with the deterministic snapshot; returns null on failure; never throws.</w:t>
      </w:r>
    </w:p>
    <w:p>
      <w:pPr>
        <w:pStyle w:val="ListParagraph"/>
        <w:numPr>
          <w:ilvl w:val="0"/>
          <w:numId w:val="2"/>
        </w:numPr>
        <w:spacing w:after="40" w:before="40" w:line="280"/>
      </w:pPr>
      <w:r>
        <w:rPr>
          <w:rFonts w:ascii="Arial" w:cs="Arial" w:eastAsia="Arial" w:hAnsi="Arial"/>
          <w:color w:val="1A1A1A"/>
          <w:sz w:val="22"/>
          <w:szCs w:val="22"/>
        </w:rPr>
        <w:t xml:space="preserve">Add classifyIncident for one-tap freeform incident capture; manager confirms the suggested classification and severity.</w:t>
      </w:r>
    </w:p>
    <w:p>
      <w:pPr>
        <w:pStyle w:val="ListParagraph"/>
        <w:numPr>
          <w:ilvl w:val="0"/>
          <w:numId w:val="2"/>
        </w:numPr>
        <w:spacing w:after="40" w:before="40" w:line="280"/>
      </w:pPr>
      <w:r>
        <w:rPr>
          <w:rFonts w:ascii="Arial" w:cs="Arial" w:eastAsia="Arial" w:hAnsi="Arial"/>
          <w:color w:val="1A1A1A"/>
          <w:sz w:val="22"/>
          <w:szCs w:val="22"/>
        </w:rPr>
        <w:t xml:space="preserve">Store both the deterministic snapshot and the AI-generated narrative in shift_reports — never one without the other.</w:t>
      </w:r>
    </w:p>
    <w:p>
      <w:pPr>
        <w:pStyle w:val="ListParagraph"/>
        <w:numPr>
          <w:ilvl w:val="0"/>
          <w:numId w:val="2"/>
        </w:numPr>
        <w:spacing w:after="40" w:before="40" w:line="280"/>
      </w:pPr>
      <w:r>
        <w:rPr>
          <w:rFonts w:ascii="Arial" w:cs="Arial" w:eastAsia="Arial" w:hAnsi="Arial"/>
          <w:color w:val="1A1A1A"/>
          <w:sz w:val="22"/>
          <w:szCs w:val="22"/>
        </w:rPr>
        <w:t xml:space="preserve">Move all prompts into src/prompts/ — never embed prompts inside services.</w:t>
      </w:r>
    </w:p>
    <w:p>
      <w:pPr>
        <w:pStyle w:val="Heading2"/>
        <w:spacing w:after="120" w:before="280"/>
      </w:pPr>
      <w:r>
        <w:rPr>
          <w:rFonts w:ascii="Arial" w:cs="Arial" w:eastAsia="Arial" w:hAnsi="Arial"/>
          <w:b/>
          <w:bCs/>
          <w:color w:val="1F2A44"/>
          <w:sz w:val="28"/>
          <w:szCs w:val="28"/>
        </w:rPr>
        <w:t xml:space="preserve">Phase 5 — Owner Weekly Brief</w:t>
      </w:r>
    </w:p>
    <w:p>
      <w:pPr>
        <w:spacing w:after="80" w:before="60" w:line="300"/>
        <w:jc w:val="left"/>
      </w:pPr>
      <w:r>
        <w:rPr>
          <w:rFonts w:ascii="Arial" w:cs="Arial" w:eastAsia="Arial" w:hAnsi="Arial"/>
          <w:color w:val="1A1A1A"/>
          <w:sz w:val="22"/>
          <w:szCs w:val="22"/>
        </w:rPr>
        <w:t xml:space="preserve">One meaningful weekly artifact, real-data only:</w:t>
      </w:r>
    </w:p>
    <w:p>
      <w:pPr>
        <w:pStyle w:val="ListParagraph"/>
        <w:numPr>
          <w:ilvl w:val="0"/>
          <w:numId w:val="2"/>
        </w:numPr>
        <w:spacing w:after="40" w:before="40" w:line="280"/>
      </w:pPr>
      <w:r>
        <w:rPr>
          <w:rFonts w:ascii="Arial" w:cs="Arial" w:eastAsia="Arial" w:hAnsi="Arial"/>
          <w:color w:val="1A1A1A"/>
          <w:sz w:val="22"/>
          <w:szCs w:val="22"/>
        </w:rPr>
        <w:t xml:space="preserve">buildWeeklyDigest in ownerInsightService.js produces top incident category, action completion rate, aging trend, and top recommended foci from the last seven archived shift reports.</w:t>
      </w:r>
    </w:p>
    <w:p>
      <w:pPr>
        <w:pStyle w:val="ListParagraph"/>
        <w:numPr>
          <w:ilvl w:val="0"/>
          <w:numId w:val="2"/>
        </w:numPr>
        <w:spacing w:after="40" w:before="40" w:line="280"/>
      </w:pPr>
      <w:r>
        <w:rPr>
          <w:rFonts w:ascii="Arial" w:cs="Arial" w:eastAsia="Arial" w:hAnsi="Arial"/>
          <w:color w:val="1A1A1A"/>
          <w:sz w:val="22"/>
          <w:szCs w:val="22"/>
        </w:rPr>
        <w:t xml:space="preserve">Surface inside OperationalPulse as a collapsible card — not a separate page.</w:t>
      </w:r>
    </w:p>
    <w:p>
      <w:pPr>
        <w:pStyle w:val="ListParagraph"/>
        <w:numPr>
          <w:ilvl w:val="0"/>
          <w:numId w:val="2"/>
        </w:numPr>
        <w:spacing w:after="40" w:before="40" w:line="280"/>
      </w:pPr>
      <w:r>
        <w:rPr>
          <w:rFonts w:ascii="Arial" w:cs="Arial" w:eastAsia="Arial" w:hAnsi="Arial"/>
          <w:color w:val="1A1A1A"/>
          <w:sz w:val="22"/>
          <w:szCs w:val="22"/>
        </w:rPr>
        <w:t xml:space="preserve">If fewer than seven archived reports exist, the card says so explicitly. No fabricated comparisons.</w:t>
      </w:r>
    </w:p>
    <w:p>
      <w:r>
        <w:br w:type="page"/>
      </w:r>
    </w:p>
    <w:p>
      <w:pPr>
        <w:pStyle w:val="Heading1"/>
        <w:spacing w:after="160" w:before="360"/>
      </w:pPr>
      <w:r>
        <w:rPr>
          <w:rFonts w:ascii="Arial" w:cs="Arial" w:eastAsia="Arial" w:hAnsi="Arial"/>
          <w:b/>
          <w:bCs/>
          <w:color w:val="1F2A44"/>
          <w:sz w:val="36"/>
          <w:szCs w:val="36"/>
        </w:rPr>
        <w:t xml:space="preserve">7. Data Model Implications</w:t>
      </w:r>
    </w:p>
    <w:p>
      <w:pPr>
        <w:spacing w:after="80" w:before="60" w:line="300"/>
        <w:jc w:val="left"/>
      </w:pPr>
      <w:r>
        <w:rPr>
          <w:rFonts w:ascii="Arial" w:cs="Arial" w:eastAsia="Arial" w:hAnsi="Arial"/>
          <w:color w:val="1A1A1A"/>
          <w:sz w:val="22"/>
          <w:szCs w:val="22"/>
        </w:rPr>
        <w:t xml:space="preserve">The current SQLite schema is a credible relational and memory foundation. The verified-price audit log is architecturally exemplary — an append-only trail with explicit user-confirmed overrides, exactly the pattern the architecture document recommends for all sensitive writes.</w:t>
      </w:r>
    </w:p>
    <w:p>
      <w:pPr>
        <w:pStyle w:val="Heading2"/>
        <w:spacing w:after="120" w:before="280"/>
      </w:pPr>
      <w:r>
        <w:rPr>
          <w:rFonts w:ascii="Arial" w:cs="Arial" w:eastAsia="Arial" w:hAnsi="Arial"/>
          <w:b/>
          <w:bCs/>
          <w:color w:val="1F2A44"/>
          <w:sz w:val="28"/>
          <w:szCs w:val="28"/>
        </w:rPr>
        <w:t xml:space="preserve">What the MVP data model needs</w:t>
      </w:r>
    </w:p>
    <w:p>
      <w:pPr>
        <w:pStyle w:val="ListParagraph"/>
        <w:numPr>
          <w:ilvl w:val="0"/>
          <w:numId w:val="2"/>
        </w:numPr>
        <w:spacing w:after="40" w:before="40" w:line="280"/>
      </w:pPr>
      <w:r>
        <w:rPr>
          <w:rFonts w:ascii="Arial" w:cs="Arial" w:eastAsia="Arial" w:hAnsi="Arial"/>
          <w:color w:val="1A1A1A"/>
          <w:sz w:val="22"/>
          <w:szCs w:val="22"/>
        </w:rPr>
        <w:t xml:space="preserve">An append-only events table that records every operational write with type, actor, venue, timestamp, payload, correlation id, severity, and source. This is the seed of the operational memory graph and the V3 moat.</w:t>
      </w:r>
    </w:p>
    <w:p>
      <w:pPr>
        <w:pStyle w:val="ListParagraph"/>
        <w:numPr>
          <w:ilvl w:val="0"/>
          <w:numId w:val="2"/>
        </w:numPr>
        <w:spacing w:after="40" w:before="40" w:line="280"/>
      </w:pPr>
      <w:r>
        <w:rPr>
          <w:rFonts w:ascii="Arial" w:cs="Arial" w:eastAsia="Arial" w:hAnsi="Arial"/>
          <w:color w:val="1A1A1A"/>
          <w:sz w:val="22"/>
          <w:szCs w:val="22"/>
        </w:rPr>
        <w:t xml:space="preserve">An audit log for sensitive non-price writes — incident resolutions, action completions, user role changes.</w:t>
      </w:r>
    </w:p>
    <w:p>
      <w:pPr>
        <w:pStyle w:val="ListParagraph"/>
        <w:numPr>
          <w:ilvl w:val="0"/>
          <w:numId w:val="2"/>
        </w:numPr>
        <w:spacing w:after="40" w:before="40" w:line="280"/>
      </w:pPr>
      <w:r>
        <w:rPr>
          <w:rFonts w:ascii="Arial" w:cs="Arial" w:eastAsia="Arial" w:hAnsi="Arial"/>
          <w:color w:val="1A1A1A"/>
          <w:sz w:val="22"/>
          <w:szCs w:val="22"/>
        </w:rPr>
        <w:t xml:space="preserve">Indexed created_at columns on actions, incidents, and notes, to keep Shift Brain's days-open computation efficient at modest scale.</w:t>
      </w:r>
    </w:p>
    <w:p>
      <w:pPr>
        <w:pStyle w:val="Heading2"/>
        <w:spacing w:after="120" w:before="280"/>
      </w:pPr>
      <w:r>
        <w:rPr>
          <w:rFonts w:ascii="Arial" w:cs="Arial" w:eastAsia="Arial" w:hAnsi="Arial"/>
          <w:b/>
          <w:bCs/>
          <w:color w:val="1F2A44"/>
          <w:sz w:val="28"/>
          <w:szCs w:val="28"/>
        </w:rPr>
        <w:t xml:space="preserve">What the MVP data model does not need</w:t>
      </w:r>
    </w:p>
    <w:p>
      <w:pPr>
        <w:pStyle w:val="ListParagraph"/>
        <w:numPr>
          <w:ilvl w:val="0"/>
          <w:numId w:val="2"/>
        </w:numPr>
        <w:spacing w:after="40" w:before="40" w:line="280"/>
      </w:pPr>
      <w:r>
        <w:rPr>
          <w:rFonts w:ascii="Arial" w:cs="Arial" w:eastAsia="Arial" w:hAnsi="Arial"/>
          <w:color w:val="1A1A1A"/>
          <w:sz w:val="22"/>
          <w:szCs w:val="22"/>
        </w:rPr>
        <w:t xml:space="preserve">Multi-tenancy. One venue is one database file until a second venue exists.</w:t>
      </w:r>
    </w:p>
    <w:p>
      <w:pPr>
        <w:pStyle w:val="ListParagraph"/>
        <w:numPr>
          <w:ilvl w:val="0"/>
          <w:numId w:val="2"/>
        </w:numPr>
        <w:spacing w:after="40" w:before="40" w:line="280"/>
      </w:pPr>
      <w:r>
        <w:rPr>
          <w:rFonts w:ascii="Arial" w:cs="Arial" w:eastAsia="Arial" w:hAnsi="Arial"/>
          <w:color w:val="1A1A1A"/>
          <w:sz w:val="22"/>
          <w:szCs w:val="22"/>
        </w:rPr>
        <w:t xml:space="preserve">Versioned tables for recipes, menu items, schedules, and SOPs. The architecture document specifies these for V2 and beyond.</w:t>
      </w:r>
    </w:p>
    <w:p>
      <w:pPr>
        <w:pStyle w:val="ListParagraph"/>
        <w:numPr>
          <w:ilvl w:val="0"/>
          <w:numId w:val="2"/>
        </w:numPr>
        <w:spacing w:after="40" w:before="40" w:line="280"/>
      </w:pPr>
      <w:r>
        <w:rPr>
          <w:rFonts w:ascii="Arial" w:cs="Arial" w:eastAsia="Arial" w:hAnsi="Arial"/>
          <w:color w:val="1A1A1A"/>
          <w:sz w:val="22"/>
          <w:szCs w:val="22"/>
        </w:rPr>
        <w:t xml:space="preserve">A separate memory layer beyond business_memory. The existing table is sufficient until cross-shift retrieval becomes a real product surface.</w:t>
      </w:r>
    </w:p>
    <w:p>
      <w:pPr>
        <w:pBdr>
          <w:left w:val="single" w:color="B58A40" w:sz="18" w:space="8"/>
        </w:pBdr>
        <w:spacing w:after="120" w:before="120" w:line="300"/>
        <w:ind w:left="200"/>
      </w:pPr>
      <w:r>
        <w:rPr>
          <w:rFonts w:ascii="Arial" w:cs="Arial" w:eastAsia="Arial" w:hAnsi="Arial"/>
          <w:i/>
          <w:iCs/>
          <w:color w:val="1A1A1A"/>
          <w:sz w:val="22"/>
          <w:szCs w:val="22"/>
        </w:rPr>
        <w:t xml:space="preserve">Storage rule for the next phase: any value rendered to the user must be derived from a user keystroke, an API response, or a deterministic function of those two. No literal constants may render at runtime through src/data/. This is the hard rule replacing the implicit one that allowed fake staff and fake profit leaks to ship.</w:t>
      </w:r>
    </w:p>
    <w:p>
      <w:r>
        <w:br w:type="page"/>
      </w:r>
    </w:p>
    <w:p>
      <w:pPr>
        <w:pStyle w:val="Heading1"/>
        <w:spacing w:after="160" w:before="360"/>
      </w:pPr>
      <w:r>
        <w:rPr>
          <w:rFonts w:ascii="Arial" w:cs="Arial" w:eastAsia="Arial" w:hAnsi="Arial"/>
          <w:b/>
          <w:bCs/>
          <w:color w:val="1F2A44"/>
          <w:sz w:val="36"/>
          <w:szCs w:val="36"/>
        </w:rPr>
        <w:t xml:space="preserve">8. UX Implications</w:t>
      </w:r>
    </w:p>
    <w:p>
      <w:pPr>
        <w:pStyle w:val="Heading2"/>
        <w:spacing w:after="120" w:before="280"/>
      </w:pPr>
      <w:r>
        <w:rPr>
          <w:rFonts w:ascii="Arial" w:cs="Arial" w:eastAsia="Arial" w:hAnsi="Arial"/>
          <w:b/>
          <w:bCs/>
          <w:color w:val="1F2A44"/>
          <w:sz w:val="28"/>
          <w:szCs w:val="28"/>
        </w:rPr>
        <w:t xml:space="preserve">Mobile-first is asserted but not enforced</w:t>
      </w:r>
    </w:p>
    <w:p>
      <w:pPr>
        <w:spacing w:after="80" w:before="60" w:line="300"/>
        <w:jc w:val="left"/>
      </w:pPr>
      <w:r>
        <w:rPr>
          <w:rFonts w:ascii="Arial" w:cs="Arial" w:eastAsia="Arial" w:hAnsi="Arial"/>
          <w:color w:val="1A1A1A"/>
          <w:sz w:val="22"/>
          <w:szCs w:val="22"/>
        </w:rPr>
        <w:t xml:space="preserve">The strategy document requires one-tap incident capture, one-screen shift brief, and minimal typing. Managers will use HESTIA on phones during service, not on laptops. PreShiftBriefing today is a two-column layout designed for desktop. Before MVP, the layout must collapse cleanly to single-column on phones, with the intelligence sidebar becoming an accordion below 768 pixels.</w:t>
      </w:r>
    </w:p>
    <w:p>
      <w:pPr>
        <w:pStyle w:val="Heading2"/>
        <w:spacing w:after="120" w:before="280"/>
      </w:pPr>
      <w:r>
        <w:rPr>
          <w:rFonts w:ascii="Arial" w:cs="Arial" w:eastAsia="Arial" w:hAnsi="Arial"/>
          <w:b/>
          <w:bCs/>
          <w:color w:val="1F2A44"/>
          <w:sz w:val="28"/>
          <w:szCs w:val="28"/>
        </w:rPr>
        <w:t xml:space="preserve">Exception-based, not dashboard-based</w:t>
      </w:r>
    </w:p>
    <w:p>
      <w:pPr>
        <w:spacing w:after="80" w:before="60" w:line="300"/>
        <w:jc w:val="left"/>
      </w:pPr>
      <w:r>
        <w:rPr>
          <w:rFonts w:ascii="Arial" w:cs="Arial" w:eastAsia="Arial" w:hAnsi="Arial"/>
          <w:color w:val="1A1A1A"/>
          <w:sz w:val="22"/>
          <w:szCs w:val="22"/>
        </w:rPr>
        <w:t xml:space="preserve">OperationalPulse should render only the cards where Shift Brain has a non-empty signal. If risk signals are empty, the empty card should not appear; only the operational status should show. The user should see what changed, what matters, and what needs action now — not what could matter if there were data.</w:t>
      </w:r>
    </w:p>
    <w:p>
      <w:pPr>
        <w:pStyle w:val="Heading2"/>
        <w:spacing w:after="120" w:before="280"/>
      </w:pPr>
      <w:r>
        <w:rPr>
          <w:rFonts w:ascii="Arial" w:cs="Arial" w:eastAsia="Arial" w:hAnsi="Arial"/>
          <w:b/>
          <w:bCs/>
          <w:color w:val="1F2A44"/>
          <w:sz w:val="28"/>
          <w:szCs w:val="28"/>
        </w:rPr>
        <w:t xml:space="preserve">The 2 AM design test</w:t>
      </w:r>
    </w:p>
    <w:p>
      <w:pPr>
        <w:pBdr>
          <w:left w:val="single" w:color="1F2A44" w:sz="18" w:space="8"/>
        </w:pBdr>
        <w:spacing w:after="120" w:before="120" w:line="300"/>
        <w:ind w:left="200"/>
      </w:pPr>
      <w:r>
        <w:rPr>
          <w:rFonts w:ascii="Arial" w:cs="Arial" w:eastAsia="Arial" w:hAnsi="Arial"/>
          <w:i/>
          <w:iCs/>
          <w:color w:val="1A1A1A"/>
          <w:sz w:val="22"/>
          <w:szCs w:val="22"/>
        </w:rPr>
        <w:t xml:space="preserve">Toam — you are a bartender. The strategy document says: at 2 AM, the app should not feel clever; it should feel reliable. Every owner-facing page that survives the MVP must pass a 2 AM test. Would a tired manager use this with one hand? Most owner pages, in their current form, would not.</w:t>
      </w:r>
    </w:p>
    <w:p>
      <w:pPr>
        <w:pStyle w:val="Heading2"/>
        <w:spacing w:after="120" w:before="280"/>
      </w:pPr>
      <w:r>
        <w:rPr>
          <w:rFonts w:ascii="Arial" w:cs="Arial" w:eastAsia="Arial" w:hAnsi="Arial"/>
          <w:b/>
          <w:bCs/>
          <w:color w:val="1F2A44"/>
          <w:sz w:val="28"/>
          <w:szCs w:val="28"/>
        </w:rPr>
        <w:t xml:space="preserve">Language</w:t>
      </w:r>
    </w:p>
    <w:p>
      <w:pPr>
        <w:spacing w:after="80" w:before="60" w:line="300"/>
        <w:jc w:val="left"/>
      </w:pPr>
      <w:r>
        <w:rPr>
          <w:rFonts w:ascii="Arial" w:cs="Arial" w:eastAsia="Arial" w:hAnsi="Arial"/>
          <w:color w:val="1A1A1A"/>
          <w:sz w:val="22"/>
          <w:szCs w:val="22"/>
        </w:rPr>
        <w:t xml:space="preserve">All HESTIA UI text is in English. Where the codebase still uses transactional language — customers, checkout, view report — it should move toward hospitality language: guests, send to next shift, tonight. This is a polish pass, not blocking for MVP.</w:t>
      </w:r>
    </w:p>
    <w:p>
      <w:r>
        <w:br w:type="page"/>
      </w:r>
    </w:p>
    <w:p>
      <w:pPr>
        <w:pStyle w:val="Heading1"/>
        <w:spacing w:after="160" w:before="360"/>
      </w:pPr>
      <w:r>
        <w:rPr>
          <w:rFonts w:ascii="Arial" w:cs="Arial" w:eastAsia="Arial" w:hAnsi="Arial"/>
          <w:b/>
          <w:bCs/>
          <w:color w:val="1F2A44"/>
          <w:sz w:val="36"/>
          <w:szCs w:val="36"/>
        </w:rPr>
        <w:t xml:space="preserve">9. AI Intelligence Layer</w:t>
      </w:r>
    </w:p>
    <w:p>
      <w:pPr>
        <w:pStyle w:val="Heading2"/>
        <w:spacing w:after="120" w:before="280"/>
      </w:pPr>
      <w:r>
        <w:rPr>
          <w:rFonts w:ascii="Arial" w:cs="Arial" w:eastAsia="Arial" w:hAnsi="Arial"/>
          <w:b/>
          <w:bCs/>
          <w:color w:val="1F2A44"/>
          <w:sz w:val="28"/>
          <w:szCs w:val="28"/>
        </w:rPr>
        <w:t xml:space="preserve">Today</w:t>
      </w:r>
    </w:p>
    <w:p>
      <w:pPr>
        <w:spacing w:after="80" w:before="60" w:line="300"/>
        <w:jc w:val="left"/>
      </w:pPr>
      <w:r>
        <w:rPr>
          <w:rFonts w:ascii="Arial" w:cs="Arial" w:eastAsia="Arial" w:hAnsi="Arial"/>
          <w:color w:val="1A1A1A"/>
          <w:sz w:val="22"/>
          <w:szCs w:val="22"/>
        </w:rPr>
        <w:t xml:space="preserve">AI in HESTIA is concentrated in two services: the cocktail proposal and consultation agent, and the owner insight service. Both call Gemini through a server-side proxy. Everything else that feels intelligent is deterministic — including all of Shift Brain. This is the right starting position. The architecture document is clear that deterministic systems should not rely on AI for permission checks, severity thresholds, escalation timers, or duplicate detection.</w:t>
      </w:r>
    </w:p>
    <w:p>
      <w:pPr>
        <w:pStyle w:val="Heading2"/>
        <w:spacing w:after="120" w:before="280"/>
      </w:pPr>
      <w:r>
        <w:rPr>
          <w:rFonts w:ascii="Arial" w:cs="Arial" w:eastAsia="Arial" w:hAnsi="Arial"/>
          <w:b/>
          <w:bCs/>
          <w:color w:val="1F2A44"/>
          <w:sz w:val="28"/>
          <w:szCs w:val="28"/>
        </w:rPr>
        <w:t xml:space="preserve">What the next phase should add</w:t>
      </w:r>
    </w:p>
    <w:p>
      <w:pPr>
        <w:spacing w:after="80" w:before="60" w:line="300"/>
        <w:jc w:val="left"/>
      </w:pPr>
      <w:r>
        <w:rPr>
          <w:rFonts w:ascii="Arial" w:cs="Arial" w:eastAsia="Arial" w:hAnsi="Arial"/>
          <w:color w:val="1A1A1A"/>
          <w:sz w:val="22"/>
          <w:szCs w:val="22"/>
        </w:rPr>
        <w:t xml:space="preserve">The AI layer's job is narrative generation and pattern explanation, not decision-making. Three additions are in scope:</w:t>
      </w:r>
    </w:p>
    <w:p>
      <w:pPr>
        <w:pStyle w:val="ListParagraph"/>
        <w:numPr>
          <w:ilvl w:val="0"/>
          <w:numId w:val="3"/>
        </w:numPr>
        <w:spacing w:after="40" w:before="40" w:line="280"/>
      </w:pPr>
      <w:r>
        <w:rPr>
          <w:rFonts w:ascii="Arial" w:cs="Arial" w:eastAsia="Arial" w:hAnsi="Arial"/>
          <w:color w:val="1A1A1A"/>
          <w:sz w:val="22"/>
          <w:szCs w:val="22"/>
        </w:rPr>
        <w:t xml:space="preserve">AI-assisted shift summary that takes the deterministic snapshot and asks Gemini to phrase it in hospitality-native language. The manager edits before archive. Both deterministic and AI versions are stored side by side.</w:t>
      </w:r>
    </w:p>
    <w:p>
      <w:pPr>
        <w:pStyle w:val="ListParagraph"/>
        <w:numPr>
          <w:ilvl w:val="0"/>
          <w:numId w:val="3"/>
        </w:numPr>
        <w:spacing w:after="40" w:before="40" w:line="280"/>
      </w:pPr>
      <w:r>
        <w:rPr>
          <w:rFonts w:ascii="Arial" w:cs="Arial" w:eastAsia="Arial" w:hAnsi="Arial"/>
          <w:color w:val="1A1A1A"/>
          <w:sz w:val="22"/>
          <w:szCs w:val="22"/>
        </w:rPr>
        <w:t xml:space="preserve">AI-assisted incident classification on one-tap freeform capture, returning a suggested issue type and severity with confidence. The manager confirms or edits before save.</w:t>
      </w:r>
    </w:p>
    <w:p>
      <w:pPr>
        <w:pStyle w:val="ListParagraph"/>
        <w:numPr>
          <w:ilvl w:val="0"/>
          <w:numId w:val="3"/>
        </w:numPr>
        <w:spacing w:after="40" w:before="40" w:line="280"/>
      </w:pPr>
      <w:r>
        <w:rPr>
          <w:rFonts w:ascii="Arial" w:cs="Arial" w:eastAsia="Arial" w:hAnsi="Arial"/>
          <w:color w:val="1A1A1A"/>
          <w:sz w:val="22"/>
          <w:szCs w:val="22"/>
        </w:rPr>
        <w:t xml:space="preserve">AI-assisted phrasing of the recommended focus statements in the Shift Brain output, with the deterministic strings preserved as fallback.</w:t>
      </w:r>
    </w:p>
    <w:p>
      <w:pPr>
        <w:pStyle w:val="Heading2"/>
        <w:spacing w:after="120" w:before="280"/>
      </w:pPr>
      <w:r>
        <w:rPr>
          <w:rFonts w:ascii="Arial" w:cs="Arial" w:eastAsia="Arial" w:hAnsi="Arial"/>
          <w:b/>
          <w:bCs/>
          <w:color w:val="1F2A44"/>
          <w:sz w:val="28"/>
          <w:szCs w:val="28"/>
        </w:rPr>
        <w:t xml:space="preserve">What the AI layer must not do</w:t>
      </w:r>
    </w:p>
    <w:p>
      <w:pPr>
        <w:pStyle w:val="ListParagraph"/>
        <w:numPr>
          <w:ilvl w:val="0"/>
          <w:numId w:val="2"/>
        </w:numPr>
        <w:spacing w:after="40" w:before="40" w:line="280"/>
      </w:pPr>
      <w:r>
        <w:rPr>
          <w:rFonts w:ascii="Arial" w:cs="Arial" w:eastAsia="Arial" w:hAnsi="Arial"/>
          <w:color w:val="1A1A1A"/>
          <w:sz w:val="22"/>
          <w:szCs w:val="22"/>
        </w:rPr>
        <w:t xml:space="preserve">Decide severity unilaterally — the manager confirms.</w:t>
      </w:r>
    </w:p>
    <w:p>
      <w:pPr>
        <w:pStyle w:val="ListParagraph"/>
        <w:numPr>
          <w:ilvl w:val="0"/>
          <w:numId w:val="2"/>
        </w:numPr>
        <w:spacing w:after="40" w:before="40" w:line="280"/>
      </w:pPr>
      <w:r>
        <w:rPr>
          <w:rFonts w:ascii="Arial" w:cs="Arial" w:eastAsia="Arial" w:hAnsi="Arial"/>
          <w:color w:val="1A1A1A"/>
          <w:sz w:val="22"/>
          <w:szCs w:val="22"/>
        </w:rPr>
        <w:t xml:space="preserve">Mutate critical records — financial, staffing, guest — without explicit approval.</w:t>
      </w:r>
    </w:p>
    <w:p>
      <w:pPr>
        <w:pStyle w:val="ListParagraph"/>
        <w:numPr>
          <w:ilvl w:val="0"/>
          <w:numId w:val="2"/>
        </w:numPr>
        <w:spacing w:after="40" w:before="40" w:line="280"/>
      </w:pPr>
      <w:r>
        <w:rPr>
          <w:rFonts w:ascii="Arial" w:cs="Arial" w:eastAsia="Arial" w:hAnsi="Arial"/>
          <w:color w:val="1A1A1A"/>
          <w:sz w:val="22"/>
          <w:szCs w:val="22"/>
        </w:rPr>
        <w:t xml:space="preserve">Generate guest-facing copy without manager review.</w:t>
      </w:r>
    </w:p>
    <w:p>
      <w:pPr>
        <w:pStyle w:val="ListParagraph"/>
        <w:numPr>
          <w:ilvl w:val="0"/>
          <w:numId w:val="2"/>
        </w:numPr>
        <w:spacing w:after="40" w:before="40" w:line="280"/>
      </w:pPr>
      <w:r>
        <w:rPr>
          <w:rFonts w:ascii="Arial" w:cs="Arial" w:eastAsia="Arial" w:hAnsi="Arial"/>
          <w:color w:val="1A1A1A"/>
          <w:sz w:val="22"/>
          <w:szCs w:val="22"/>
        </w:rPr>
        <w:t xml:space="preserve">Replace the deterministic Shift Brain — it augments, never replaces.</w:t>
      </w:r>
    </w:p>
    <w:p>
      <w:pPr>
        <w:pBdr>
          <w:left w:val="single" w:color="B58A40" w:sz="18" w:space="8"/>
        </w:pBdr>
        <w:spacing w:after="120" w:before="120" w:line="300"/>
        <w:ind w:left="200"/>
      </w:pPr>
      <w:r>
        <w:rPr>
          <w:rFonts w:ascii="Arial" w:cs="Arial" w:eastAsia="Arial" w:hAnsi="Arial"/>
          <w:i/>
          <w:iCs/>
          <w:color w:val="1A1A1A"/>
          <w:sz w:val="22"/>
          <w:szCs w:val="22"/>
        </w:rPr>
        <w:t xml:space="preserve">The architecture document's trust model is the rule: users trust AI when it shows its source events, when its output is editable, when it explains the action, and when it improves over time. Every AI surface added must satisfy all four criteria, or it does not ship.</w:t>
      </w:r>
    </w:p>
    <w:p>
      <w:r>
        <w:br w:type="page"/>
      </w:r>
    </w:p>
    <w:p>
      <w:pPr>
        <w:pStyle w:val="Heading1"/>
        <w:spacing w:after="160" w:before="360"/>
      </w:pPr>
      <w:r>
        <w:rPr>
          <w:rFonts w:ascii="Arial" w:cs="Arial" w:eastAsia="Arial" w:hAnsi="Arial"/>
          <w:b/>
          <w:bCs/>
          <w:color w:val="1F2A44"/>
          <w:sz w:val="36"/>
          <w:szCs w:val="36"/>
        </w:rPr>
        <w:t xml:space="preserve">10. Claude Code Implementation Plan</w:t>
      </w:r>
    </w:p>
    <w:p>
      <w:pPr>
        <w:spacing w:after="80" w:before="60" w:line="300"/>
        <w:jc w:val="left"/>
      </w:pPr>
      <w:r>
        <w:rPr>
          <w:rFonts w:ascii="Arial" w:cs="Arial" w:eastAsia="Arial" w:hAnsi="Arial"/>
          <w:color w:val="1A1A1A"/>
          <w:sz w:val="22"/>
          <w:szCs w:val="22"/>
        </w:rPr>
        <w:t xml:space="preserve">Five paste-ready prompts, one per phase, with per-file specifications and acceptance criteria, are written in the companion document HESTIA_AUDIT_AND_NEXT_PHASE.md in /docs/strategy/. The executive summary of each prompt follows here. Each prompt is self-contained, references CLAUDE.md, and includes the explicit acceptance criteria the agent must satisfy before completing the phase.</w:t>
      </w:r>
    </w:p>
    <w:p>
      <w:pPr>
        <w:pStyle w:val="Heading3"/>
        <w:spacing w:after="80" w:before="200"/>
      </w:pPr>
      <w:r>
        <w:rPr>
          <w:rFonts w:ascii="Arial" w:cs="Arial" w:eastAsia="Arial" w:hAnsi="Arial"/>
          <w:b/>
          <w:bCs/>
          <w:color w:val="1A1A1A"/>
          <w:sz w:val="24"/>
          <w:szCs w:val="24"/>
        </w:rPr>
        <w:t xml:space="preserve">Phase 1 prompt — Demo Trust</w:t>
      </w:r>
    </w:p>
    <w:p>
      <w:pPr>
        <w:spacing w:after="80" w:before="60" w:line="300"/>
        <w:jc w:val="left"/>
      </w:pPr>
      <w:r>
        <w:rPr>
          <w:rFonts w:ascii="Arial" w:cs="Arial" w:eastAsia="Arial" w:hAnsi="Arial"/>
          <w:color w:val="1A1A1A"/>
          <w:sz w:val="22"/>
          <w:szCs w:val="22"/>
        </w:rPr>
        <w:t xml:space="preserve">Removes the fake-data arrays from src/data/staff.js, src/data/businessMemory.js, and src/data/operations.js. Creates src/config/featureFlags.js. Gates the five premature owner pages. Promotes OperationalPulse to default owner landing. Strips ACCESS_CODES from server.js and routes login through bcrypt password verification. Replaces the role HTTP header with a session token in all six call sites.</w:t>
      </w:r>
    </w:p>
    <w:p>
      <w:pPr>
        <w:pStyle w:val="Heading3"/>
        <w:spacing w:after="80" w:before="200"/>
      </w:pPr>
      <w:r>
        <w:rPr>
          <w:rFonts w:ascii="Arial" w:cs="Arial" w:eastAsia="Arial" w:hAnsi="Arial"/>
          <w:b/>
          <w:bCs/>
          <w:color w:val="1A1A1A"/>
          <w:sz w:val="24"/>
          <w:szCs w:val="24"/>
        </w:rPr>
        <w:t xml:space="preserve">Phase 2 prompt — Manager Loop</w:t>
      </w:r>
    </w:p>
    <w:p>
      <w:pPr>
        <w:spacing w:after="80" w:before="60" w:line="300"/>
        <w:jc w:val="left"/>
      </w:pPr>
      <w:r>
        <w:rPr>
          <w:rFonts w:ascii="Arial" w:cs="Arial" w:eastAsia="Arial" w:hAnsi="Arial"/>
          <w:color w:val="1A1A1A"/>
          <w:sz w:val="22"/>
          <w:szCs w:val="22"/>
        </w:rPr>
        <w:t xml:space="preserve">Routes action, incident, note, and shift-report writes through the API. Adds the events append-only table. Builds the full End-of-Shift Review surface that consumes the Shift Brain snapshot and writes back to shift_reports with carry-forward selections. Adds buildNextShiftInheritance to shiftBrainService.js — pure, deterministic, called by the next pre-shift briefing's hook. Renders the carry-forward callouts at the top of the next briefing.</w:t>
      </w:r>
    </w:p>
    <w:p>
      <w:pPr>
        <w:pStyle w:val="Heading3"/>
        <w:spacing w:after="80" w:before="200"/>
      </w:pPr>
      <w:r>
        <w:rPr>
          <w:rFonts w:ascii="Arial" w:cs="Arial" w:eastAsia="Arial" w:hAnsi="Arial"/>
          <w:b/>
          <w:bCs/>
          <w:color w:val="1A1A1A"/>
          <w:sz w:val="24"/>
          <w:szCs w:val="24"/>
        </w:rPr>
        <w:t xml:space="preserve">Phase 3 prompt — Brand Migration</w:t>
      </w:r>
    </w:p>
    <w:p>
      <w:pPr>
        <w:spacing w:after="80" w:before="60" w:line="300"/>
        <w:jc w:val="left"/>
      </w:pPr>
      <w:r>
        <w:rPr>
          <w:rFonts w:ascii="Arial" w:cs="Arial" w:eastAsia="Arial" w:hAnsi="Arial"/>
          <w:color w:val="1A1A1A"/>
          <w:sz w:val="22"/>
          <w:szCs w:val="22"/>
        </w:rPr>
        <w:t xml:space="preserve">Migrates hospia.* localStorage keys to hestia.* with an idempotent migration function called once at app boot. Renames the role HTTP header. Renames the SQLite file via a single atomic server-boot rename. Renames the package and folder. Updates the two HOSPIA-prefixed documents and CLAUDE.md path references.</w:t>
      </w:r>
    </w:p>
    <w:p>
      <w:pPr>
        <w:pStyle w:val="Heading3"/>
        <w:spacing w:after="80" w:before="200"/>
      </w:pPr>
      <w:r>
        <w:rPr>
          <w:rFonts w:ascii="Arial" w:cs="Arial" w:eastAsia="Arial" w:hAnsi="Arial"/>
          <w:b/>
          <w:bCs/>
          <w:color w:val="1A1A1A"/>
          <w:sz w:val="24"/>
          <w:szCs w:val="24"/>
        </w:rPr>
        <w:t xml:space="preserve">Phase 4 prompt — AI-Assisted Shift Intelligence</w:t>
      </w:r>
    </w:p>
    <w:p>
      <w:pPr>
        <w:spacing w:after="80" w:before="60" w:line="300"/>
        <w:jc w:val="left"/>
      </w:pPr>
      <w:r>
        <w:rPr>
          <w:rFonts w:ascii="Arial" w:cs="Arial" w:eastAsia="Arial" w:hAnsi="Arial"/>
          <w:color w:val="1A1A1A"/>
          <w:sz w:val="22"/>
          <w:szCs w:val="22"/>
        </w:rPr>
        <w:t xml:space="preserve">Creates src/prompts/shiftBrainPrompts.js. Adds summarizeShift and classifyIncident functions to shiftBrainService.js — both call Gemini through the proxy, both return null on failure, both store model version and confidence with output. Expands End-of-Shift Review to show deterministic summary first, then editable AI narrative. Extends shift_reports with deterministic_summary, narrative_summary, and ai_metadata columns. Guarantees the deterministic Shift Brain output remains byte-identical for the same inputs.</w:t>
      </w:r>
    </w:p>
    <w:p>
      <w:pPr>
        <w:pStyle w:val="Heading3"/>
        <w:spacing w:after="80" w:before="200"/>
      </w:pPr>
      <w:r>
        <w:rPr>
          <w:rFonts w:ascii="Arial" w:cs="Arial" w:eastAsia="Arial" w:hAnsi="Arial"/>
          <w:b/>
          <w:bCs/>
          <w:color w:val="1A1A1A"/>
          <w:sz w:val="24"/>
          <w:szCs w:val="24"/>
        </w:rPr>
        <w:t xml:space="preserve">Phase 5 prompt — Owner Weekly Brief</w:t>
      </w:r>
    </w:p>
    <w:p>
      <w:pPr>
        <w:spacing w:after="80" w:before="60" w:line="300"/>
        <w:jc w:val="left"/>
      </w:pPr>
      <w:r>
        <w:rPr>
          <w:rFonts w:ascii="Arial" w:cs="Arial" w:eastAsia="Arial" w:hAnsi="Arial"/>
          <w:color w:val="1A1A1A"/>
          <w:sz w:val="22"/>
          <w:szCs w:val="22"/>
        </w:rPr>
        <w:t xml:space="preserve">Adds buildWeeklyDigest to ownerInsightService.js, deterministic and pure. Adds optional narrateWeeklyDigest for AI phrasing under the same trust rules as Phase 4. Surfaces inside OperationalPulse as a collapsible card with explicit empty-state messaging when fewer than seven archived reports exist.</w:t>
      </w:r>
    </w:p>
    <w:p>
      <w:r>
        <w:br w:type="page"/>
      </w:r>
    </w:p>
    <w:p>
      <w:pPr>
        <w:pStyle w:val="Heading1"/>
        <w:spacing w:after="160" w:before="360"/>
      </w:pPr>
      <w:r>
        <w:rPr>
          <w:rFonts w:ascii="Arial" w:cs="Arial" w:eastAsia="Arial" w:hAnsi="Arial"/>
          <w:b/>
          <w:bCs/>
          <w:color w:val="1F2A44"/>
          <w:sz w:val="36"/>
          <w:szCs w:val="36"/>
        </w:rPr>
        <w:t xml:space="preserve">11. Cross-Phase Acceptance Criteria</w:t>
      </w:r>
    </w:p>
    <w:p>
      <w:pPr>
        <w:spacing w:after="80" w:before="60" w:line="300"/>
        <w:jc w:val="left"/>
      </w:pPr>
      <w:r>
        <w:rPr>
          <w:rFonts w:ascii="Arial" w:cs="Arial" w:eastAsia="Arial" w:hAnsi="Arial"/>
          <w:color w:val="1A1A1A"/>
          <w:sz w:val="22"/>
          <w:szCs w:val="22"/>
        </w:rPr>
        <w:t xml:space="preserve">A pre-seed investor demonstration on real venue data is ready when all seven of the following statements are true.</w:t>
      </w:r>
    </w:p>
    <w:p>
      <w:pPr>
        <w:pStyle w:val="ListParagraph"/>
        <w:numPr>
          <w:ilvl w:val="0"/>
          <w:numId w:val="3"/>
        </w:numPr>
        <w:spacing w:after="40" w:before="40" w:line="280"/>
      </w:pPr>
      <w:r>
        <w:rPr>
          <w:rFonts w:ascii="Arial" w:cs="Arial" w:eastAsia="Arial" w:hAnsi="Arial"/>
          <w:color w:val="1A1A1A"/>
          <w:sz w:val="22"/>
          <w:szCs w:val="22"/>
        </w:rPr>
        <w:t xml:space="preserve">No hardcoded operational content exists in the bundle. Searching the source for the fabricated staff names, the literal monthly profit-leak figures, or the hardcoded cover count returns no matches outside comments.</w:t>
      </w:r>
    </w:p>
    <w:p>
      <w:pPr>
        <w:pStyle w:val="ListParagraph"/>
        <w:numPr>
          <w:ilvl w:val="0"/>
          <w:numId w:val="3"/>
        </w:numPr>
        <w:spacing w:after="40" w:before="40" w:line="280"/>
      </w:pPr>
      <w:r>
        <w:rPr>
          <w:rFonts w:ascii="Arial" w:cs="Arial" w:eastAsia="Arial" w:hAnsi="Arial"/>
          <w:color w:val="1A1A1A"/>
          <w:sz w:val="22"/>
          <w:szCs w:val="22"/>
        </w:rPr>
        <w:t xml:space="preserve">The owner home is OperationalPulse. All five gated owner pages are unreachable through navigation in the MVP build.</w:t>
      </w:r>
    </w:p>
    <w:p>
      <w:pPr>
        <w:pStyle w:val="ListParagraph"/>
        <w:numPr>
          <w:ilvl w:val="0"/>
          <w:numId w:val="3"/>
        </w:numPr>
        <w:spacing w:after="40" w:before="40" w:line="280"/>
      </w:pPr>
      <w:r>
        <w:rPr>
          <w:rFonts w:ascii="Arial" w:cs="Arial" w:eastAsia="Arial" w:hAnsi="Arial"/>
          <w:color w:val="1A1A1A"/>
          <w:sz w:val="22"/>
          <w:szCs w:val="22"/>
        </w:rPr>
        <w:t xml:space="preserve">Login is real. The demo access codes return 401. A venue-created user with a bcrypt-stored password returns 200 and a session token.</w:t>
      </w:r>
    </w:p>
    <w:p>
      <w:pPr>
        <w:pStyle w:val="ListParagraph"/>
        <w:numPr>
          <w:ilvl w:val="0"/>
          <w:numId w:val="3"/>
        </w:numPr>
        <w:spacing w:after="40" w:before="40" w:line="280"/>
      </w:pPr>
      <w:r>
        <w:rPr>
          <w:rFonts w:ascii="Arial" w:cs="Arial" w:eastAsia="Arial" w:hAnsi="Arial"/>
          <w:color w:val="1A1A1A"/>
          <w:sz w:val="22"/>
          <w:szCs w:val="22"/>
        </w:rPr>
        <w:t xml:space="preserve">The daily loop closes through the API. A manager can capture an incident on one phone, close the shift, and see the carry-forward on a different phone without any localStorage sharing.</w:t>
      </w:r>
    </w:p>
    <w:p>
      <w:pPr>
        <w:pStyle w:val="ListParagraph"/>
        <w:numPr>
          <w:ilvl w:val="0"/>
          <w:numId w:val="3"/>
        </w:numPr>
        <w:spacing w:after="40" w:before="40" w:line="280"/>
      </w:pPr>
      <w:r>
        <w:rPr>
          <w:rFonts w:ascii="Arial" w:cs="Arial" w:eastAsia="Arial" w:hAnsi="Arial"/>
          <w:color w:val="1A1A1A"/>
          <w:sz w:val="22"/>
          <w:szCs w:val="22"/>
        </w:rPr>
        <w:t xml:space="preserve">The Shift Brain output is byte-identical to its deterministic specification after the Phase 4 AI augmentation. The trust model is preserved.</w:t>
      </w:r>
    </w:p>
    <w:p>
      <w:pPr>
        <w:pStyle w:val="ListParagraph"/>
        <w:numPr>
          <w:ilvl w:val="0"/>
          <w:numId w:val="3"/>
        </w:numPr>
        <w:spacing w:after="40" w:before="40" w:line="280"/>
      </w:pPr>
      <w:r>
        <w:rPr>
          <w:rFonts w:ascii="Arial" w:cs="Arial" w:eastAsia="Arial" w:hAnsi="Arial"/>
          <w:color w:val="1A1A1A"/>
          <w:sz w:val="22"/>
          <w:szCs w:val="22"/>
        </w:rPr>
        <w:t xml:space="preserve">The HOSPIA-to-HESTIA identifier migration is complete. Every runtime identifier reads HESTIA. The user's existing localStorage data was preserved across the rename.</w:t>
      </w:r>
    </w:p>
    <w:p>
      <w:pPr>
        <w:pStyle w:val="ListParagraph"/>
        <w:numPr>
          <w:ilvl w:val="0"/>
          <w:numId w:val="3"/>
        </w:numPr>
        <w:spacing w:after="40" w:before="40" w:line="280"/>
      </w:pPr>
      <w:r>
        <w:rPr>
          <w:rFonts w:ascii="Arial" w:cs="Arial" w:eastAsia="Arial" w:hAnsi="Arial"/>
          <w:color w:val="1A1A1A"/>
          <w:sz w:val="22"/>
          <w:szCs w:val="22"/>
        </w:rPr>
        <w:t xml:space="preserve">The weekly digest only renders when seven archived shifts exist and never invents comparisons.</w:t>
      </w:r>
    </w:p>
    <w:p>
      <w:pPr>
        <w:pBdr>
          <w:left w:val="single" w:color="1F2A44" w:sz="18" w:space="8"/>
        </w:pBdr>
        <w:spacing w:after="120" w:before="120" w:line="300"/>
        <w:ind w:left="200"/>
      </w:pPr>
      <w:r>
        <w:rPr>
          <w:rFonts w:ascii="Arial" w:cs="Arial" w:eastAsia="Arial" w:hAnsi="Arial"/>
          <w:i/>
          <w:iCs/>
          <w:color w:val="1A1A1A"/>
          <w:sz w:val="22"/>
          <w:szCs w:val="22"/>
        </w:rPr>
        <w:t xml:space="preserve">When those seven conditions hold, the founder narrative — operational intelligence layer for premium bar-led venues, demonstrated live on one real venue — becomes defensible end-to-end. Until then, the product is one click away from a credibility loss on fabricated data.</w:t>
      </w:r>
    </w:p>
    <w:p>
      <w:r>
        <w:br w:type="page"/>
      </w:r>
    </w:p>
    <w:p>
      <w:pPr>
        <w:pStyle w:val="Heading1"/>
        <w:spacing w:after="160" w:before="360"/>
      </w:pPr>
      <w:r>
        <w:rPr>
          <w:rFonts w:ascii="Arial" w:cs="Arial" w:eastAsia="Arial" w:hAnsi="Arial"/>
          <w:b/>
          <w:bCs/>
          <w:color w:val="1F2A44"/>
          <w:sz w:val="36"/>
          <w:szCs w:val="36"/>
        </w:rPr>
        <w:t xml:space="preserve">12. What This Audit Refuses to Recommend</w:t>
      </w:r>
    </w:p>
    <w:p>
      <w:pPr>
        <w:spacing w:after="80" w:before="60" w:line="300"/>
        <w:jc w:val="left"/>
      </w:pPr>
      <w:r>
        <w:rPr>
          <w:rFonts w:ascii="Arial" w:cs="Arial" w:eastAsia="Arial" w:hAnsi="Arial"/>
          <w:color w:val="1A1A1A"/>
          <w:sz w:val="22"/>
          <w:szCs w:val="22"/>
        </w:rPr>
        <w:t xml:space="preserve">Per the founder's brief, this audit must not invent fake data, must not recommend vanity dashboards, and must not suggest features that do not create operational value. The list below names the recommendations explicitly withheld.</w:t>
      </w:r>
    </w:p>
    <w:p>
      <w:pPr>
        <w:pStyle w:val="ListParagraph"/>
        <w:numPr>
          <w:ilvl w:val="0"/>
          <w:numId w:val="2"/>
        </w:numPr>
        <w:spacing w:after="40" w:before="40" w:line="280"/>
      </w:pPr>
      <w:r>
        <w:rPr>
          <w:rFonts w:ascii="Arial" w:cs="Arial" w:eastAsia="Arial" w:hAnsi="Arial"/>
          <w:color w:val="1A1A1A"/>
          <w:sz w:val="22"/>
          <w:szCs w:val="22"/>
        </w:rPr>
        <w:t xml:space="preserve">A real-time analytics dashboard for the owner. The strategy document calls this a failure mode. One operational pulse page is enough until retention is proven.</w:t>
      </w:r>
    </w:p>
    <w:p>
      <w:pPr>
        <w:pStyle w:val="ListParagraph"/>
        <w:numPr>
          <w:ilvl w:val="0"/>
          <w:numId w:val="2"/>
        </w:numPr>
        <w:spacing w:after="40" w:before="40" w:line="280"/>
      </w:pPr>
      <w:r>
        <w:rPr>
          <w:rFonts w:ascii="Arial" w:cs="Arial" w:eastAsia="Arial" w:hAnsi="Arial"/>
          <w:color w:val="1A1A1A"/>
          <w:sz w:val="22"/>
          <w:szCs w:val="22"/>
        </w:rPr>
        <w:t xml:space="preserve">A guest CRM. Premature. Guest memory is V2 and only meaningful after reservations integration.</w:t>
      </w:r>
    </w:p>
    <w:p>
      <w:pPr>
        <w:pStyle w:val="ListParagraph"/>
        <w:numPr>
          <w:ilvl w:val="0"/>
          <w:numId w:val="2"/>
        </w:numPr>
        <w:spacing w:after="40" w:before="40" w:line="280"/>
      </w:pPr>
      <w:r>
        <w:rPr>
          <w:rFonts w:ascii="Arial" w:cs="Arial" w:eastAsia="Arial" w:hAnsi="Arial"/>
          <w:color w:val="1A1A1A"/>
          <w:sz w:val="22"/>
          <w:szCs w:val="22"/>
        </w:rPr>
        <w:t xml:space="preserve">A POS integration in the next ninety days. The product can prove value with manual incident capture. POS integration is a fundraising milestone, not a pre-seed requirement.</w:t>
      </w:r>
    </w:p>
    <w:p>
      <w:pPr>
        <w:pStyle w:val="ListParagraph"/>
        <w:numPr>
          <w:ilvl w:val="0"/>
          <w:numId w:val="2"/>
        </w:numPr>
        <w:spacing w:after="40" w:before="40" w:line="280"/>
      </w:pPr>
      <w:r>
        <w:rPr>
          <w:rFonts w:ascii="Arial" w:cs="Arial" w:eastAsia="Arial" w:hAnsi="Arial"/>
          <w:color w:val="1A1A1A"/>
          <w:sz w:val="22"/>
          <w:szCs w:val="22"/>
        </w:rPr>
        <w:t xml:space="preserve">A multi-tenant model. One venue is one database until a second venue exists.</w:t>
      </w:r>
    </w:p>
    <w:p>
      <w:pPr>
        <w:pStyle w:val="ListParagraph"/>
        <w:numPr>
          <w:ilvl w:val="0"/>
          <w:numId w:val="2"/>
        </w:numPr>
        <w:spacing w:after="40" w:before="40" w:line="280"/>
      </w:pPr>
      <w:r>
        <w:rPr>
          <w:rFonts w:ascii="Arial" w:cs="Arial" w:eastAsia="Arial" w:hAnsi="Arial"/>
          <w:color w:val="1A1A1A"/>
          <w:sz w:val="22"/>
          <w:szCs w:val="22"/>
        </w:rPr>
        <w:t xml:space="preserve">An AI chat home screen. The architecture document explicitly forbids it.</w:t>
      </w:r>
    </w:p>
    <w:p>
      <w:pPr>
        <w:pStyle w:val="ListParagraph"/>
        <w:numPr>
          <w:ilvl w:val="0"/>
          <w:numId w:val="2"/>
        </w:numPr>
        <w:spacing w:after="40" w:before="40" w:line="280"/>
      </w:pPr>
      <w:r>
        <w:rPr>
          <w:rFonts w:ascii="Arial" w:cs="Arial" w:eastAsia="Arial" w:hAnsi="Arial"/>
          <w:color w:val="1A1A1A"/>
          <w:sz w:val="22"/>
          <w:szCs w:val="22"/>
        </w:rPr>
        <w:t xml:space="preserve">Marketplace integrations as a category.</w:t>
      </w:r>
    </w:p>
    <w:p>
      <w:pPr>
        <w:pStyle w:val="ListParagraph"/>
        <w:numPr>
          <w:ilvl w:val="0"/>
          <w:numId w:val="2"/>
        </w:numPr>
        <w:spacing w:after="40" w:before="40" w:line="280"/>
      </w:pPr>
      <w:r>
        <w:rPr>
          <w:rFonts w:ascii="Arial" w:cs="Arial" w:eastAsia="Arial" w:hAnsi="Arial"/>
          <w:color w:val="1A1A1A"/>
          <w:sz w:val="22"/>
          <w:szCs w:val="22"/>
        </w:rPr>
        <w:t xml:space="preserve">A generic report builder.</w:t>
      </w:r>
    </w:p>
    <w:p>
      <w:pPr>
        <w:pStyle w:val="ListParagraph"/>
        <w:numPr>
          <w:ilvl w:val="0"/>
          <w:numId w:val="2"/>
        </w:numPr>
        <w:spacing w:after="40" w:before="40" w:line="280"/>
      </w:pPr>
      <w:r>
        <w:rPr>
          <w:rFonts w:ascii="Arial" w:cs="Arial" w:eastAsia="Arial" w:hAnsi="Arial"/>
          <w:color w:val="1A1A1A"/>
          <w:sz w:val="22"/>
          <w:szCs w:val="22"/>
        </w:rPr>
        <w:t xml:space="preserve">Predictive ordering or labor forecasting in MVP. Both require data that does not yet exist for any venue.</w:t>
      </w:r>
    </w:p>
    <w:p>
      <w:r>
        <w:br w:type="page"/>
      </w:r>
    </w:p>
    <w:p>
      <w:pPr>
        <w:pStyle w:val="Heading1"/>
        <w:spacing w:after="160" w:before="360"/>
      </w:pPr>
      <w:r>
        <w:rPr>
          <w:rFonts w:ascii="Arial" w:cs="Arial" w:eastAsia="Arial" w:hAnsi="Arial"/>
          <w:b/>
          <w:bCs/>
          <w:color w:val="1F2A44"/>
          <w:sz w:val="36"/>
          <w:szCs w:val="36"/>
        </w:rPr>
        <w:t xml:space="preserve">13. Closing</w:t>
      </w:r>
    </w:p>
    <w:p>
      <w:pPr>
        <w:spacing w:after="80" w:before="60" w:line="300"/>
        <w:jc w:val="left"/>
      </w:pPr>
      <w:r>
        <w:rPr>
          <w:rFonts w:ascii="Arial" w:cs="Arial" w:eastAsia="Arial" w:hAnsi="Arial"/>
          <w:color w:val="1A1A1A"/>
          <w:sz w:val="22"/>
          <w:szCs w:val="22"/>
        </w:rPr>
        <w:t xml:space="preserve">תואם — the architecture under the surface of HESTIA is more honest than the surface itself. The Shift Brain service, the costing-honest pricing adapter, the verified-price audit trail, the hospitality ontology, and the clean hook composition are pre-seed-grade foundations. They are not yet visible to a visitor because the home page leads with eleven owner dashboards instead of one operational page, and because four files in src/data/ still render fabricated content.</w:t>
      </w:r>
    </w:p>
    <w:p>
      <w:pPr>
        <w:spacing w:after="80" w:before="60" w:line="300"/>
        <w:jc w:val="left"/>
      </w:pPr>
      <w:r>
        <w:rPr>
          <w:rFonts w:ascii="Arial" w:cs="Arial" w:eastAsia="Arial" w:hAnsi="Arial"/>
          <w:color w:val="1A1A1A"/>
          <w:sz w:val="22"/>
          <w:szCs w:val="22"/>
        </w:rPr>
        <w:t xml:space="preserve">The next phase is not a feature push. It is a credibility pass. Remove the seeded content. Tighten authentication. Close the manager loop through the API. Make the owner home a single page that mirrors the manager's reality. With those four moves, the product on one live venue becomes investor-demonstrable.</w:t>
      </w:r>
    </w:p>
    <w:p>
      <w:pPr>
        <w:spacing w:after="80" w:before="60" w:line="300"/>
        <w:jc w:val="left"/>
      </w:pPr>
      <w:r>
        <w:rPr>
          <w:rFonts w:ascii="Arial" w:cs="Arial" w:eastAsia="Arial" w:hAnsi="Arial"/>
          <w:color w:val="1A1A1A"/>
          <w:sz w:val="22"/>
          <w:szCs w:val="22"/>
        </w:rPr>
        <w:t xml:space="preserve">After that, the V2 vision in the strategy document is allowed to begin — but not before.</w:t>
      </w:r>
    </w:p>
    <w:p>
      <w:pPr>
        <w:pBdr>
          <w:bottom w:val="single" w:color="B0B0B0" w:sz="6" w:space="6"/>
        </w:pBdr>
        <w:spacing w:after="100" w:before="100"/>
      </w:pPr>
    </w:p>
    <w:p>
      <w:pPr>
        <w:spacing w:after="80" w:before="60" w:line="300"/>
        <w:jc w:val="left"/>
      </w:pPr>
      <w:r>
        <w:rPr>
          <w:rFonts w:ascii="Arial" w:cs="Arial" w:eastAsia="Arial" w:hAnsi="Arial"/>
          <w:i/>
          <w:iCs/>
          <w:color w:val="1A1A1A"/>
          <w:sz w:val="20"/>
          <w:szCs w:val="20"/>
        </w:rPr>
        <w:t xml:space="preserve">Companion implementation document: HESTIA_AUDIT_AND_NEXT_PHASE.md in /docs/strategy/. The Markdown version contains the full Claude Code prompts with per-file specifications and the complete acceptance criteria for each phase.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08080"/>
        <w:sz w:val="18"/>
        <w:szCs w:val="18"/>
      </w:rPr>
      <w:t xml:space="preserve">HESTIA — Strategic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2A4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2A4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HESTIA — Strategic Audit and Next Build Phase</dc:title>
  <dc:creator>Toam Griffel</dc:creator>
  <dc:description>Pre-seed strategy audit and phased implementation plan for HESTIA hospitality operating system</dc:description>
  <cp:lastModifiedBy>Un-named</cp:lastModifiedBy>
  <cp:revision>1</cp:revision>
  <dcterms:created xsi:type="dcterms:W3CDTF">2026-05-16T23:10:51.010Z</dcterms:created>
  <dcterms:modified xsi:type="dcterms:W3CDTF">2026-05-16T23:10:51.010Z</dcterms:modified>
</cp:coreProperties>
</file>

<file path=docProps/custom.xml><?xml version="1.0" encoding="utf-8"?>
<Properties xmlns="http://schemas.openxmlformats.org/officeDocument/2006/custom-properties" xmlns:vt="http://schemas.openxmlformats.org/officeDocument/2006/docPropsVTypes"/>
</file>