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1FF" w:rsidRPr="00E62ABD" w:rsidRDefault="00E62ABD">
      <w:pPr>
        <w:rPr>
          <w:rFonts w:cstheme="minorHAnsi"/>
          <w:sz w:val="24"/>
          <w:szCs w:val="24"/>
        </w:rPr>
      </w:pPr>
      <w:r w:rsidRPr="00E62ABD">
        <w:rPr>
          <w:rFonts w:cstheme="minorHAnsi"/>
          <w:sz w:val="24"/>
          <w:szCs w:val="24"/>
        </w:rPr>
        <w:t>Module 1 Challenge – Excel Challenge.</w:t>
      </w:r>
    </w:p>
    <w:p w:rsidR="00E62ABD" w:rsidRPr="00E62ABD" w:rsidRDefault="00E62ABD" w:rsidP="00E62ABD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2B2B2B"/>
        </w:rPr>
      </w:pPr>
      <w:r w:rsidRPr="00E62ABD">
        <w:rPr>
          <w:rFonts w:asciiTheme="minorHAnsi" w:hAnsiTheme="minorHAnsi" w:cstheme="minorHAnsi"/>
          <w:color w:val="2B2B2B"/>
        </w:rPr>
        <w:t>Answer the following questions:</w:t>
      </w:r>
    </w:p>
    <w:p w:rsidR="00C25CF5" w:rsidRPr="00C25CF5" w:rsidRDefault="00E62ABD" w:rsidP="00C25CF5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E62ABD">
        <w:rPr>
          <w:rFonts w:asciiTheme="minorHAnsi" w:hAnsiTheme="minorHAnsi" w:cstheme="minorHAnsi"/>
          <w:color w:val="2B2B2B"/>
        </w:rPr>
        <w:t>Given the provided data, what are three conclusions that we can draw about crowdfunding campaigns?</w:t>
      </w:r>
    </w:p>
    <w:p w:rsidR="00356221" w:rsidRDefault="0056277D" w:rsidP="00356221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="Segoe UI" w:hAnsi="Segoe UI" w:cs="Segoe UI"/>
          <w:color w:val="24292F"/>
          <w:shd w:val="clear" w:color="auto" w:fill="FFFFFF"/>
        </w:rPr>
        <w:t>Base on the data provide,</w:t>
      </w:r>
      <w:r w:rsidR="008E3428" w:rsidRPr="00356221"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C25CF5" w:rsidRPr="00356221">
        <w:rPr>
          <w:rFonts w:ascii="Segoe UI" w:hAnsi="Segoe UI" w:cs="Segoe UI"/>
          <w:color w:val="24292F"/>
          <w:shd w:val="clear" w:color="auto" w:fill="FFFFFF"/>
        </w:rPr>
        <w:t xml:space="preserve">Crowdfunding Kickstarter project has a 56.50% rate of successful, 36.40% rate of fail, 5.7% </w:t>
      </w:r>
      <w:r w:rsidR="00484534" w:rsidRPr="00356221">
        <w:rPr>
          <w:rFonts w:ascii="Segoe UI" w:hAnsi="Segoe UI" w:cs="Segoe UI"/>
          <w:color w:val="24292F"/>
          <w:shd w:val="clear" w:color="auto" w:fill="FFFFFF"/>
        </w:rPr>
        <w:t xml:space="preserve">rate of </w:t>
      </w:r>
      <w:r w:rsidR="00C25CF5" w:rsidRPr="00356221">
        <w:rPr>
          <w:rFonts w:ascii="Segoe UI" w:hAnsi="Segoe UI" w:cs="Segoe UI"/>
          <w:color w:val="24292F"/>
          <w:shd w:val="clear" w:color="auto" w:fill="FFFFFF"/>
        </w:rPr>
        <w:t xml:space="preserve">cancelled and 1.4% rate of live. </w:t>
      </w:r>
      <w:r w:rsidR="00356221" w:rsidRPr="00356221">
        <w:rPr>
          <w:rFonts w:ascii="Segoe UI" w:hAnsi="Segoe UI" w:cs="Segoe UI"/>
          <w:color w:val="24292F"/>
          <w:shd w:val="clear" w:color="auto" w:fill="FFFFFF"/>
        </w:rPr>
        <w:t xml:space="preserve">Out of </w:t>
      </w:r>
      <w:r w:rsidR="00FB0413">
        <w:rPr>
          <w:rFonts w:ascii="Segoe UI" w:hAnsi="Segoe UI" w:cs="Segoe UI"/>
          <w:color w:val="24292F"/>
          <w:shd w:val="clear" w:color="auto" w:fill="FFFFFF"/>
        </w:rPr>
        <w:t xml:space="preserve">all the </w:t>
      </w:r>
      <w:r w:rsidR="00356221" w:rsidRPr="00356221">
        <w:rPr>
          <w:rFonts w:ascii="Segoe UI" w:hAnsi="Segoe UI" w:cs="Segoe UI"/>
          <w:color w:val="24292F"/>
          <w:shd w:val="clear" w:color="auto" w:fill="FFFFFF"/>
        </w:rPr>
        <w:t>successful campaigns show</w:t>
      </w:r>
      <w:r w:rsidR="00356221" w:rsidRPr="00356221">
        <w:rPr>
          <w:rFonts w:asciiTheme="minorHAnsi" w:hAnsiTheme="minorHAnsi" w:cstheme="minorHAnsi"/>
          <w:color w:val="2B2B2B"/>
        </w:rPr>
        <w:t xml:space="preserve"> </w:t>
      </w:r>
      <w:r w:rsidR="00F760B9" w:rsidRPr="00356221">
        <w:rPr>
          <w:rFonts w:ascii="Segoe UI" w:hAnsi="Segoe UI" w:cs="Segoe UI"/>
          <w:color w:val="24292F"/>
          <w:shd w:val="clear" w:color="auto" w:fill="FFFFFF"/>
        </w:rPr>
        <w:t xml:space="preserve">that journalism (100%), technology (66.67%) and photography (61.90%) have the highest rates of success </w:t>
      </w:r>
    </w:p>
    <w:p w:rsidR="00356221" w:rsidRPr="00356221" w:rsidRDefault="00356221" w:rsidP="00356221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tbl>
      <w:tblPr>
        <w:tblW w:w="5532" w:type="dxa"/>
        <w:tblLook w:val="04A0" w:firstRow="1" w:lastRow="0" w:firstColumn="1" w:lastColumn="0" w:noHBand="0" w:noVBand="1"/>
      </w:tblPr>
      <w:tblGrid>
        <w:gridCol w:w="1390"/>
        <w:gridCol w:w="1343"/>
        <w:gridCol w:w="732"/>
        <w:gridCol w:w="539"/>
        <w:gridCol w:w="1134"/>
        <w:gridCol w:w="921"/>
      </w:tblGrid>
      <w:tr w:rsidR="00484534" w:rsidRPr="00942F07" w:rsidTr="00EE29CD">
        <w:trPr>
          <w:trHeight w:val="242"/>
        </w:trPr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(All)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4534" w:rsidRPr="00942F07" w:rsidTr="00EE29CD">
        <w:trPr>
          <w:trHeight w:val="242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4534" w:rsidRPr="00942F07" w:rsidTr="00EE29CD">
        <w:trPr>
          <w:trHeight w:val="242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F07">
              <w:rPr>
                <w:rFonts w:ascii="Calibri" w:eastAsia="Times New Roman" w:hAnsi="Calibri" w:cs="Calibri"/>
                <w:b/>
                <w:bCs/>
                <w:color w:val="000000"/>
              </w:rPr>
              <w:t>Count of outcome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F07">
              <w:rPr>
                <w:rFonts w:ascii="Calibri" w:eastAsia="Times New Roman" w:hAnsi="Calibri" w:cs="Calibri"/>
                <w:b/>
                <w:bCs/>
                <w:color w:val="000000"/>
              </w:rPr>
              <w:t>Column Labels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84534" w:rsidRPr="00942F07" w:rsidTr="00EE29CD">
        <w:trPr>
          <w:trHeight w:val="242"/>
        </w:trPr>
        <w:tc>
          <w:tcPr>
            <w:tcW w:w="139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F07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F07">
              <w:rPr>
                <w:rFonts w:ascii="Calibri" w:eastAsia="Times New Roman" w:hAnsi="Calibri" w:cs="Calibri"/>
                <w:b/>
                <w:bCs/>
                <w:color w:val="000000"/>
              </w:rPr>
              <w:t>canceled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F07">
              <w:rPr>
                <w:rFonts w:ascii="Calibri" w:eastAsia="Times New Roman" w:hAnsi="Calibri" w:cs="Calibri"/>
                <w:b/>
                <w:bCs/>
                <w:color w:val="000000"/>
              </w:rPr>
              <w:t>failed</w:t>
            </w:r>
          </w:p>
        </w:tc>
        <w:tc>
          <w:tcPr>
            <w:tcW w:w="42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F07">
              <w:rPr>
                <w:rFonts w:ascii="Calibri" w:eastAsia="Times New Roman" w:hAnsi="Calibri" w:cs="Calibri"/>
                <w:b/>
                <w:bCs/>
                <w:color w:val="000000"/>
              </w:rPr>
              <w:t>live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F07">
              <w:rPr>
                <w:rFonts w:ascii="Calibri" w:eastAsia="Times New Roman" w:hAnsi="Calibri" w:cs="Calibri"/>
                <w:b/>
                <w:bCs/>
                <w:color w:val="000000"/>
              </w:rPr>
              <w:t>successful</w: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F0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</w:tr>
      <w:tr w:rsidR="00484534" w:rsidRPr="00942F07" w:rsidTr="00EE29CD">
        <w:trPr>
          <w:trHeight w:val="242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film &amp; video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178</w:t>
            </w:r>
          </w:p>
        </w:tc>
      </w:tr>
      <w:tr w:rsidR="00484534" w:rsidRPr="00942F07" w:rsidTr="00EE29CD">
        <w:trPr>
          <w:trHeight w:val="242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</w:tr>
      <w:tr w:rsidR="00484534" w:rsidRPr="00942F07" w:rsidTr="00EE29CD">
        <w:trPr>
          <w:trHeight w:val="242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games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</w:tr>
      <w:tr w:rsidR="00484534" w:rsidRPr="00942F07" w:rsidTr="00EE29CD">
        <w:trPr>
          <w:trHeight w:val="242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journalism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484534" w:rsidRPr="00942F07" w:rsidTr="00EE29CD">
        <w:trPr>
          <w:trHeight w:val="242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music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</w:tr>
      <w:tr w:rsidR="00484534" w:rsidRPr="00942F07" w:rsidTr="00EE29CD">
        <w:trPr>
          <w:trHeight w:val="242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photography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</w:tr>
      <w:tr w:rsidR="00484534" w:rsidRPr="00942F07" w:rsidTr="00EE29CD">
        <w:trPr>
          <w:trHeight w:val="242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publishing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</w:tr>
      <w:tr w:rsidR="00484534" w:rsidRPr="00942F07" w:rsidTr="00EE29CD">
        <w:trPr>
          <w:trHeight w:val="242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technology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</w:tr>
      <w:tr w:rsidR="00484534" w:rsidRPr="00942F07" w:rsidTr="00EE29CD">
        <w:trPr>
          <w:trHeight w:val="242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theater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132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42F07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</w:tr>
      <w:tr w:rsidR="00484534" w:rsidRPr="00942F07" w:rsidTr="00EE29CD">
        <w:trPr>
          <w:trHeight w:val="242"/>
        </w:trPr>
        <w:tc>
          <w:tcPr>
            <w:tcW w:w="139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F07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343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F07">
              <w:rPr>
                <w:rFonts w:ascii="Calibri" w:eastAsia="Times New Roman" w:hAnsi="Calibri" w:cs="Calibri"/>
                <w:b/>
                <w:bCs/>
                <w:color w:val="000000"/>
              </w:rPr>
              <w:t>57</w:t>
            </w:r>
          </w:p>
        </w:tc>
        <w:tc>
          <w:tcPr>
            <w:tcW w:w="57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F07">
              <w:rPr>
                <w:rFonts w:ascii="Calibri" w:eastAsia="Times New Roman" w:hAnsi="Calibri" w:cs="Calibri"/>
                <w:b/>
                <w:bCs/>
                <w:color w:val="000000"/>
              </w:rPr>
              <w:t>364</w:t>
            </w:r>
          </w:p>
        </w:tc>
        <w:tc>
          <w:tcPr>
            <w:tcW w:w="42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F07">
              <w:rPr>
                <w:rFonts w:ascii="Calibri" w:eastAsia="Times New Roman" w:hAnsi="Calibri" w:cs="Calibri"/>
                <w:b/>
                <w:bCs/>
                <w:color w:val="000000"/>
              </w:rPr>
              <w:t>14</w:t>
            </w:r>
          </w:p>
        </w:tc>
        <w:tc>
          <w:tcPr>
            <w:tcW w:w="886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F07">
              <w:rPr>
                <w:rFonts w:ascii="Calibri" w:eastAsia="Times New Roman" w:hAnsi="Calibri" w:cs="Calibri"/>
                <w:b/>
                <w:bCs/>
                <w:color w:val="000000"/>
              </w:rPr>
              <w:t>565</w:t>
            </w:r>
          </w:p>
        </w:tc>
        <w:tc>
          <w:tcPr>
            <w:tcW w:w="921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:rsidR="00484534" w:rsidRPr="00942F07" w:rsidRDefault="00484534" w:rsidP="00EE29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42F07">
              <w:rPr>
                <w:rFonts w:ascii="Calibri" w:eastAsia="Times New Roman" w:hAnsi="Calibri" w:cs="Calibri"/>
                <w:b/>
                <w:bCs/>
                <w:color w:val="000000"/>
              </w:rPr>
              <w:t>1000</w:t>
            </w:r>
          </w:p>
        </w:tc>
      </w:tr>
    </w:tbl>
    <w:p w:rsidR="00484534" w:rsidRPr="00484534" w:rsidRDefault="00484534" w:rsidP="00484534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C25CF5">
        <w:rPr>
          <w:rFonts w:asciiTheme="minorHAnsi" w:hAnsiTheme="minorHAnsi" w:cstheme="minorHAnsi"/>
          <w:noProof/>
          <w:color w:val="2B2B2B"/>
        </w:rPr>
        <w:drawing>
          <wp:inline distT="0" distB="0" distL="0" distR="0" wp14:anchorId="239E8C02" wp14:editId="146DE1E6">
            <wp:extent cx="5943600" cy="2743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34" w:rsidRPr="00484534" w:rsidRDefault="00484534" w:rsidP="00484534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“</w:t>
      </w:r>
      <w:r w:rsidR="0056277D">
        <w:rPr>
          <w:rFonts w:ascii="Segoe UI" w:hAnsi="Segoe UI" w:cs="Segoe UI"/>
          <w:color w:val="24292F"/>
          <w:shd w:val="clear" w:color="auto" w:fill="FFFFFF"/>
        </w:rPr>
        <w:t>P</w:t>
      </w:r>
      <w:r>
        <w:rPr>
          <w:rFonts w:ascii="Segoe UI" w:hAnsi="Segoe UI" w:cs="Segoe UI"/>
          <w:color w:val="24292F"/>
          <w:shd w:val="clear" w:color="auto" w:fill="FFFFFF"/>
        </w:rPr>
        <w:t>lays”</w:t>
      </w:r>
      <w:r w:rsidR="00A622BF">
        <w:rPr>
          <w:rFonts w:ascii="Segoe UI" w:hAnsi="Segoe UI" w:cs="Segoe UI"/>
          <w:color w:val="24292F"/>
          <w:shd w:val="clear" w:color="auto" w:fill="FFFFFF"/>
        </w:rPr>
        <w:t xml:space="preserve"> – the most popular </w:t>
      </w:r>
      <w:r w:rsidR="00D22FC5">
        <w:rPr>
          <w:rFonts w:ascii="Segoe UI" w:hAnsi="Segoe UI" w:cs="Segoe UI"/>
          <w:color w:val="24292F"/>
          <w:shd w:val="clear" w:color="auto" w:fill="FFFFFF"/>
        </w:rPr>
        <w:t>sub-category</w:t>
      </w:r>
      <w:r w:rsidR="00A622BF">
        <w:rPr>
          <w:rFonts w:ascii="Segoe UI" w:hAnsi="Segoe UI" w:cs="Segoe UI"/>
          <w:color w:val="24292F"/>
          <w:shd w:val="clear" w:color="auto" w:fill="FFFFFF"/>
        </w:rPr>
        <w:t>,</w:t>
      </w:r>
      <w:r>
        <w:rPr>
          <w:rFonts w:ascii="Segoe UI" w:hAnsi="Segoe UI" w:cs="Segoe UI"/>
          <w:color w:val="24292F"/>
          <w:shd w:val="clear" w:color="auto" w:fill="FFFFFF"/>
        </w:rPr>
        <w:t xml:space="preserve"> has a very high </w:t>
      </w:r>
      <w:r w:rsidR="00D22FC5">
        <w:rPr>
          <w:rFonts w:ascii="Segoe UI" w:hAnsi="Segoe UI" w:cs="Segoe UI"/>
          <w:color w:val="24292F"/>
          <w:shd w:val="clear" w:color="auto" w:fill="FFFFFF"/>
        </w:rPr>
        <w:t xml:space="preserve">number of </w:t>
      </w:r>
      <w:r>
        <w:rPr>
          <w:rFonts w:ascii="Segoe UI" w:hAnsi="Segoe UI" w:cs="Segoe UI"/>
          <w:color w:val="24292F"/>
          <w:shd w:val="clear" w:color="auto" w:fill="FFFFFF"/>
        </w:rPr>
        <w:t xml:space="preserve">successful and failed </w:t>
      </w:r>
      <w:r w:rsidR="00D22FC5">
        <w:rPr>
          <w:rFonts w:ascii="Segoe UI" w:hAnsi="Segoe UI" w:cs="Segoe UI"/>
          <w:color w:val="24292F"/>
          <w:shd w:val="clear" w:color="auto" w:fill="FFFFFF"/>
        </w:rPr>
        <w:t xml:space="preserve">campaigns. This suggest </w:t>
      </w:r>
      <w:r w:rsidR="0056277D">
        <w:rPr>
          <w:rFonts w:ascii="Segoe UI" w:hAnsi="Segoe UI" w:cs="Segoe UI"/>
          <w:color w:val="24292F"/>
          <w:shd w:val="clear" w:color="auto" w:fill="FFFFFF"/>
        </w:rPr>
        <w:t>this campaign</w:t>
      </w:r>
      <w:r w:rsidR="00D22FC5">
        <w:rPr>
          <w:rFonts w:ascii="Segoe UI" w:hAnsi="Segoe UI" w:cs="Segoe UI"/>
          <w:color w:val="24292F"/>
          <w:shd w:val="clear" w:color="auto" w:fill="FFFFFF"/>
        </w:rPr>
        <w:t xml:space="preserve"> is used for funding theater project</w:t>
      </w:r>
      <w:r w:rsidR="00BA31EF">
        <w:rPr>
          <w:rFonts w:ascii="Segoe UI" w:hAnsi="Segoe UI" w:cs="Segoe UI"/>
          <w:color w:val="24292F"/>
          <w:shd w:val="clear" w:color="auto" w:fill="FFFFFF"/>
        </w:rPr>
        <w:t xml:space="preserve"> in the parent category.</w:t>
      </w:r>
    </w:p>
    <w:p w:rsidR="00484534" w:rsidRPr="00484534" w:rsidRDefault="00484534" w:rsidP="00484534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noProof/>
        </w:rPr>
        <w:drawing>
          <wp:inline distT="0" distB="0" distL="0" distR="0" wp14:anchorId="64FC7D80" wp14:editId="32A951FB">
            <wp:extent cx="5879465" cy="424239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0AA9444-F357-4D11-3465-56AAACBBA2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84534" w:rsidRPr="00484534" w:rsidRDefault="00484534" w:rsidP="008E3428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="Segoe UI" w:hAnsi="Segoe UI" w:cs="Segoe UI"/>
          <w:color w:val="24292F"/>
          <w:shd w:val="clear" w:color="auto" w:fill="FFFFFF"/>
        </w:rPr>
        <w:t>Finally,</w:t>
      </w:r>
      <w:r w:rsidR="00FA73A4">
        <w:rPr>
          <w:rFonts w:ascii="Segoe UI" w:hAnsi="Segoe UI" w:cs="Segoe UI"/>
          <w:color w:val="24292F"/>
          <w:shd w:val="clear" w:color="auto" w:fill="FFFFFF"/>
        </w:rPr>
        <w:t xml:space="preserve"> from 2019 to 2020 there was a dip of failed in Kickstarter campaigns due to </w:t>
      </w:r>
      <w:r w:rsidR="00FA73A4">
        <w:rPr>
          <w:rFonts w:ascii="Roboto" w:hAnsi="Roboto"/>
          <w:color w:val="202124"/>
          <w:shd w:val="clear" w:color="auto" w:fill="FFFFFF"/>
        </w:rPr>
        <w:t>Coronavirus pandemic.</w:t>
      </w:r>
    </w:p>
    <w:p w:rsidR="00484534" w:rsidRPr="00484534" w:rsidRDefault="00FB0413" w:rsidP="00FA73A4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noProof/>
        </w:rPr>
        <w:lastRenderedPageBreak/>
        <w:drawing>
          <wp:inline distT="0" distB="0" distL="0" distR="0" wp14:anchorId="484BEB49" wp14:editId="5468D051">
            <wp:extent cx="5943600" cy="3977005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D79F40F3-F48E-9D81-5725-0FDAEF5987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CA05D9">
        <w:rPr>
          <w:noProof/>
        </w:rPr>
        <w:t xml:space="preserve"> </w:t>
      </w:r>
    </w:p>
    <w:p w:rsidR="00E62ABD" w:rsidRDefault="00E62ABD" w:rsidP="00E62ABD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E62ABD">
        <w:rPr>
          <w:rFonts w:asciiTheme="minorHAnsi" w:hAnsiTheme="minorHAnsi" w:cstheme="minorHAnsi"/>
          <w:color w:val="2B2B2B"/>
        </w:rPr>
        <w:t>What are some limitations of this dataset?</w:t>
      </w:r>
    </w:p>
    <w:p w:rsidR="00FA73A4" w:rsidRPr="00020F7D" w:rsidRDefault="00FA73A4" w:rsidP="00356221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Yes, there are limitation to this dataset</w:t>
      </w:r>
      <w:r w:rsidR="00356221">
        <w:rPr>
          <w:rFonts w:asciiTheme="minorHAnsi" w:hAnsiTheme="minorHAnsi" w:cstheme="minorHAnsi"/>
          <w:color w:val="2B2B2B"/>
        </w:rPr>
        <w:t>. G</w:t>
      </w:r>
      <w:r>
        <w:rPr>
          <w:rFonts w:asciiTheme="minorHAnsi" w:hAnsiTheme="minorHAnsi" w:cstheme="minorHAnsi"/>
          <w:color w:val="2B2B2B"/>
        </w:rPr>
        <w:t xml:space="preserve">iven </w:t>
      </w:r>
      <w:r w:rsidR="00356221">
        <w:rPr>
          <w:rFonts w:asciiTheme="minorHAnsi" w:hAnsiTheme="minorHAnsi" w:cstheme="minorHAnsi"/>
          <w:color w:val="2B2B2B"/>
        </w:rPr>
        <w:t>the size of the sample of 1000 Kickstarter project</w:t>
      </w:r>
      <w:r w:rsidR="0056277D">
        <w:rPr>
          <w:rFonts w:asciiTheme="minorHAnsi" w:hAnsiTheme="minorHAnsi" w:cstheme="minorHAnsi"/>
          <w:color w:val="2B2B2B"/>
        </w:rPr>
        <w:t>, this</w:t>
      </w:r>
      <w:r w:rsidR="00356221">
        <w:rPr>
          <w:rFonts w:asciiTheme="minorHAnsi" w:hAnsiTheme="minorHAnsi" w:cstheme="minorHAnsi"/>
          <w:color w:val="2B2B2B"/>
        </w:rPr>
        <w:t xml:space="preserve"> does not </w:t>
      </w:r>
      <w:r w:rsidRPr="00356221">
        <w:rPr>
          <w:rFonts w:ascii="Segoe UI" w:hAnsi="Segoe UI" w:cs="Segoe UI"/>
          <w:color w:val="24292F"/>
          <w:shd w:val="clear" w:color="auto" w:fill="FFFFFF"/>
        </w:rPr>
        <w:t>fully give us enough evidence to come up with a conclusion.</w:t>
      </w:r>
      <w:r w:rsidR="00356221" w:rsidRPr="00356221">
        <w:rPr>
          <w:rFonts w:ascii="Segoe UI" w:hAnsi="Segoe UI" w:cs="Segoe UI"/>
          <w:color w:val="24292F"/>
          <w:shd w:val="clear" w:color="auto" w:fill="FFFFFF"/>
        </w:rPr>
        <w:t xml:space="preserve"> Need more data to be used in</w:t>
      </w:r>
      <w:r w:rsidR="00BA31EF">
        <w:rPr>
          <w:rFonts w:ascii="Segoe UI" w:hAnsi="Segoe UI" w:cs="Segoe UI"/>
          <w:color w:val="24292F"/>
          <w:shd w:val="clear" w:color="auto" w:fill="FFFFFF"/>
        </w:rPr>
        <w:t xml:space="preserve"> near</w:t>
      </w:r>
      <w:r w:rsidR="00356221" w:rsidRPr="00356221">
        <w:rPr>
          <w:rFonts w:ascii="Segoe UI" w:hAnsi="Segoe UI" w:cs="Segoe UI"/>
          <w:color w:val="24292F"/>
          <w:shd w:val="clear" w:color="auto" w:fill="FFFFFF"/>
        </w:rPr>
        <w:t xml:space="preserve"> future studies.</w:t>
      </w:r>
    </w:p>
    <w:p w:rsidR="00020F7D" w:rsidRPr="00BA31EF" w:rsidRDefault="00020F7D" w:rsidP="00356221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="Segoe UI" w:hAnsi="Segoe UI" w:cs="Segoe UI"/>
          <w:color w:val="24292F"/>
          <w:shd w:val="clear" w:color="auto" w:fill="FFFFFF"/>
        </w:rPr>
        <w:t>Need to identify the backer by gender to help determine target audience.</w:t>
      </w:r>
    </w:p>
    <w:p w:rsidR="00BA31EF" w:rsidRPr="00356221" w:rsidRDefault="00BA31EF" w:rsidP="00356221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Also, we do not know the amount of each backer </w:t>
      </w:r>
      <w:r w:rsidRPr="00BA31EF">
        <w:rPr>
          <w:rFonts w:ascii="Segoe UI" w:hAnsi="Segoe UI" w:cs="Segoe UI"/>
          <w:color w:val="24292F"/>
          <w:shd w:val="clear" w:color="auto" w:fill="FFFFFF"/>
        </w:rPr>
        <w:t>pledged</w:t>
      </w:r>
      <w:r>
        <w:rPr>
          <w:rFonts w:ascii="Segoe UI" w:hAnsi="Segoe UI" w:cs="Segoe UI"/>
          <w:color w:val="24292F"/>
          <w:shd w:val="clear" w:color="auto" w:fill="FFFFFF"/>
        </w:rPr>
        <w:t>.</w:t>
      </w:r>
    </w:p>
    <w:p w:rsidR="00E62ABD" w:rsidRDefault="00E62ABD" w:rsidP="00E62ABD">
      <w:pPr>
        <w:pStyle w:val="NormalWeb"/>
        <w:numPr>
          <w:ilvl w:val="0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E62ABD">
        <w:rPr>
          <w:rFonts w:asciiTheme="minorHAnsi" w:hAnsiTheme="minorHAnsi" w:cstheme="minorHAnsi"/>
          <w:color w:val="2B2B2B"/>
        </w:rPr>
        <w:t>What are some other possible tables and/or graphs that we could create, and what additional value would they provide?</w:t>
      </w:r>
    </w:p>
    <w:p w:rsidR="00020F7D" w:rsidRDefault="00D177AC" w:rsidP="00D177AC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Other possible tables/graphs that I</w:t>
      </w:r>
      <w:r w:rsidR="0096510E">
        <w:rPr>
          <w:rFonts w:asciiTheme="minorHAnsi" w:hAnsiTheme="minorHAnsi" w:cstheme="minorHAnsi"/>
          <w:color w:val="2B2B2B"/>
        </w:rPr>
        <w:t xml:space="preserve"> </w:t>
      </w:r>
      <w:r>
        <w:rPr>
          <w:rFonts w:asciiTheme="minorHAnsi" w:hAnsiTheme="minorHAnsi" w:cstheme="minorHAnsi"/>
          <w:color w:val="2B2B2B"/>
        </w:rPr>
        <w:t>recommend would be comparing different countries</w:t>
      </w:r>
      <w:r w:rsidR="0096510E">
        <w:rPr>
          <w:rFonts w:asciiTheme="minorHAnsi" w:hAnsiTheme="minorHAnsi" w:cstheme="minorHAnsi"/>
          <w:color w:val="2B2B2B"/>
        </w:rPr>
        <w:t>, average donation amounts and year/months with a pivot chart.</w:t>
      </w:r>
    </w:p>
    <w:p w:rsidR="00D177AC" w:rsidRPr="00020F7D" w:rsidRDefault="0096510E" w:rsidP="00D177AC">
      <w:pPr>
        <w:pStyle w:val="NormalWeb"/>
        <w:numPr>
          <w:ilvl w:val="1"/>
          <w:numId w:val="3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>
        <w:rPr>
          <w:rFonts w:asciiTheme="minorHAnsi" w:hAnsiTheme="minorHAnsi" w:cstheme="minorHAnsi"/>
          <w:color w:val="2B2B2B"/>
        </w:rPr>
        <w:t>Creating a pie chart comparing parent categories from successful vs unsuccessful (failed).</w:t>
      </w:r>
    </w:p>
    <w:p w:rsidR="00E62ABD" w:rsidRPr="00E62ABD" w:rsidRDefault="00E62ABD" w:rsidP="00E62ABD">
      <w:pPr>
        <w:spacing w:before="300" w:after="225" w:line="240" w:lineRule="auto"/>
        <w:outlineLvl w:val="3"/>
        <w:rPr>
          <w:rFonts w:eastAsia="Times New Roman" w:cstheme="minorHAnsi"/>
          <w:sz w:val="24"/>
          <w:szCs w:val="24"/>
        </w:rPr>
      </w:pPr>
      <w:r w:rsidRPr="00E62ABD">
        <w:rPr>
          <w:rFonts w:eastAsia="Times New Roman" w:cstheme="minorHAnsi"/>
          <w:sz w:val="24"/>
          <w:szCs w:val="24"/>
        </w:rPr>
        <w:t>Statistical Analysis</w:t>
      </w:r>
    </w:p>
    <w:p w:rsidR="00E62ABD" w:rsidRDefault="00E62ABD" w:rsidP="00E62ABD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E62ABD">
        <w:rPr>
          <w:rFonts w:asciiTheme="minorHAnsi" w:hAnsiTheme="minorHAnsi" w:cstheme="minorHAnsi"/>
          <w:color w:val="2B2B2B"/>
        </w:rPr>
        <w:lastRenderedPageBreak/>
        <w:t>Use your data to determine whether the mean or the median better summarizes the data.</w:t>
      </w:r>
    </w:p>
    <w:p w:rsidR="006E3208" w:rsidRPr="00E62ABD" w:rsidRDefault="006E3208" w:rsidP="006E3208">
      <w:pPr>
        <w:pStyle w:val="NormalWeb"/>
        <w:numPr>
          <w:ilvl w:val="1"/>
          <w:numId w:val="5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</w:p>
    <w:p w:rsidR="00E62ABD" w:rsidRPr="00E62ABD" w:rsidRDefault="00E62ABD" w:rsidP="00E62ABD">
      <w:pPr>
        <w:pStyle w:val="NormalWeb"/>
        <w:numPr>
          <w:ilvl w:val="0"/>
          <w:numId w:val="5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E62ABD">
        <w:rPr>
          <w:rFonts w:asciiTheme="minorHAnsi" w:hAnsiTheme="minorHAnsi" w:cstheme="minorHAnsi"/>
          <w:color w:val="2B2B2B"/>
        </w:rPr>
        <w:t>Use your data to determine if there is more variability with successful or unsuccessful campaigns. Does this make sense? Why or why not?</w:t>
      </w:r>
    </w:p>
    <w:p w:rsidR="00E62ABD" w:rsidRDefault="00E62ABD"/>
    <w:sectPr w:rsidR="00E6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CAB"/>
    <w:multiLevelType w:val="hybridMultilevel"/>
    <w:tmpl w:val="1DA6E116"/>
    <w:lvl w:ilvl="0" w:tplc="87AA1FB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347C"/>
    <w:multiLevelType w:val="hybridMultilevel"/>
    <w:tmpl w:val="88DA9D4C"/>
    <w:lvl w:ilvl="0" w:tplc="FA7E4D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24115"/>
    <w:multiLevelType w:val="multilevel"/>
    <w:tmpl w:val="EB1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982E89"/>
    <w:multiLevelType w:val="hybridMultilevel"/>
    <w:tmpl w:val="F3DAB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C768D"/>
    <w:multiLevelType w:val="multilevel"/>
    <w:tmpl w:val="A484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E18E0"/>
    <w:multiLevelType w:val="multilevel"/>
    <w:tmpl w:val="1BE6ADA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 w16cid:durableId="1688093424">
    <w:abstractNumId w:val="2"/>
  </w:num>
  <w:num w:numId="2" w16cid:durableId="837423722">
    <w:abstractNumId w:val="5"/>
  </w:num>
  <w:num w:numId="3" w16cid:durableId="1472092671">
    <w:abstractNumId w:val="0"/>
  </w:num>
  <w:num w:numId="4" w16cid:durableId="1830173098">
    <w:abstractNumId w:val="3"/>
  </w:num>
  <w:num w:numId="5" w16cid:durableId="1543781579">
    <w:abstractNumId w:val="1"/>
  </w:num>
  <w:num w:numId="6" w16cid:durableId="1348366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2ABD"/>
    <w:rsid w:val="00020F7D"/>
    <w:rsid w:val="00042F63"/>
    <w:rsid w:val="00356221"/>
    <w:rsid w:val="00484534"/>
    <w:rsid w:val="00526698"/>
    <w:rsid w:val="005572A3"/>
    <w:rsid w:val="0056277D"/>
    <w:rsid w:val="006E3208"/>
    <w:rsid w:val="006F5A7D"/>
    <w:rsid w:val="008D31FF"/>
    <w:rsid w:val="008E3428"/>
    <w:rsid w:val="00942F07"/>
    <w:rsid w:val="0096510E"/>
    <w:rsid w:val="009E2536"/>
    <w:rsid w:val="00A11773"/>
    <w:rsid w:val="00A622BF"/>
    <w:rsid w:val="00BA31EF"/>
    <w:rsid w:val="00C25CF5"/>
    <w:rsid w:val="00CA05D9"/>
    <w:rsid w:val="00D177AC"/>
    <w:rsid w:val="00D22FC5"/>
    <w:rsid w:val="00E62ABD"/>
    <w:rsid w:val="00F53886"/>
    <w:rsid w:val="00F760B9"/>
    <w:rsid w:val="00FA73A4"/>
    <w:rsid w:val="00FB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59A66"/>
  <w15:docId w15:val="{6BA7038A-04E6-47ED-9C70-3D7B330E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62A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2AB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62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1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U%20Data%20Analytics%20Program\University%20of%20Denver%20Data%20Analytics%20Boot%20Camp%20Classwork\Module%201%20Challenge%20-%20Crowfunding%20Analytics\excel-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U%20Data%20Analytics%20Program\University%20of%20Denver%20Data%20Analytics%20Boot%20Camp%20Classwork\Module%201%20Challenge%20-%20Crowfunding%20Analytics\excel-challen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[excel-challenge.xlsx]Sub-Category!PivotTable20</c:name>
    <c:fmtId val="-1"/>
  </c:pivotSource>
  <c:chart>
    <c:autoTitleDeleted val="0"/>
    <c:pivotFmts>
      <c:pivotFmt>
        <c:idx val="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bg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bg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bg1">
              <a:lumMod val="50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'Sub-Category'!$B$5:$B$6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'Sub-Category'!$A$7:$A$31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'Sub-Category'!$B$7:$B$31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06-40CC-AB5B-8CD38FDBCB9F}"/>
            </c:ext>
          </c:extLst>
        </c:ser>
        <c:ser>
          <c:idx val="1"/>
          <c:order val="1"/>
          <c:tx>
            <c:strRef>
              <c:f>'Sub-Category'!$C$5:$C$6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'Sub-Category'!$A$7:$A$31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'Sub-Category'!$C$7:$C$31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06-40CC-AB5B-8CD38FDBCB9F}"/>
            </c:ext>
          </c:extLst>
        </c:ser>
        <c:ser>
          <c:idx val="2"/>
          <c:order val="2"/>
          <c:tx>
            <c:strRef>
              <c:f>'Sub-Category'!$D$5:$D$6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bg1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'Sub-Category'!$A$7:$A$31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'Sub-Category'!$D$7:$D$31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706-40CC-AB5B-8CD38FDBCB9F}"/>
            </c:ext>
          </c:extLst>
        </c:ser>
        <c:ser>
          <c:idx val="3"/>
          <c:order val="3"/>
          <c:tx>
            <c:strRef>
              <c:f>'Sub-Category'!$E$5:$E$6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'Sub-Category'!$A$7:$A$31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'Sub-Category'!$E$7:$E$31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706-40CC-AB5B-8CD38FDBCB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60574400"/>
        <c:axId val="560577024"/>
      </c:barChart>
      <c:catAx>
        <c:axId val="560574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77024"/>
        <c:crosses val="autoZero"/>
        <c:auto val="1"/>
        <c:lblAlgn val="ctr"/>
        <c:lblOffset val="100"/>
        <c:noMultiLvlLbl val="0"/>
      </c:catAx>
      <c:valAx>
        <c:axId val="560577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05744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[excel-challenge.xlsx]Pivot-Chart Line Graph!PivotTable25</c:name>
    <c:fmtId val="-1"/>
  </c:pivotSource>
  <c:chart>
    <c:autoTitleDeleted val="1"/>
    <c:pivotFmts>
      <c:pivotFmt>
        <c:idx val="0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circle"/>
          <c:size val="5"/>
          <c:spPr>
            <a:noFill/>
            <a:ln w="9525">
              <a:solidFill>
                <a:schemeClr val="accent4">
                  <a:lumMod val="60000"/>
                  <a:lumOff val="4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2">
                <a:lumMod val="75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>
                <a:lumMod val="75000"/>
              </a:schemeClr>
            </a:solidFill>
            <a:ln w="9525">
              <a:solidFill>
                <a:schemeClr val="accent2">
                  <a:lumMod val="75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bg1">
                <a:lumMod val="50000"/>
              </a:schemeClr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</c:pivotFmt>
      <c:pivotFmt>
        <c:idx val="4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circle"/>
          <c:size val="5"/>
          <c:spPr>
            <a:noFill/>
            <a:ln w="9525">
              <a:solidFill>
                <a:schemeClr val="accent4">
                  <a:lumMod val="60000"/>
                  <a:lumOff val="4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2">
                <a:lumMod val="75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>
                <a:lumMod val="75000"/>
              </a:schemeClr>
            </a:solidFill>
            <a:ln w="9525">
              <a:solidFill>
                <a:schemeClr val="accent2">
                  <a:lumMod val="75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bg1">
                <a:lumMod val="50000"/>
              </a:schemeClr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4">
                <a:lumMod val="60000"/>
                <a:lumOff val="40000"/>
              </a:schemeClr>
            </a:solidFill>
            <a:round/>
          </a:ln>
          <a:effectLst/>
        </c:spPr>
        <c:marker>
          <c:symbol val="circle"/>
          <c:size val="5"/>
          <c:spPr>
            <a:noFill/>
            <a:ln w="9525">
              <a:solidFill>
                <a:schemeClr val="accent4">
                  <a:lumMod val="60000"/>
                  <a:lumOff val="40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2">
                <a:lumMod val="75000"/>
              </a:schemeClr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>
                <a:lumMod val="75000"/>
              </a:schemeClr>
            </a:solidFill>
            <a:ln w="9525">
              <a:solidFill>
                <a:schemeClr val="accent2">
                  <a:lumMod val="75000"/>
                </a:schemeClr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bg1">
                <a:lumMod val="50000"/>
              </a:schemeClr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'Pivot-Chart Line Graph'!$B$4:$B$5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4">
                    <a:lumMod val="60000"/>
                    <a:lumOff val="40000"/>
                  </a:schemeClr>
                </a:solidFill>
              </a:ln>
              <a:effectLst/>
            </c:spPr>
          </c:marker>
          <c:cat>
            <c:strRef>
              <c:f>'Pivot-Chart Line Graph'!$A$6:$A$17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'Pivot-Chart Line Graph'!$B$6:$B$17</c:f>
              <c:numCache>
                <c:formatCode>General</c:formatCode>
                <c:ptCount val="11"/>
                <c:pt idx="0">
                  <c:v>14</c:v>
                </c:pt>
                <c:pt idx="1">
                  <c:v>6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7</c:v>
                </c:pt>
                <c:pt idx="6">
                  <c:v>5</c:v>
                </c:pt>
                <c:pt idx="7">
                  <c:v>5</c:v>
                </c:pt>
                <c:pt idx="8">
                  <c:v>4</c:v>
                </c:pt>
                <c:pt idx="9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5B-4EF6-B6D1-BD73E48719A9}"/>
            </c:ext>
          </c:extLst>
        </c:ser>
        <c:ser>
          <c:idx val="1"/>
          <c:order val="1"/>
          <c:tx>
            <c:strRef>
              <c:f>'Pivot-Chart Line Graph'!$C$4:$C$5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75000"/>
                </a:schemeClr>
              </a:solidFill>
              <a:ln w="9525">
                <a:solidFill>
                  <a:schemeClr val="accent2">
                    <a:lumMod val="75000"/>
                  </a:schemeClr>
                </a:solidFill>
              </a:ln>
              <a:effectLst/>
            </c:spPr>
          </c:marker>
          <c:cat>
            <c:strRef>
              <c:f>'Pivot-Chart Line Graph'!$A$6:$A$17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'Pivot-Chart Line Graph'!$C$6:$C$17</c:f>
              <c:numCache>
                <c:formatCode>General</c:formatCode>
                <c:ptCount val="11"/>
                <c:pt idx="0">
                  <c:v>35</c:v>
                </c:pt>
                <c:pt idx="1">
                  <c:v>40</c:v>
                </c:pt>
                <c:pt idx="2">
                  <c:v>32</c:v>
                </c:pt>
                <c:pt idx="3">
                  <c:v>35</c:v>
                </c:pt>
                <c:pt idx="4">
                  <c:v>37</c:v>
                </c:pt>
                <c:pt idx="5">
                  <c:v>42</c:v>
                </c:pt>
                <c:pt idx="6">
                  <c:v>42</c:v>
                </c:pt>
                <c:pt idx="7">
                  <c:v>28</c:v>
                </c:pt>
                <c:pt idx="8">
                  <c:v>35</c:v>
                </c:pt>
                <c:pt idx="9">
                  <c:v>36</c:v>
                </c:pt>
                <c:pt idx="10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65B-4EF6-B6D1-BD73E48719A9}"/>
            </c:ext>
          </c:extLst>
        </c:ser>
        <c:ser>
          <c:idx val="2"/>
          <c:order val="2"/>
          <c:tx>
            <c:strRef>
              <c:f>'Pivot-Chart Line Graph'!$D$4:$D$5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bg1">
                  <a:lumMod val="50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'Pivot-Chart Line Graph'!$A$6:$A$17</c:f>
              <c:strCache>
                <c:ptCount val="11"/>
                <c:pt idx="0">
                  <c:v>2010</c:v>
                </c:pt>
                <c:pt idx="1">
                  <c:v>2011</c:v>
                </c:pt>
                <c:pt idx="2">
                  <c:v>2012</c:v>
                </c:pt>
                <c:pt idx="3">
                  <c:v>2013</c:v>
                </c:pt>
                <c:pt idx="4">
                  <c:v>2014</c:v>
                </c:pt>
                <c:pt idx="5">
                  <c:v>2015</c:v>
                </c:pt>
                <c:pt idx="6">
                  <c:v>2016</c:v>
                </c:pt>
                <c:pt idx="7">
                  <c:v>2017</c:v>
                </c:pt>
                <c:pt idx="8">
                  <c:v>2018</c:v>
                </c:pt>
                <c:pt idx="9">
                  <c:v>2019</c:v>
                </c:pt>
                <c:pt idx="10">
                  <c:v>2020</c:v>
                </c:pt>
              </c:strCache>
            </c:strRef>
          </c:cat>
          <c:val>
            <c:numRef>
              <c:f>'Pivot-Chart Line Graph'!$D$6:$D$17</c:f>
              <c:numCache>
                <c:formatCode>General</c:formatCode>
                <c:ptCount val="11"/>
                <c:pt idx="0">
                  <c:v>58</c:v>
                </c:pt>
                <c:pt idx="1">
                  <c:v>56</c:v>
                </c:pt>
                <c:pt idx="2">
                  <c:v>45</c:v>
                </c:pt>
                <c:pt idx="3">
                  <c:v>48</c:v>
                </c:pt>
                <c:pt idx="4">
                  <c:v>60</c:v>
                </c:pt>
                <c:pt idx="5">
                  <c:v>54</c:v>
                </c:pt>
                <c:pt idx="6">
                  <c:v>49</c:v>
                </c:pt>
                <c:pt idx="7">
                  <c:v>67</c:v>
                </c:pt>
                <c:pt idx="8">
                  <c:v>61</c:v>
                </c:pt>
                <c:pt idx="9">
                  <c:v>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65B-4EF6-B6D1-BD73E48719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5201272"/>
        <c:axId val="555205864"/>
      </c:lineChart>
      <c:catAx>
        <c:axId val="555201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205864"/>
        <c:crosses val="autoZero"/>
        <c:auto val="1"/>
        <c:lblAlgn val="ctr"/>
        <c:lblOffset val="100"/>
        <c:noMultiLvlLbl val="0"/>
      </c:catAx>
      <c:valAx>
        <c:axId val="555205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201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4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6</cp:revision>
  <dcterms:created xsi:type="dcterms:W3CDTF">2023-02-24T04:56:00Z</dcterms:created>
  <dcterms:modified xsi:type="dcterms:W3CDTF">2023-02-25T18:24:00Z</dcterms:modified>
</cp:coreProperties>
</file>