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b/>
          <w:bCs/>
          <w:color w:val="26215C"/>
          <w:sz w:val="56"/>
          <w:szCs w:val="56"/>
        </w:rPr>
        <w:t xml:space="preserve">Business Rules Platform</w:t>
      </w:r>
    </w:p>
    <w:p>
      <w:pPr>
        <w:spacing w:after="60"/>
      </w:pPr>
      <w:r>
        <w:rPr>
          <w:color w:val="26211C"/>
          <w:sz w:val="30"/>
          <w:szCs w:val="30"/>
        </w:rPr>
        <w:t xml:space="preserve">Design Overview &amp; Points For Your Review</w:t>
      </w:r>
    </w:p>
    <w:p>
      <w:pPr>
        <w:pBdr>
          <w:bottom w:val="single" w:color="7F77DD" w:sz="8" w:space="6"/>
        </w:pBdr>
        <w:spacing w:after="60"/>
      </w:pPr>
      <w:r>
        <w:rPr>
          <w:color w:val="6B6B6B"/>
          <w:sz w:val="22"/>
          <w:szCs w:val="22"/>
        </w:rPr>
        <w:t xml:space="preserve">July 2026  ·  Draft for customer review</w:t>
      </w:r>
    </w:p>
    <w:p>
      <w:pPr>
        <w:spacing w:after="240" w:before="0"/>
      </w:pPr>
      <w:r>
        <w:rPr>
          <w:color w:val="6B6B6B"/>
          <w:sz w:val="22"/>
          <w:szCs w:val="22"/>
        </w:rPr>
        <w:t xml:space="preserve">This document summarizes the platform design, records the decisions confirmed together, and lists the points where we would like your input. New in this version: the two delivery modes, a concrete legacy-code-to-rule-to-code example, and the full technology stack. Deeper technical detail lives in the repository (prd.md, architecture.md).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1. What This Platform Does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Today, the rules that decide whether and how a customer can enroll in a financial or insurance product live inside application source code. Understanding them requires a developer; changing them requires a development project.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This platform moves those rules out of code and into a governed Rule Repository, so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adding a product or changing enrollment logic means </w:t>
      </w:r>
      <w:r>
        <w:rPr>
          <w:b/>
          <w:bCs/>
          <w:color w:val="26211C"/>
          <w:sz w:val="22"/>
          <w:szCs w:val="22"/>
        </w:rPr>
        <w:t xml:space="preserve">editing data, not code</w:t>
      </w:r>
      <w:r>
        <w:rPr>
          <w:color w:val="2621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business users can read, review, version, and approve every rule;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every change is auditable — who changed what, when, and why;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the same platform can be rolled out to many systems and sites — it is a product, not a one-off.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2. How It Works — End To End</w:t>
      </w:r>
    </w:p>
    <w:p>
      <w:pPr>
        <w:spacing w:after="160" w:before="0"/>
      </w:pPr>
      <w:r>
        <w:rPr>
          <w:b/>
          <w:bCs/>
          <w:color w:val="26211C"/>
          <w:sz w:val="22"/>
          <w:szCs w:val="22"/>
        </w:rPr>
        <w:t xml:space="preserve">Phase 1 · Initial Load (one time per system). </w:t>
      </w:r>
      <w:r>
        <w:rPr>
          <w:color w:val="26211C"/>
          <w:sz w:val="22"/>
          <w:szCs w:val="22"/>
        </w:rPr>
        <w:t xml:space="preserve">We connect to the system's source repository and database, automatically locate the enrollment logic, and convert it into draft rules. Nothing is applied automatically: </w:t>
      </w:r>
      <w:r>
        <w:rPr>
          <w:b/>
          <w:bCs/>
          <w:color w:val="26211C"/>
          <w:sz w:val="22"/>
          <w:szCs w:val="22"/>
        </w:rPr>
        <w:t xml:space="preserve">your experts review and approve every rule</w:t>
      </w:r>
      <w:r>
        <w:rPr>
          <w:color w:val="26211C"/>
          <w:sz w:val="22"/>
          <w:szCs w:val="22"/>
        </w:rPr>
        <w:t xml:space="preserve">, and each rule keeps a link back to the exact place in the legacy source it came from.</w:t>
      </w:r>
    </w:p>
    <w:p>
      <w:pPr>
        <w:spacing w:after="160" w:before="0"/>
      </w:pPr>
      <w:r>
        <w:rPr>
          <w:b/>
          <w:bCs/>
          <w:color w:val="26211C"/>
          <w:sz w:val="22"/>
          <w:szCs w:val="22"/>
        </w:rPr>
        <w:t xml:space="preserve">Phase 2 · Operation (ongoing). </w:t>
      </w:r>
      <w:r>
        <w:rPr>
          <w:color w:val="26211C"/>
          <w:sz w:val="22"/>
          <w:szCs w:val="22"/>
        </w:rPr>
        <w:t xml:space="preserve">Business users add or edit rules in a governed workspace. Once approved, the change goes live through one of the two delivery modes below — with no re-extraction and no manual coding.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 xml:space="preserve">Figure 1 — End-to-end flow: one-time initial load (top), ongoing operation (bottom).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3. One Repository, Two Ways To Go Live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Different systems start from different places, so the final step is chosen per system — everything before it (extraction, review, approval, audit) is identical.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 xml:space="preserve">Figure 2 — The delivery mode is a per-system choice, not a platform fork.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5C"/>
                <w:sz w:val="20"/>
                <w:szCs w:val="20"/>
              </w:rPr>
              <w:t xml:space="preserve">Mode B — Code Generation</w:t>
            </w:r>
          </w:p>
        </w:tc>
        <w:tc>
          <w:tcPr>
            <w:tcW w:type="dxa" w:w="3413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Mode A — Engine Runtime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Best for</w:t>
            </w:r>
          </w:p>
        </w:tc>
        <w:tc>
          <w:tcPr>
            <w:tcW w:type="dxa" w:w="341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Systems whose logic lives in source code (most legacy systems)</w:t>
            </w:r>
          </w:p>
        </w:tc>
        <w:tc>
          <w:tcPr>
            <w:tcW w:type="dxa" w:w="341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Systems already running another rule engine (e.g., DMN/Camunda)</w:t>
            </w:r>
          </w:p>
        </w:tc>
      </w:tr>
      <w:tr>
        <w:tc>
          <w:tcPr>
            <w:tcW w:type="dxa" w:w="2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What “go live” means</w:t>
            </w:r>
          </w:p>
        </w:tc>
        <w:tc>
          <w:tcPr>
            <w:tcW w:type="dxa" w:w="3413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The platform regenerates the source code, tests it, and deploys it through your normal release process</w:t>
            </w:r>
          </w:p>
        </w:tc>
        <w:tc>
          <w:tcPr>
            <w:tcW w:type="dxa" w:w="3413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The approved rule is published to our rule engine — effective immediately, no rebuild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Runtime footprint</w:t>
            </w:r>
          </w:p>
        </w:tc>
        <w:tc>
          <w:tcPr>
            <w:tcW w:type="dxa" w:w="341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None — your application keeps running its own code</w:t>
            </w:r>
          </w:p>
        </w:tc>
        <w:tc>
          <w:tcPr>
            <w:tcW w:type="dxa" w:w="341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A small decision service runs alongside your systems</w:t>
            </w:r>
          </w:p>
        </w:tc>
      </w:tr>
      <w:tr>
        <w:tc>
          <w:tcPr>
            <w:tcW w:type="dxa" w:w="2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Delivery order</w:t>
            </w:r>
          </w:p>
        </w:tc>
        <w:tc>
          <w:tcPr>
            <w:tcW w:type="dxa" w:w="3413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First (Phase 1 pilot)</w:t>
            </w:r>
          </w:p>
        </w:tc>
        <w:tc>
          <w:tcPr>
            <w:tcW w:type="dxa" w:w="3413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Second (with the engine-migration work)</w:t>
            </w:r>
          </w:p>
        </w:tc>
      </w:tr>
    </w:tbl>
    <w:p>
      <w:pPr>
        <w:spacing w:after="60" w:before="0"/>
      </w:pPr>
      <w:r>
        <w:rPr>
          <w:color w:val="26211C"/>
          <w:sz w:val="22"/>
          <w:szCs w:val="22"/>
        </w:rPr>
        <w:t xml:space="preserve"/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4. A Concrete Example — From Legacy Code To Rule To New Code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The whole platform in one example. Today, an enrollment condition is buried in Java (only a developer can find and change it):</w:t>
      </w:r>
    </w:p>
    <w:p>
      <w:pPr>
        <w:spacing w:after="40" w:before="120"/>
      </w:pPr>
      <w:r>
        <w:rPr>
          <w:b/>
          <w:bCs/>
          <w:color w:val="26215C"/>
          <w:sz w:val="20"/>
          <w:szCs w:val="20"/>
        </w:rPr>
        <w:t xml:space="preserve">① What exists today — legacy source code (what we mine)</w:t>
      </w:r>
    </w:p>
    <w:p>
      <w:pPr>
        <w:shd w:fill="F4F3EE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// EnrollmentValidator.java — legacy system, lines 120–132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if (customer.getAge() &lt; 18) 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result.setEligible(false);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result.setReasonCode("UNDER_AGE");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return result;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}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if ("CANCER_BASIC".equals(product.getCode()) &amp;&amp; customer.getAge() &gt; 65) 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result.setEligible(false);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result.setReasonCode("OVER_AGE_LIMIT");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return result;</w:t>
      </w:r>
    </w:p>
    <w:p>
      <w:pPr>
        <w:shd w:fill="F4F3EE" w:val="clear"/>
        <w:spacing w:after="20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}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During the initial load, static analysis (Joern) locates this logic inside the large codebase, and AI converts it into a </w:t>
      </w:r>
      <w:r>
        <w:rPr>
          <w:b/>
          <w:bCs/>
          <w:color w:val="26211C"/>
          <w:sz w:val="22"/>
          <w:szCs w:val="22"/>
        </w:rPr>
        <w:t xml:space="preserve">draft rule</w:t>
      </w:r>
      <w:r>
        <w:rPr>
          <w:color w:val="26211C"/>
          <w:sz w:val="22"/>
          <w:szCs w:val="22"/>
        </w:rPr>
        <w:t xml:space="preserve"> — reviewed and approved by your experts before it counts. The rule is stored as neutral, engine-independent data with a trace back to its origin:</w:t>
      </w:r>
    </w:p>
    <w:p>
      <w:pPr>
        <w:spacing w:after="40" w:before="120"/>
      </w:pPr>
      <w:r>
        <w:rPr>
          <w:b/>
          <w:bCs/>
          <w:color w:val="26215C"/>
          <w:sz w:val="20"/>
          <w:szCs w:val="20"/>
        </w:rPr>
        <w:t xml:space="preserve">② What the repository stores — the rule as data (business users see this as a decision table)</w:t>
      </w:r>
    </w:p>
    <w:p>
      <w:pPr>
        <w:shd w:fill="F4F3EE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"decisionId": "enrollment_eligibility",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"hitPolicy": "FIRST",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"rules": [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{ "ruleId": "R001",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"when": [ { "field": "customer.age", "op": "&lt;", "value": 18 } ],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"then": [ { "field": "eligible",   "value": false },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        { "field": "reasonCode", "value": "UNDER_AGE" } ],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"source": "EnrollmentValidator.java:120-132",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"confidence": 0.82, "status": "APPROVED" },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{ "ruleId": "R002", "...": "OVER_AGE_LIMIT rule, same shape" }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]</w:t>
      </w:r>
    </w:p>
    <w:p>
      <w:pPr>
        <w:shd w:fill="F4F3EE" w:val="clear"/>
        <w:spacing w:after="20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}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Later, in operation: a business user changes the age limit from </w:t>
      </w:r>
      <w:r>
        <w:rPr>
          <w:b/>
          <w:bCs/>
          <w:color w:val="26211C"/>
          <w:sz w:val="22"/>
          <w:szCs w:val="22"/>
        </w:rPr>
        <w:t xml:space="preserve">18 to 19</w:t>
      </w:r>
      <w:r>
        <w:rPr>
          <w:color w:val="26211C"/>
          <w:sz w:val="22"/>
          <w:szCs w:val="22"/>
        </w:rPr>
        <w:t xml:space="preserve"> in the decision-table screen; an approver signs it off. The platform then regenerates the code — automatically, from a fixed template, the same way every time — runs the golden tests, and hands your release pipeline a reviewable change:</w:t>
      </w:r>
    </w:p>
    <w:p>
      <w:pPr>
        <w:spacing w:after="40" w:before="120"/>
      </w:pPr>
      <w:r>
        <w:rPr>
          <w:b/>
          <w:bCs/>
          <w:color w:val="26215C"/>
          <w:sz w:val="20"/>
          <w:szCs w:val="20"/>
        </w:rPr>
        <w:t xml:space="preserve">③ What gets deployed — regenerated source code (Mode B)</w:t>
      </w:r>
    </w:p>
    <w:p>
      <w:pPr>
        <w:shd w:fill="F4F3EE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// GENERATED — Business Rules Platform · decision enrollment_eligibility · v8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// Do not edit by hand; changes are made in the Rule Repository.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@Generated("rules-platform")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public final class EnrollmentEligibilityRules 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public Decision evaluate(EnrollmentInput in) 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if (in.customerAge() &lt; 19) {                     // R001 (edited: 18 → 19)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    return Decision.reject("UNDER_AGE");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}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if ("CANCER_BASIC".equals(in.productCode()) &amp;&amp; in.customerAge() &gt; 65) {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    return Decision.reject("OVER_AGE_LIMIT");   // R002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}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    return Decision.accept();</w:t>
      </w:r>
    </w:p>
    <w:p>
      <w:pPr>
        <w:shd w:fill="F4F3EE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    }</w:t>
      </w:r>
    </w:p>
    <w:p>
      <w:pPr>
        <w:shd w:fill="F4F3EE" w:val="clear"/>
        <w:spacing w:after="200" w:before="0" w:line="252"/>
        <w:ind w:left="240" w:right="240"/>
      </w:pPr>
      <w:r>
        <w:rPr>
          <w:rFonts w:ascii="Consolas" w:cs="Consolas" w:eastAsia="Consolas" w:hAnsi="Consolas"/>
          <w:color w:val="26211C"/>
          <w:sz w:val="17"/>
          <w:szCs w:val="17"/>
        </w:rPr>
        <w:t xml:space="preserve">}</w:t>
      </w:r>
    </w:p>
    <w:p>
      <w:pPr>
        <w:spacing w:after="240" w:before="0"/>
      </w:pPr>
      <w:r>
        <w:rPr>
          <w:color w:val="26211C"/>
          <w:sz w:val="22"/>
          <w:szCs w:val="22"/>
        </w:rPr>
        <w:t xml:space="preserve">For a Mode A system, step ③ is different: the approved rule is simply published to the rule engine and takes effect immediately — no rebuild. Steps ① and ② are identical in both modes.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5. Technology Stack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Every runtime component is open-source — the platform itself carries no third-party license fees. AI is used only in the extraction step (drafting candidate rules for human review). The extraction model is deliberately not fixed: bulk extraction is high-volume, repetitive work where cost-efficient models excel, so we benchmark candidate models on your real sample code in Phase 0 and select by measured accuracy per cost — and for closed environments, open-weights models can run fully on-premise.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526"/>
        <w:gridCol w:w="1200"/>
      </w:tblGrid>
      <w:tr>
        <w:trPr>
          <w:tblHeader/>
        </w:trPr>
        <w:tc>
          <w:tcPr>
            <w:tcW w:type="dxa" w:w="25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6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Legacy code analysis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Joern (code property graph)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Locates the enrollment logic inside large codebases and cuts out exactly the relevant parts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25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AI-assisted extraction</w:t>
            </w:r>
          </w:p>
        </w:tc>
        <w:tc>
          <w:tcPr>
            <w:tcW w:type="dxa" w:w="28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Tiered LLMs, selected by benchmark (e.g., DeepSeek / Kimi / GLM / Qwen for bulk work; frontier models for hard cases) — fully swappable per site policy</w:t>
            </w:r>
          </w:p>
        </w:tc>
        <w:tc>
          <w:tcPr>
            <w:tcW w:type="dxa" w:w="35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Reads the located code and drafts candidate rules — always human-reviewed, never writes production code. Open-weights options can run fully on-premise for closed environments</w:t>
            </w:r>
          </w:p>
        </w:tc>
        <w:tc>
          <w:tcPr>
            <w:tcW w:type="dxa" w:w="1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API / open-weights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Rule repository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Stores rules as data with full version history and audit trail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PostgreSQL (open)</w:t>
            </w:r>
          </w:p>
        </w:tc>
      </w:tr>
      <w:tr>
        <w:tc>
          <w:tcPr>
            <w:tcW w:type="dxa" w:w="25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Platform services</w:t>
            </w:r>
          </w:p>
        </w:tc>
        <w:tc>
          <w:tcPr>
            <w:tcW w:type="dxa" w:w="28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Python · FastAPI</w:t>
            </w:r>
          </w:p>
        </w:tc>
        <w:tc>
          <w:tcPr>
            <w:tcW w:type="dxa" w:w="35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Extraction pipelines, repository API, governance workflow</w:t>
            </w:r>
          </w:p>
        </w:tc>
        <w:tc>
          <w:tcPr>
            <w:tcW w:type="dxa" w:w="1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Governance web UI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Vue 3 (decision-table editor, diff &amp; approval screens)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Where business users browse, edit, compare, and approve rules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Java code generation</w:t>
            </w:r>
          </w:p>
        </w:tc>
        <w:tc>
          <w:tcPr>
            <w:tcW w:type="dxa" w:w="28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JavaPoet + google-java-format</w:t>
            </w:r>
          </w:p>
        </w:tc>
        <w:tc>
          <w:tcPr>
            <w:tcW w:type="dxa" w:w="35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Turns approved rules into deterministic, formatted Java source (Mode B)</w:t>
            </w:r>
          </w:p>
        </w:tc>
        <w:tc>
          <w:tcPr>
            <w:tcW w:type="dxa" w:w="1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One-time code integration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OpenRewrite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Surgically replaces the mined legacy region with a call to the generated module (initial load only)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Apache-2.0</w:t>
            </w:r>
          </w:p>
        </w:tc>
      </w:tr>
      <w:tr>
        <w:tc>
          <w:tcPr>
            <w:tcW w:type="dxa" w:w="25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28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GoRules Zen</w:t>
            </w:r>
          </w:p>
        </w:tc>
        <w:tc>
          <w:tcPr>
            <w:tcW w:type="dxa" w:w="35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Runs rules live for Mode A systems; also powers instant rule preview for reviewers</w:t>
            </w:r>
          </w:p>
        </w:tc>
        <w:tc>
          <w:tcPr>
            <w:tcW w:type="dxa" w:w="1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DB connectivity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Reusable MCP connector library (PostgreSQL first)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Plug-and-play database access per site — connection info in, no per-site development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Open (ours)</w:t>
            </w:r>
          </w:p>
        </w:tc>
      </w:tr>
      <w:tr>
        <w:tc>
          <w:tcPr>
            <w:tcW w:type="dxa" w:w="25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Build &amp; delivery</w:t>
            </w:r>
          </w:p>
        </w:tc>
        <w:tc>
          <w:tcPr>
            <w:tcW w:type="dxa" w:w="28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Your existing git + CI/CD (Gradle build)</w:t>
            </w:r>
          </w:p>
        </w:tc>
        <w:tc>
          <w:tcPr>
            <w:tcW w:type="dxa" w:w="35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Generated code ships through your normal, already-audited release process</w:t>
            </w:r>
          </w:p>
        </w:tc>
        <w:tc>
          <w:tcPr>
            <w:tcW w:type="dxa" w:w="12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color w:val="26211C"/>
          <w:sz w:val="22"/>
          <w:szCs w:val="22"/>
        </w:rPr>
        <w:t xml:space="preserve">Java and PostgreSQL are the first adapters, not the boundary: each language, database, and legacy rule engine is a plug-in, so extending to C#, Oracle, or Drools later is an add-on, not a rewrite.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6. Decisions Confirmed With You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26"/>
        <w:gridCol w:w="1600"/>
      </w:tblGrid>
      <w:tr>
        <w:trPr>
          <w:tblHeader/>
        </w:trPr>
        <w:tc>
          <w:tcPr>
            <w:tcW w:type="dxa" w:w="30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Topic</w:t>
            </w:r>
          </w:p>
        </w:tc>
        <w:tc>
          <w:tcPr>
            <w:tcW w:type="dxa" w:w="5426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Confirmed direction</w:t>
            </w:r>
          </w:p>
        </w:tc>
        <w:tc>
          <w:tcPr>
            <w:tcW w:type="dxa" w:w="160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Purpose of initial loading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One-time migration step (SI). In operation (SM), users maintain rules in the platform — the initial conversion is never repeated.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0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Legacy sources &amp; priority</w:t>
            </w:r>
          </w:p>
        </w:tc>
        <w:tc>
          <w:tcPr>
            <w:tcW w:type="dxa" w:w="54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DB configuration tables first; business manuals as a supplement; extracting rules from source code is pursued as this platform's key differentiator. Stored procedures and screen validations are deferred.</w:t>
            </w:r>
          </w:p>
        </w:tc>
        <w:tc>
          <w:tcPr>
            <w:tcW w:type="dxa" w:w="16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Delivery approach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Code generation leads (Mode B). Systems migrating from another rule engine will run on our engine instead (Mode A).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Jun 30 / Jul 3</w:t>
            </w:r>
          </w:p>
        </w:tc>
      </w:tr>
      <w:tr>
        <w:tc>
          <w:tcPr>
            <w:tcW w:type="dxa" w:w="30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Technology base</w:t>
            </w:r>
          </w:p>
        </w:tc>
        <w:tc>
          <w:tcPr>
            <w:tcW w:type="dxa" w:w="54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Java and PostgreSQL first — designed from day one to extend to other languages and databases.</w:t>
            </w:r>
          </w:p>
        </w:tc>
        <w:tc>
          <w:tcPr>
            <w:tcW w:type="dxa" w:w="16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Jul 2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Multi-site product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Built as a reusable, plug-and-play solution: per-site setup is configuration (including a ready-made database connector), not custom development.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Jul 2</w:t>
            </w:r>
          </w:p>
        </w:tc>
      </w:tr>
      <w:tr>
        <w:tc>
          <w:tcPr>
            <w:tcW w:type="dxa" w:w="30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542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GoRules Zen — open-source (MIT), no license fees, embeddable. Working choice; formal confirmation open.</w:t>
            </w:r>
          </w:p>
        </w:tc>
        <w:tc>
          <w:tcPr>
            <w:tcW w:type="dxa" w:w="160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Jul 2–3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Migration from other engines</w:t>
            </w:r>
          </w:p>
        </w:tc>
        <w:tc>
          <w:tcPr>
            <w:tcW w:type="dxa" w:w="5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DMN (the international decision-model standard) is supported as an import path for rules held in other engines.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Jul 2</w:t>
            </w:r>
          </w:p>
        </w:tc>
      </w:tr>
    </w:tbl>
    <w:p>
      <w:pPr>
        <w:spacing w:after="60" w:before="0"/>
      </w:pPr>
      <w:r>
        <w:rPr>
          <w:color w:val="26211C"/>
          <w:sz w:val="22"/>
          <w:szCs w:val="22"/>
        </w:rPr>
        <w:t xml:space="preserve"/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7. Safety &amp; Governance Built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11C"/>
          <w:sz w:val="22"/>
          <w:szCs w:val="22"/>
        </w:rPr>
        <w:t xml:space="preserve">Nothing is applied automatically. </w:t>
      </w:r>
      <w:r>
        <w:rPr>
          <w:color w:val="26211C"/>
          <w:sz w:val="22"/>
          <w:szCs w:val="22"/>
        </w:rPr>
        <w:t xml:space="preserve">Every extracted rule is a draft that a person must review and approve, with a link to the exact legacy source it came from (file and line).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11C"/>
          <w:sz w:val="22"/>
          <w:szCs w:val="22"/>
        </w:rPr>
        <w:t xml:space="preserve">Maker-checker approval. </w:t>
      </w:r>
      <w:r>
        <w:rPr>
          <w:color w:val="26211C"/>
          <w:sz w:val="22"/>
          <w:szCs w:val="22"/>
        </w:rPr>
        <w:t xml:space="preserve">Rule changes require independent approval; every version and decision is kept in a full audit trail.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11C"/>
          <w:sz w:val="22"/>
          <w:szCs w:val="22"/>
        </w:rPr>
        <w:t xml:space="preserve">Golden tests. </w:t>
      </w:r>
      <w:r>
        <w:rPr>
          <w:color w:val="26211C"/>
          <w:sz w:val="22"/>
          <w:szCs w:val="22"/>
        </w:rPr>
        <w:t xml:space="preserve">A fixed set of known cases (input → expected outcome) must pass before any change reaches production — for both delivery modes.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11C"/>
          <w:sz w:val="22"/>
          <w:szCs w:val="22"/>
        </w:rPr>
        <w:t xml:space="preserve">Predictable code generation. </w:t>
      </w:r>
      <w:r>
        <w:rPr>
          <w:color w:val="26211C"/>
          <w:sz w:val="22"/>
          <w:szCs w:val="22"/>
        </w:rPr>
        <w:t xml:space="preserve">Generated code comes from fixed templates — the same rules always produce the same code, delivered as a reviewable change. AI assists only in reading legacy code; it never writes production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6211C"/>
          <w:sz w:val="22"/>
          <w:szCs w:val="22"/>
        </w:rPr>
        <w:t xml:space="preserve">Runs in your environment. </w:t>
      </w:r>
      <w:r>
        <w:rPr>
          <w:color w:val="26211C"/>
          <w:sz w:val="22"/>
          <w:szCs w:val="22"/>
        </w:rPr>
        <w:t xml:space="preserve">Fully self-hostable on-premise, suitable for regulated finance/insurance environments.</w:t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8. Questions For Your Review</w:t>
      </w:r>
    </w:p>
    <w:p>
      <w:pPr>
        <w:spacing w:after="160" w:before="0"/>
      </w:pPr>
      <w:r>
        <w:rPr>
          <w:color w:val="26211C"/>
          <w:sz w:val="22"/>
          <w:szCs w:val="22"/>
        </w:rPr>
        <w:t xml:space="preserve">These are the open points where your input directly shapes the design. None of them block the start of Phase 1 except the pilot selection (Q1).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70"/>
        <w:gridCol w:w="4596"/>
      </w:tblGrid>
      <w:tr>
        <w:trPr>
          <w:tblHeader/>
        </w:trPr>
        <w:tc>
          <w:tcPr>
            <w:tcW w:type="dxa" w:w="56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#</w:t>
            </w:r>
          </w:p>
        </w:tc>
        <w:tc>
          <w:tcPr>
            <w:tcW w:type="dxa" w:w="4870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Question</w:t>
            </w:r>
          </w:p>
        </w:tc>
        <w:tc>
          <w:tcPr>
            <w:tcW w:type="dxa" w:w="4596"/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1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Which product and which enrollment flow should the pilot start with?</w:t>
            </w:r>
          </w:p>
        </w:tc>
        <w:tc>
          <w:tcPr>
            <w:tcW w:type="dxa" w:w="459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Defines the smallest end-to-end proof; everything in Phase 1 is built and demonstrated against it.</w:t>
            </w:r>
          </w:p>
        </w:tc>
      </w:tr>
      <w:tr>
        <w:tc>
          <w:tcPr>
            <w:tcW w:type="dxa" w:w="56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2</w:t>
            </w:r>
          </w:p>
        </w:tc>
        <w:tc>
          <w:tcPr>
            <w:tcW w:type="dxa" w:w="487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How should rules be grouped for browsing and approval — per product, or per business process (e.g., one enrollment flow)?</w:t>
            </w:r>
          </w:p>
        </w:tc>
        <w:tc>
          <w:tcPr>
            <w:tcW w:type="dxa" w:w="459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Shapes the rule catalog and the approval screens your team will use every day.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3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When a rule uses reference data (e.g., rate tables), should updates take effect immediately, or only when explicitly published?</w:t>
            </w:r>
          </w:p>
        </w:tc>
        <w:tc>
          <w:tcPr>
            <w:tcW w:type="dxa" w:w="459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Determines how quickly a rate-table change reaches production, and how such changes are audited.</w:t>
            </w:r>
          </w:p>
        </w:tc>
      </w:tr>
      <w:tr>
        <w:tc>
          <w:tcPr>
            <w:tcW w:type="dxa" w:w="56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4</w:t>
            </w:r>
          </w:p>
        </w:tc>
        <w:tc>
          <w:tcPr>
            <w:tcW w:type="dxa" w:w="487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Who may approve a rule change, how many approvals are needed, and what evidence (e.g., test results) must be attached?</w:t>
            </w:r>
          </w:p>
        </w:tc>
        <w:tc>
          <w:tcPr>
            <w:tcW w:type="dxa" w:w="459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We build the maker-checker workflow around your compliance requirements, not a generic default.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5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For generated code changes, is business-level review sufficient, or should IT also review the code change before deployment?</w:t>
            </w:r>
          </w:p>
        </w:tc>
        <w:tc>
          <w:tcPr>
            <w:tcW w:type="dxa" w:w="459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Sets the final gate of the release process for Mode B systems.</w:t>
            </w:r>
          </w:p>
        </w:tc>
      </w:tr>
      <w:tr>
        <w:tc>
          <w:tcPr>
            <w:tcW w:type="dxa" w:w="56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6</w:t>
            </w:r>
          </w:p>
        </w:tc>
        <w:tc>
          <w:tcPr>
            <w:tcW w:type="dxa" w:w="4870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Do any target systems already run a rule engine today (e.g., Camunda / DMN-based)?</w:t>
            </w:r>
          </w:p>
        </w:tc>
        <w:tc>
          <w:tcPr>
            <w:tcW w:type="dxa" w:w="4596"/>
            <w:shd w:fill="F7F6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Those systems take the faster Mode A migration path; knowing them early lets us schedule it.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7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6211C"/>
                <w:sz w:val="20"/>
                <w:szCs w:val="20"/>
              </w:rPr>
              <w:t xml:space="preserve">Can you share a small sample of your coding conventions?</w:t>
            </w:r>
          </w:p>
        </w:tc>
        <w:tc>
          <w:tcPr>
            <w:tcW w:type="dxa" w:w="459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color w:val="26211C"/>
                <w:sz w:val="20"/>
                <w:szCs w:val="20"/>
              </w:rPr>
              <w:t xml:space="preserve">Generated code should look like your code and pass your internal code review without friction.</w:t>
            </w:r>
          </w:p>
        </w:tc>
      </w:tr>
    </w:tbl>
    <w:p>
      <w:pPr>
        <w:spacing w:after="60" w:before="0"/>
      </w:pPr>
      <w:r>
        <w:rPr>
          <w:color w:val="26211C"/>
          <w:sz w:val="22"/>
          <w:szCs w:val="22"/>
        </w:rPr>
        <w:t xml:space="preserve"/>
      </w:r>
    </w:p>
    <w:p>
      <w:pPr>
        <w:pStyle w:val="Heading1"/>
        <w:spacing w:after="180" w:before="340"/>
      </w:pPr>
      <w:r>
        <w:rPr>
          <w:b/>
          <w:bCs/>
          <w:color w:val="26215C"/>
          <w:sz w:val="30"/>
          <w:szCs w:val="30"/>
        </w:rPr>
        <w:t xml:space="preserve">9. What We Need To Start Phase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A sample of Java source code containing enrollment logic (anonymized/masked is fine).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The related PostgreSQL schema and sample configuration/rate tables (masked is fine).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Your pilot selection (Question 1 above).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6211C"/>
          <w:sz w:val="22"/>
          <w:szCs w:val="22"/>
        </w:rPr>
        <w:t xml:space="preserve">A short working session on the approval policy (Question 4 above).</w:t>
      </w:r>
    </w:p>
    <w:p>
      <w:pPr>
        <w:spacing w:after="160" w:before="120"/>
      </w:pPr>
      <w:r>
        <w:rPr>
          <w:color w:val="26211C"/>
          <w:sz w:val="22"/>
          <w:szCs w:val="22"/>
        </w:rPr>
        <w:t xml:space="preserve">With the samples in hand, Phase 1 delivers a working proof: edit one approved rule, and the platform regenerates the code, passes the golden tests, and changes the enrollment outcome — with no hand-written code.</w:t>
      </w:r>
    </w:p>
    <w:sectPr>
      <w:footerReference w:type="default" r:id="rId7"/>
      <w:pgSz w:w="11906" w:h="16838" w:orient="portrait"/>
      <w:pgMar w:top="1250" w:right="1440" w:bottom="12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Business Rules Platform — Design Review  · 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1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0588a6494c74a79e3d0b571deac7aa62188cfb.png"/><Relationship Id="rId9" Type="http://schemas.openxmlformats.org/officeDocument/2006/relationships/image" Target="media/82e0040880f5aafd73a458262be9ff178ea148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2026-07-03T07:38:26.500Z</dcterms:created>
  <dcterms:modified xsi:type="dcterms:W3CDTF">2026-07-03T07:38:26.503Z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