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  <w:jc w:val="center"/>
      </w:pPr>
      <w:r>
        <w:rPr>
          <w:rFonts w:ascii="Malgun Gothic" w:cs="Malgun Gothic" w:eastAsia="Malgun Gothic" w:hAnsi="Malgun Gothic"/>
          <w:b/>
          <w:bCs/>
          <w:color w:val="1F3864"/>
          <w:sz w:val="36"/>
          <w:szCs w:val="36"/>
        </w:rPr>
        <w:t xml:space="preserve">항목 2 — Rule Engine 기반 소스 생성 모듈</w:t>
      </w:r>
    </w:p>
    <w:p>
      <w:pPr>
        <w:spacing w:after="240"/>
        <w:jc w:val="center"/>
      </w:pPr>
      <w:r>
        <w:rPr>
          <w:rFonts w:ascii="Malgun Gothic" w:cs="Malgun Gothic" w:eastAsia="Malgun Gothic" w:hAnsi="Malgun Gothic"/>
          <w:color w:val="555555"/>
          <w:sz w:val="26"/>
          <w:szCs w:val="26"/>
        </w:rPr>
        <w:t xml:space="preserve">초기 제안서</w:t>
      </w:r>
    </w:p>
    <w:p>
      <w:pPr>
        <w:pStyle w:val="Heading1"/>
      </w:pPr>
      <w:r>
        <w:t xml:space="preserve">목표 이해</w:t>
      </w:r>
    </w:p>
    <w:p>
      <w:pPr>
        <w:spacing w:after="120"/>
      </w:pPr>
      <w:r>
        <w:t xml:space="preserve">현재 금융·보험 상품의 가입 로직은 소스 코드 내부에 존재하여 수정과 Rule 파악이 어렵습니다. 본 모듈의 목표는 이 로직을 데이터로 관리(rules-as-data)하여, 상품 추가나 가입 로직 변경 시 코드가 아닌 데이터만 수정하면 되도록 하는 것입니다. 나아가 수정된 Rule이 소스에 반영되어 배포되도록 하는 것이 장기 목표입니다.</w:t>
      </w:r>
    </w:p>
    <w:p>
      <w:pPr>
        <w:pBdr>
          <w:left w:val="single" w:color="E0A800" w:sz="18" w:space="8"/>
        </w:pBdr>
        <w:shd w:fill="FFF3CD" w:val="clear"/>
        <w:spacing w:after="160"/>
      </w:pPr>
      <w:r>
        <w:rPr>
          <w:i/>
          <w:iCs/>
        </w:rPr>
        <w:t xml:space="preserve">사전 확인 필요: “소스에 반영되어 배포”는 두 가지로 해석될 수 있으며(§3 참조), 이 선택이 전체 설계를 좌우합니다. 상세 설계 이전에 명확히 하기를 권장드립니다.</w:t>
      </w:r>
    </w:p>
    <w:p>
      <w:pPr>
        <w:pStyle w:val="Heading1"/>
      </w:pPr>
      <w:r>
        <w:t xml:space="preserve">1. 초기 데이터 적재의 기준이 될 Legacy 항목</w:t>
      </w:r>
    </w:p>
    <w:p>
      <w:pPr>
        <w:spacing w:after="120"/>
      </w:pPr>
      <w:r>
        <w:t xml:space="preserve">가입 로직은 Legacy 시스템 곳곳에 분산되어 있습니다. 후보 소스를 추출 난이도와 리스크 기준으로 아래와 같이 정리했습니다.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100"/>
        <w:gridCol w:w="2500"/>
        <w:gridCol w:w="1500"/>
        <w:gridCol w:w="1060"/>
        <w:gridCol w:w="3200"/>
      </w:tblGrid>
      <w:tr>
        <w:trPr>
          <w:tblHeader/>
        </w:trP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/>
                <w:bCs/>
              </w:rPr>
              <w:t xml:space="preserve">우선순위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/>
                <w:bCs/>
              </w:rPr>
              <w:t xml:space="preserve">Legacy 항목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/>
                <w:bCs/>
              </w:rPr>
              <w:t xml:space="preserve">성격</w:t>
            </w:r>
          </w:p>
        </w:tc>
        <w:tc>
          <w:tcPr>
            <w:tcW w:type="dxa" w:w="1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/>
                <w:bCs/>
              </w:rPr>
              <w:t xml:space="preserve">난이도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/>
                <w:bCs/>
              </w:rPr>
              <w:t xml:space="preserve">비고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/>
                <w:bCs/>
              </w:rPr>
              <w:t xml:space="preserve">1 (먼저 시작)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>DB 내 설정/코드 테이블 (상품 마스터, 요율표, 자격조건 코드테이블)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>이미 표 형태</w:t>
            </w:r>
          </w:p>
        </w:tc>
        <w:tc>
          <w:tcPr>
            <w:tcW w:type="dxa" w:w="1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>가장 쉬움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>직접 ETL → Rule 데이터, 거의 무손실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/>
                <w:bCs/>
              </w:rPr>
              <w:t xml:space="preserve">2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>업무 매뉴얼 / 문서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>구조화된 텍스트</w:t>
            </w:r>
          </w:p>
        </w:tc>
        <w:tc>
          <w:tcPr>
            <w:tcW w:type="dxa" w:w="1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>쉬움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>현재 시스템이 이미 추출 — 재사용 가능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/>
                <w:bCs/>
              </w:rPr>
              <w:t xml:space="preserve">3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>소스 코드 내 검증 로직 (if-else, switch)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>코드</w:t>
            </w:r>
          </w:p>
        </w:tc>
        <w:tc>
          <w:tcPr>
            <w:tcW w:type="dxa" w:w="1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>어려움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>Rule 마이닝 필요 + 사람 검토 필수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/>
                <w:bCs/>
              </w:rPr>
              <w:t xml:space="preserve">4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>저장 프로시저 / SQL 비즈니스 로직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>DB 코드</w:t>
            </w:r>
          </w:p>
        </w:tc>
        <w:tc>
          <w:tcPr>
            <w:tcW w:type="dxa" w:w="1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>어려움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>#3과 동일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/>
                <w:bCs/>
              </w:rPr>
              <w:t xml:space="preserve">5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>화면 / UI 검증 규칙 (필수입력, 값 범위)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>UI 코드</w:t>
            </w:r>
          </w:p>
        </w:tc>
        <w:tc>
          <w:tcPr>
            <w:tcW w:type="dxa" w:w="1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>보통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>보조</w:t>
            </w:r>
          </w:p>
        </w:tc>
      </w:tr>
    </w:tbl>
    <w:p>
      <w:pPr>
        <w:spacing w:after="120" w:before="140"/>
      </w:pPr>
      <w:r>
        <w:rPr>
          <w:b/>
          <w:bCs/>
        </w:rPr>
        <w:t xml:space="preserve">선정 기준: </w:t>
      </w:r>
      <w:r>
        <w:t xml:space="preserve">(i) 변경이 잦고, (ii) 이미 반(半)구조화되어 있으며, (iii) 현업이 소유한 항목을 우선합니다. 리스크가 낮고 가치가 높은 #1(설정 테이블) + #2(매뉴얼)부터 시작하고, 코드(#3, #4)는 엄격한 검토 절차 하에 이후 진행합니다.</w:t>
      </w:r>
    </w:p>
    <w:p>
      <w:pPr>
        <w:pStyle w:val="Heading1"/>
      </w:pPr>
      <w:r>
        <w:t xml:space="preserve">2. 초기 설계 — 5계층 파이프라인</w:t>
      </w:r>
    </w:p>
    <w:p>
      <w:pPr>
        <w:spacing w:after="120"/>
      </w:pPr>
      <w:r>
        <w:t xml:space="preserve">본 모듈은 5계층 파이프라인으로 구성됩니다. 아래 다이어그램은 전체 흐름이며, 이어서 각 계층을 상세히 설명합니다.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EFE8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sz w:val="24"/>
                <w:szCs w:val="24"/>
              </w:rPr>
              <w:t xml:space="preserve">①  Legacy 소스</w:t>
            </w:r>
          </w:p>
          <w:p>
            <w:pPr>
              <w:jc w:val="center"/>
            </w:pPr>
            <w:r>
              <w:rPr>
                <w:color w:val="555555"/>
                <w:sz w:val="20"/>
                <w:szCs w:val="20"/>
              </w:rPr>
              <w:t xml:space="preserve">DB 테이블 · 코드 · 프로시저 · 매뉴얼</w:t>
            </w:r>
          </w:p>
        </w:tc>
      </w:tr>
    </w:tbl>
    <w:p>
      <w:pPr>
        <w:spacing w:after="40" w:before="40"/>
        <w:jc w:val="center"/>
      </w:pPr>
      <w:r>
        <w:rPr>
          <w:b/>
          <w:bCs/>
          <w:sz w:val="24"/>
          <w:szCs w:val="24"/>
        </w:rPr>
        <w:t xml:space="preserve">↓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1F5EE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sz w:val="24"/>
                <w:szCs w:val="24"/>
              </w:rPr>
              <w:t xml:space="preserve">②  추출(Extraction)</w:t>
            </w:r>
          </w:p>
          <w:p>
            <w:pPr>
              <w:jc w:val="center"/>
            </w:pPr>
            <w:r>
              <w:rPr>
                <w:color w:val="555555"/>
                <w:sz w:val="20"/>
                <w:szCs w:val="20"/>
              </w:rPr>
              <w:t xml:space="preserve">ETL · Rule 마이닝 + LLM · 문서 파이프라인</w:t>
            </w:r>
          </w:p>
        </w:tc>
      </w:tr>
    </w:tbl>
    <w:p>
      <w:pPr>
        <w:spacing w:after="40" w:before="40"/>
        <w:jc w:val="center"/>
      </w:pPr>
      <w:r>
        <w:rPr>
          <w:b/>
          <w:bCs/>
          <w:sz w:val="24"/>
          <w:szCs w:val="24"/>
        </w:rPr>
        <w:t xml:space="preserve">↓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EDFE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sz w:val="24"/>
                <w:szCs w:val="24"/>
              </w:rPr>
              <w:t xml:space="preserve">③  Rule 저장소</w:t>
            </w:r>
          </w:p>
          <w:p>
            <w:pPr>
              <w:jc w:val="center"/>
            </w:pPr>
            <w:r>
              <w:rPr>
                <w:color w:val="555555"/>
                <w:sz w:val="20"/>
                <w:szCs w:val="20"/>
              </w:rPr>
              <w:t xml:space="preserve">rules-as-data · 버전관리 · 검토완료</w:t>
            </w:r>
          </w:p>
        </w:tc>
      </w:tr>
    </w:tbl>
    <w:p>
      <w:pPr>
        <w:spacing w:after="40" w:before="40"/>
        <w:jc w:val="center"/>
      </w:pPr>
      <w:r>
        <w:rPr>
          <w:b/>
          <w:bCs/>
          <w:sz w:val="24"/>
          <w:szCs w:val="24"/>
        </w:rPr>
        <w:t xml:space="preserve">↓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1F5EE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sz w:val="24"/>
                <w:szCs w:val="24"/>
              </w:rPr>
              <w:t xml:space="preserve">④  Rule Engine</w:t>
            </w:r>
          </w:p>
          <w:p>
            <w:pPr>
              <w:jc w:val="center"/>
            </w:pPr>
            <w:r>
              <w:rPr>
                <w:color w:val="555555"/>
                <w:sz w:val="20"/>
                <w:szCs w:val="20"/>
              </w:rPr>
              <w:t xml:space="preserve">Rule 실행 (GoRules / Drools)</w:t>
            </w:r>
          </w:p>
        </w:tc>
      </w:tr>
    </w:tbl>
    <w:p>
      <w:pPr>
        <w:spacing w:after="40" w:before="40"/>
        <w:jc w:val="center"/>
      </w:pPr>
      <w:r>
        <w:rPr>
          <w:b/>
          <w:bCs/>
          <w:sz w:val="24"/>
          <w:szCs w:val="24"/>
        </w:rPr>
        <w:t xml:space="preserve">↓</w:t>
      </w:r>
    </w:p>
    <w:p>
      <w:pPr>
        <w:spacing w:after="60"/>
        <w:jc w:val="center"/>
      </w:pPr>
      <w:r>
        <w:rPr>
          <w:b/>
          <w:bCs/>
          <w:color w:val="555555"/>
          <w:sz w:val="22"/>
          <w:szCs w:val="22"/>
        </w:rPr>
        <w:t xml:space="preserve">⑤ round-trip &amp; 배포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1F5EE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sz w:val="22"/>
                <w:szCs w:val="22"/>
              </w:rPr>
              <w:t xml:space="preserve">Ⓐ A · 외부화(Externalization)</w:t>
            </w:r>
          </w:p>
          <w:p>
            <w:pPr>
              <w:jc w:val="center"/>
            </w:pPr>
            <w:r>
              <w:rPr>
                <w:color w:val="555555"/>
                <w:sz w:val="18"/>
                <w:szCs w:val="18"/>
              </w:rPr>
              <w:t xml:space="preserve">소스가 엔진 호출 (권장)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1F5EE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sz w:val="22"/>
                <w:szCs w:val="22"/>
              </w:rPr>
              <w:t xml:space="preserve">Ⓑ B · 코드 생성(Code generation)</w:t>
            </w:r>
          </w:p>
          <w:p>
            <w:pPr>
              <w:jc w:val="center"/>
            </w:pPr>
            <w:r>
              <w:rPr>
                <w:color w:val="555555"/>
                <w:sz w:val="18"/>
                <w:szCs w:val="18"/>
              </w:rPr>
              <w:t xml:space="preserve">소스 생성 → 배포 (2단계)</w:t>
            </w:r>
          </w:p>
        </w:tc>
      </w:tr>
    </w:tbl>
    <w:p>
      <w:pPr>
        <w:spacing w:after="200" w:before="80"/>
        <w:jc w:val="center"/>
      </w:pPr>
      <w:r>
        <w:rPr>
          <w:color w:val="777777"/>
          <w:sz w:val="18"/>
          <w:szCs w:val="18"/>
        </w:rPr>
        <w:t xml:space="preserve">회색 = Legacy   ·   청록 = 파이프라인   ·   보라 = rules-as-data   ·   점선 = 후속 단계</w:t>
      </w:r>
    </w:p>
    <w:p>
      <w:pPr>
        <w:pStyle w:val="Heading2"/>
      </w:pPr>
      <w:r>
        <w:t xml:space="preserve">Step ① — Legacy 소스 (입력 인벤토리)</w:t>
      </w:r>
    </w:p>
    <w:p>
      <w:pPr>
        <w:spacing w:after="120"/>
      </w:pPr>
      <w:r>
        <w:t xml:space="preserve">§1에 따라 가입 로직이 실제로 존재하는 위치를 목록화합니다(DB 설정 테이블, 소스 코드, 저장 프로시저, 매뉴얼, UI 검증). 본 단계의 산출물은 구체적인 인벤토리와 선정된 파일럿 범위(1개 상품 / 1개 가입 흐름)이며, 추출을 좁고 검증 가능한 범위에서 시작합니다.</w:t>
      </w:r>
    </w:p>
    <w:p>
      <w:pPr>
        <w:pStyle w:val="Heading2"/>
      </w:pPr>
      <w:r>
        <w:t xml:space="preserve">Step ② — 추출 (핵심 엔지니어링 단계)</w:t>
      </w:r>
    </w:p>
    <w:p>
      <w:pPr>
        <w:spacing w:after="120"/>
      </w:pPr>
      <w:r>
        <w:t xml:space="preserve">이 계층은 이질적인 Legacy 로직을 정규화된 후보 Rule로 변환합니다. 여러 하위 파이프라인이 병렬로 동작하며, 모두 하나의 공통 후보-Rule 형식으로 모입니다. 중요한 점은, 이 단계에서 어떤 것도 운영 시스템에 자동 반영되지 않는다는 것입니다 — 추출된 모든 항목은 제안이며 Step ③의 사람 검토로 전달됩니다.</w:t>
      </w:r>
    </w:p>
    <w:p>
      <w:pPr>
        <w:spacing w:after="60" w:before="80"/>
      </w:pPr>
      <w:r>
        <w:rPr>
          <w:b/>
          <w:bCs/>
        </w:rPr>
        <w:t xml:space="preserve">2a. 표 형태 설정 → ETL (결정적, 최고 신뢰도)</w:t>
      </w:r>
    </w:p>
    <w:p>
      <w:pPr>
        <w:pStyle w:val="ListParagraph"/>
        <w:numPr>
          <w:ilvl w:val="0"/>
          <w:numId w:val="2"/>
        </w:numPr>
      </w:pPr>
      <w:r>
        <w:t xml:space="preserve">Legacy DB에 읽기 전용으로 연결하여 설정/코드 테이블(상품 마스터, 요율표, 자격조건 코드)을 조회합니다.</w:t>
      </w:r>
    </w:p>
    <w:p>
      <w:pPr>
        <w:pStyle w:val="ListParagraph"/>
        <w:numPr>
          <w:ilvl w:val="0"/>
          <w:numId w:val="2"/>
        </w:numPr>
      </w:pPr>
      <w:r>
        <w:t xml:space="preserve">각 테이블을 의사결정 구조로 매핑합니다: 조건 컬럼(예: 연령대, 상품코드, 채널)과 결과/액션 컬럼(예: 가입가능 Y/N, 요율, 필요서류)을 식별합니다.</w:t>
      </w:r>
    </w:p>
    <w:p>
      <w:pPr>
        <w:pStyle w:val="ListParagraph"/>
        <w:numPr>
          <w:ilvl w:val="0"/>
          <w:numId w:val="2"/>
        </w:numPr>
      </w:pPr>
      <w:r>
        <w:t xml:space="preserve">각 행이 하나의 Rule 행이 됩니다. 거의 무손실이며 AI가 불필요합니다. 핵심 작업은 컬럼-의미 매핑과 코드/단위 정규화입니다.</w:t>
      </w:r>
    </w:p>
    <w:p>
      <w:pPr>
        <w:spacing w:after="60" w:before="100"/>
      </w:pPr>
      <w:r>
        <w:rPr>
          <w:b/>
          <w:bCs/>
        </w:rPr>
        <w:t xml:space="preserve">2b. 소스 코드 로직 → Rule 마이닝 (정적 분석 + LLM 보조)</w:t>
      </w:r>
    </w:p>
    <w:p>
      <w:pPr>
        <w:pStyle w:val="ListParagraph"/>
        <w:numPr>
          <w:ilvl w:val="0"/>
          <w:numId w:val="2"/>
        </w:numPr>
      </w:pPr>
      <w:r>
        <w:t xml:space="preserve">정적 분석으로 의사결정 지점(if/else, switch, 가드/검증 구문)을 찾아 제어 흐름과 조건을 추출합니다.</w:t>
      </w:r>
    </w:p>
    <w:p>
      <w:pPr>
        <w:pStyle w:val="ListParagraph"/>
        <w:numPr>
          <w:ilvl w:val="0"/>
          <w:numId w:val="2"/>
        </w:numPr>
      </w:pPr>
      <w:r>
        <w:t xml:space="preserve">LLM이 각 분기를 사람이 읽을 수 있는 Rule과 구조화된 조건/액션 쌍으로 변환합니다.</w:t>
      </w:r>
    </w:p>
    <w:p>
      <w:pPr>
        <w:pStyle w:val="ListParagraph"/>
        <w:numPr>
          <w:ilvl w:val="0"/>
          <w:numId w:val="2"/>
        </w:numPr>
      </w:pPr>
      <w:r>
        <w:t xml:space="preserve">중복 Rule을 제거하고 추적성을 위해 정확한 소스 위치(파일, 함수, 라인)를 연결합니다.</w:t>
      </w:r>
    </w:p>
    <w:p>
      <w:pPr>
        <w:pStyle w:val="ListParagraph"/>
        <w:numPr>
          <w:ilvl w:val="0"/>
          <w:numId w:val="2"/>
        </w:numPr>
      </w:pPr>
      <w:r>
        <w:t xml:space="preserve">출력은 후보 Rule뿐이며 자동 반영하지 않습니다 — 반드시 사람 검토를 거칩니다. 정확도 리스크가 집중되는 지점이므로 검토가 필수입니다.</w:t>
      </w:r>
    </w:p>
    <w:p>
      <w:pPr>
        <w:spacing w:after="60" w:before="100"/>
      </w:pPr>
      <w:r>
        <w:rPr>
          <w:b/>
          <w:bCs/>
        </w:rPr>
        <w:t xml:space="preserve">2c. 저장 프로시저 / SQL → 2b와 동일 패턴</w:t>
      </w:r>
      <w:r>
        <w:t xml:space="preserve">을 DB측 로직(프로시저, 트리거, 복잡한 CASE 식)에 적용합니다.</w:t>
      </w:r>
    </w:p>
    <w:p>
      <w:pPr>
        <w:spacing w:after="60" w:before="60"/>
      </w:pPr>
      <w:r>
        <w:rPr>
          <w:b/>
          <w:bCs/>
        </w:rPr>
        <w:t xml:space="preserve">2d. 업무 매뉴얼 / 문서 → 기존 파이프라인 재사용.</w:t>
      </w:r>
      <w:r>
        <w:t xml:space="preserve"> 프로젝트는 이미 매뉴얼을 구조화된 지식으로 변환하므로, 추출된 프로세스/조건 진술을 동일한 후보-Rule 형식으로 매핑합니다.</w:t>
      </w:r>
    </w:p>
    <w:p>
      <w:pPr>
        <w:spacing w:after="60" w:before="100"/>
      </w:pPr>
      <w:r>
        <w:rPr>
          <w:b/>
          <w:bCs/>
        </w:rPr>
        <w:t xml:space="preserve">공통 출력 계약(contract).</w:t>
      </w:r>
      <w:r>
        <w:t xml:space="preserve"> 출처에 관계없이 추출된 모든 항목은 동일한 형태로 정규화됩니다:</w:t>
      </w:r>
    </w:p>
    <w:p>
      <w:pPr>
        <w:pStyle w:val="ListParagraph"/>
        <w:numPr>
          <w:ilvl w:val="0"/>
          <w:numId w:val="2"/>
        </w:numPr>
      </w:pPr>
      <w:r>
        <w:rPr>
          <w:i/>
          <w:iCs/>
        </w:rPr>
        <w:t xml:space="preserve">{ conditions, action(s), product / domain, source_reference, confidence, status = pending }</w:t>
      </w:r>
    </w:p>
    <w:p>
      <w:pPr>
        <w:spacing w:after="120"/>
      </w:pPr>
      <w:r>
        <w:t xml:space="preserve">이 일관성 덕분에 어떤 Legacy 소스에서 왔든 Step ③에서 검토하고 Step ④에서 적재하는 과정이 일관됩니다.</w:t>
      </w:r>
    </w:p>
    <w:p>
      <w:pPr>
        <w:pStyle w:val="Heading2"/>
      </w:pPr>
      <w:r>
        <w:t xml:space="preserve">Step ③ — Rule 저장소 (rules-as-data)</w:t>
      </w:r>
    </w:p>
    <w:p>
      <w:pPr>
        <w:spacing w:after="120"/>
      </w:pPr>
      <w:r>
        <w:t xml:space="preserve">Rule을 코드가 아닌 데이터(의사결정 테이블 / JSON)로 보관하는 표준 원천(system of record)입니다.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데이터 모델: </w:t>
      </w:r>
      <w:r>
        <w:t xml:space="preserve">rule id, 조건, 액션, 상품, 버전, 유효/만료일, 소스 추적, 신뢰도, 상태(검토대기 / 승인 / 폐기).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거버넌스: </w:t>
      </w:r>
      <w:r>
        <w:t xml:space="preserve">maker-checker 승인 워크플로우, 버전관리 및 diff, 전체 감사 로그 — 금융·보험 컴플라이언스에 필수.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품질: </w:t>
      </w:r>
      <w:r>
        <w:t xml:space="preserve">회귀 / 골든 테스트 세트로 발행 전 Rule 변경을 검증합니다.</w:t>
      </w:r>
    </w:p>
    <w:p>
      <w:pPr>
        <w:spacing w:after="120"/>
      </w:pPr>
      <w:r>
        <w:t xml:space="preserve">엔진은 승인된 Rule만 사용하며, 검토대기 및 반려된 제안은 운영에 도달하지 않습니다.</w:t>
      </w:r>
    </w:p>
    <w:p>
      <w:pPr>
        <w:pStyle w:val="Heading2"/>
      </w:pPr>
      <w:r>
        <w:t xml:space="preserve">Step ④ — Rule Engine</w:t>
      </w:r>
    </w:p>
    <w:p>
      <w:pPr>
        <w:spacing w:after="120"/>
      </w:pPr>
      <w:r>
        <w:t xml:space="preserve">승인된 Rule을 엔진의 네이티브 형식(예: GoRules JDM JSON 또는 Drools 의사결정 테이블)으로 렌더링하여 적재하고, 가입 요청을 평가합니다. 평가는 무상태(stateless)이며 참조 / 룩업 데이터는 필요 시 연결합니다. 엔진 선택은 별도 벤더 조사 결과를 따릅니다(PoC는 GoRules, API 우선이면 DecisionRules, 검증된 Java / 오픈소스 기반이면 Drools).</w:t>
      </w:r>
    </w:p>
    <w:p>
      <w:pPr>
        <w:pStyle w:val="Heading2"/>
      </w:pPr>
      <w:r>
        <w:t xml:space="preserve">Step ⑤ — Round-trip &amp; 배포</w:t>
      </w:r>
    </w:p>
    <w:p>
      <w:pPr>
        <w:spacing w:after="120"/>
      </w:pPr>
      <w:r>
        <w:t xml:space="preserve">현업이 저장소에서 Rule을 수정하고 재발행합니다. 그 변경이 운영 시스템에 도달하는 방식이 §3의 A / B 선택입니다: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옵션 A (외부화): </w:t>
      </w:r>
      <w:r>
        <w:t xml:space="preserve">엔진이 새 Rule 버전을 가져옵니다 — 애플리케이션 재배포 없음.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옵션 B (코드 생성): </w:t>
      </w:r>
      <w:r>
        <w:t xml:space="preserve">Rule 데이터로부터 소스를 재생성한 뒤 CI/CD로 빌드·배포합니다.</w:t>
      </w:r>
    </w:p>
    <w:p>
      <w:pPr>
        <w:pStyle w:val="Heading1"/>
      </w:pPr>
      <w:r>
        <w:t xml:space="preserve">3. “소스 반영 및 배포”의 두 가지 옵션 (선택 필요)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700"/>
        <w:gridCol w:w="3830"/>
        <w:gridCol w:w="3830"/>
      </w:tblGrid>
      <w:tr>
        <w:trPr>
          <w:tblHeader/>
        </w:trPr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/>
                <w:bCs/>
              </w:rPr>
              <w:t xml:space="preserve"/>
            </w:r>
          </w:p>
        </w:tc>
        <w:tc>
          <w:tcPr>
            <w:tcW w:type="dxa" w:w="38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/>
                <w:bCs/>
              </w:rPr>
              <w:t xml:space="preserve">A — 외부화 (우선 권장)</w:t>
            </w:r>
          </w:p>
        </w:tc>
        <w:tc>
          <w:tcPr>
            <w:tcW w:type="dxa" w:w="38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/>
                <w:bCs/>
              </w:rPr>
              <w:t xml:space="preserve">B — 코드 생성 (문자 그대로의 해석)</w:t>
            </w:r>
          </w:p>
        </w:tc>
      </w:tr>
      <w:tr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/>
                <w:bCs/>
              </w:rPr>
              <w:t xml:space="preserve">방식</w:t>
            </w:r>
          </w:p>
        </w:tc>
        <w:tc>
          <w:tcPr>
            <w:tcW w:type="dxa" w:w="38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>현재 소스가 런타임에 Rule Engine을 호출 (API / 임베디드)</w:t>
            </w:r>
          </w:p>
        </w:tc>
        <w:tc>
          <w:tcPr>
            <w:tcW w:type="dxa" w:w="38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>Rule 데이터로 소스 코드 생성 → 컴파일 → CI/CD 배포</w:t>
            </w:r>
          </w:p>
        </w:tc>
      </w:tr>
      <w:tr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/>
                <w:bCs/>
              </w:rPr>
              <w:t xml:space="preserve">“배포”의 의미</w:t>
            </w:r>
          </w:p>
        </w:tc>
        <w:tc>
          <w:tcPr>
            <w:tcW w:type="dxa" w:w="38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>새 Rule 버전 발행 (앱 재빌드 없음)</w:t>
            </w:r>
          </w:p>
        </w:tc>
        <w:tc>
          <w:tcPr>
            <w:tcW w:type="dxa" w:w="38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>코드 모듈 재빌드·재배포</w:t>
            </w:r>
          </w:p>
        </w:tc>
      </w:tr>
      <w:tr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/>
                <w:bCs/>
              </w:rPr>
              <w:t xml:space="preserve">장점</w:t>
            </w:r>
          </w:p>
        </w:tc>
        <w:tc>
          <w:tcPr>
            <w:tcW w:type="dxa" w:w="38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>빠르고 저위험, 업계 표준 (출시기간 40~60% 단축)</w:t>
            </w:r>
          </w:p>
        </w:tc>
        <w:tc>
          <w:tcPr>
            <w:tcW w:type="dxa" w:w="38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>로직이 Legacy 내부에서 실행, 엔진 런타임 의존 없음</w:t>
            </w:r>
          </w:p>
        </w:tc>
      </w:tr>
      <w:tr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/>
                <w:bCs/>
              </w:rPr>
              <w:t xml:space="preserve">단점</w:t>
            </w:r>
          </w:p>
        </w:tc>
        <w:tc>
          <w:tcPr>
            <w:tcW w:type="dxa" w:w="38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>엔진이 함께 구동되어야 함</w:t>
            </w:r>
          </w:p>
        </w:tc>
        <w:tc>
          <w:tcPr>
            <w:tcW w:type="dxa" w:w="38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>복잡하고, 안전·정확한 코드 생성이 어려움, 리스크 높음</w:t>
            </w:r>
          </w:p>
        </w:tc>
      </w:tr>
      <w:tr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/>
                <w:bCs/>
              </w:rPr>
              <w:t xml:space="preserve">사용 시점</w:t>
            </w:r>
          </w:p>
        </w:tc>
        <w:tc>
          <w:tcPr>
            <w:tcW w:type="dxa" w:w="38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>대부분의 경우</w:t>
            </w:r>
          </w:p>
        </w:tc>
        <w:tc>
          <w:tcPr>
            <w:tcW w:type="dxa" w:w="38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>Legacy 내부 실행이 필수이거나 성능 / 컴플라이언스 사유</w:t>
            </w:r>
          </w:p>
        </w:tc>
      </w:tr>
    </w:tbl>
    <w:p>
      <w:pPr>
        <w:spacing w:after="120" w:before="140"/>
      </w:pPr>
      <w:r>
        <w:rPr>
          <w:b/>
          <w:bCs/>
        </w:rPr>
        <w:t xml:space="preserve">권장: </w:t>
      </w:r>
      <w:r>
        <w:t xml:space="preserve">1단계 = A(외부화)로 가치를 빠르게 입증하고, 2단계 = 정말 필요한 곳에만 B(코드 생성)를 추가합니다. 고객이 선택할 수 있도록 두 가지 모두 제시합니다.</w:t>
      </w:r>
    </w:p>
    <w:p>
      <w:pPr>
        <w:pStyle w:val="Heading1"/>
      </w:pPr>
      <w:r>
        <w:t xml:space="preserve">4. PoC 권장 범위</w:t>
      </w:r>
    </w:p>
    <w:p>
      <w:pPr>
        <w:pStyle w:val="ListParagraph"/>
        <w:numPr>
          <w:ilvl w:val="0"/>
          <w:numId w:val="2"/>
        </w:numPr>
      </w:pPr>
      <w:r>
        <w:t xml:space="preserve">금융·보험 상품 1개, 가입 흐름 1개.</w:t>
      </w:r>
    </w:p>
    <w:p>
      <w:pPr>
        <w:pStyle w:val="ListParagraph"/>
        <w:numPr>
          <w:ilvl w:val="0"/>
          <w:numId w:val="2"/>
        </w:numPr>
      </w:pPr>
      <w:r>
        <w:t xml:space="preserve">초기 소스: 설정 테이블 + 매뉴얼 (#1, #2).</w:t>
      </w:r>
    </w:p>
    <w:p>
      <w:pPr>
        <w:pStyle w:val="ListParagraph"/>
        <w:numPr>
          <w:ilvl w:val="0"/>
          <w:numId w:val="2"/>
        </w:numPr>
      </w:pPr>
      <w:r>
        <w:t xml:space="preserve">엔진: GoRules (JSON) — 자동 생성·적재가 용이.</w:t>
      </w:r>
    </w:p>
    <w:p>
      <w:pPr>
        <w:pStyle w:val="ListParagraph"/>
        <w:numPr>
          <w:ilvl w:val="0"/>
          <w:numId w:val="2"/>
        </w:numPr>
      </w:pPr>
      <w:r>
        <w:t xml:space="preserve">Round-trip: 외부화 우선.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성공 기준: </w:t>
      </w:r>
      <w:r>
        <w:t xml:space="preserve">데이터에서 Rule 1개를 수정하면 가입 결과가 정확히 바뀌며, 코드 변경은 전혀 없음.</w:t>
      </w:r>
    </w:p>
    <w:p>
      <w:pPr>
        <w:pStyle w:val="Heading1"/>
      </w:pPr>
      <w:r>
        <w:t xml:space="preserve">5. 리스크 및 유의사항</w:t>
      </w:r>
    </w:p>
    <w:p>
      <w:pPr>
        <w:pStyle w:val="ListParagraph"/>
        <w:numPr>
          <w:ilvl w:val="0"/>
          <w:numId w:val="2"/>
        </w:numPr>
      </w:pPr>
      <w:r>
        <w:t xml:space="preserve">코드로부터의 Rule 마이닝은 오류 가능성이 있음 → 항상 사람 검토 (금융·보험 컴플라이언스).</w:t>
      </w:r>
    </w:p>
    <w:p>
      <w:pPr>
        <w:pStyle w:val="ListParagraph"/>
        <w:numPr>
          <w:ilvl w:val="0"/>
          <w:numId w:val="2"/>
        </w:numPr>
      </w:pPr>
      <w:r>
        <w:t xml:space="preserve">옵션 B(코드 생성·배포)는 훨씬 복잡함 → 별도 단계로 분리하고 조기 과도 약속을 지양.</w:t>
      </w:r>
    </w:p>
    <w:p>
      <w:pPr>
        <w:pStyle w:val="ListParagraph"/>
        <w:numPr>
          <w:ilvl w:val="0"/>
          <w:numId w:val="2"/>
        </w:numPr>
      </w:pPr>
      <w:r>
        <w:t xml:space="preserve">감사 추적 + 버전관리가 필요하며, 한글 텍스트 보존이 필수.</w:t>
      </w:r>
    </w:p>
    <w:p>
      <w:pPr>
        <w:pStyle w:val="Heading1"/>
      </w:pPr>
      <w:r>
        <w:t xml:space="preserve">6. 확인 필요 사항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Legacy 스택은 무엇입니까? </w:t>
      </w:r>
      <w:r>
        <w:t xml:space="preserve">(COBOL / Java / .NET? 어떤 DB?) — 마이닝 및 코드 생성 방식을 좌우합니다.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“반영되어 배포”는 소스 코드 재생성(B)을 의미합니까, 아니면 소스가 엔진을 호출(A)하는 것입니까? </w:t>
      </w:r>
      <w:r>
        <w:t xml:space="preserve">— 가장 중요한 부분입니다.</w:t>
      </w:r>
    </w:p>
    <w:p>
      <w:pPr>
        <w:pStyle w:val="ListParagraph"/>
        <w:numPr>
          <w:ilvl w:val="0"/>
          <w:numId w:val="2"/>
        </w:numPr>
      </w:pPr>
      <w:r>
        <w:t xml:space="preserve">파일럿으로 어떤 상품 / 흐름이 적합합니까?</w:t>
      </w:r>
    </w:p>
    <w:p>
      <w:pPr>
        <w:pStyle w:val="ListParagraph"/>
        <w:numPr>
          <w:ilvl w:val="0"/>
          <w:numId w:val="2"/>
        </w:numPr>
      </w:pPr>
      <w:r>
        <w:t xml:space="preserve">컴플라이언스 / 감사 제약이 있습니까?</w:t>
      </w:r>
    </w:p>
    <w:p>
      <w:pPr>
        <w:pStyle w:val="Heading1"/>
      </w:pPr>
      <w:r>
        <w:t xml:space="preserve">7. 요청 — 샘플 자료</w:t>
      </w:r>
    </w:p>
    <w:p>
      <w:pPr>
        <w:spacing w:after="120"/>
      </w:pPr>
      <w:r>
        <w:t xml:space="preserve">설계를 구체화하고 실현 가능성을 검증하기 위해, 샘플 Legacy 자료를 공유해 주실 수 있을까요 — 예: 가입 로직이 포함된 샘플 소스 코드, 관련 DB 스키마 / 테이블 정의, 또는 샘플 설정 / 요율표 데이터(익명화·마스킹 가능). 작더라도 대표성 있는 일부만 있으면 추출 방식을 평가하고, 가정이 아닌 실제 데이터로 본 설계를 정교화할 수 있습니다.</w:t>
      </w:r>
    </w:p>
    <w:sectPr>
      <w:footerReference w:type="default" r:id="rId7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color w:val="888888"/>
        <w:sz w:val="18"/>
        <w:szCs w:val="18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540" w:hanging="280"/>
      </w:pPr>
    </w:lvl>
    <w:lvl w:ilvl="1" w15:tentative="1">
      <w:start w:val="1"/>
      <w:numFmt w:val="bullet"/>
      <w:lvlText w:val="◦"/>
      <w:lvlJc w:val="left"/>
      <w:pPr>
        <w:ind w:left="1080" w:hanging="28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Malgun Gothic" w:cs="Malgun Gothic" w:eastAsia="Malgun Gothic" w:hAnsi="Malgun Gothic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40" w:before="240"/>
      <w:outlineLvl w:val="0"/>
    </w:pPr>
    <w:rPr>
      <w:rFonts w:ascii="Malgun Gothic" w:cs="Malgun Gothic" w:eastAsia="Malgun Gothic" w:hAnsi="Malgun Gothic"/>
      <w:b/>
      <w:bCs/>
      <w:color w:val="1F3864"/>
      <w:sz w:val="30"/>
      <w:szCs w:val="30"/>
    </w:rPr>
  </w:style>
  <w:style w:type="paragraph" w:styleId="Heading2">
    <w:name w:val="Heading 2"/>
    <w:basedOn w:val="Normal"/>
    <w:next w:val="Normal"/>
    <w:qFormat/>
    <w:pPr>
      <w:spacing w:after="100" w:before="200"/>
      <w:outlineLvl w:val="1"/>
    </w:pPr>
    <w:rPr>
      <w:rFonts w:ascii="Malgun Gothic" w:cs="Malgun Gothic" w:eastAsia="Malgun Gothic" w:hAnsi="Malgun Gothic"/>
      <w:b/>
      <w:bCs/>
      <w:color w:val="2E5496"/>
      <w:sz w:val="25"/>
      <w:szCs w:val="25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2026-06-29T08:47:37.219Z</dcterms:created>
  <dcterms:modified xsi:type="dcterms:W3CDTF">2026-06-29T08:47:37.222Z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