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portKicker"/>
      </w:pPr>
      <w:r>
        <w:t>BUSINESS DISCOVERY / INDUSTRY RESEARCH</w:t>
      </w:r>
    </w:p>
    <w:p>
      <w:pPr>
        <w:pStyle w:val="ReportTitle"/>
      </w:pPr>
      <w:r>
        <w:t>员工薪酬福利咨询工单分流</w:t>
      </w:r>
    </w:p>
    <w:p>
      <w:pPr>
        <w:pStyle w:val="ReportSubtitle"/>
      </w:pPr>
      <w:r>
        <w:t>业务挖掘与行业分析</w:t>
      </w:r>
    </w:p>
    <w:p>
      <w:pPr>
        <w:spacing w:before="40" w:after="480"/>
      </w:pPr>
      <w:r>
        <w:rPr>
          <w:rFonts w:ascii="Calibri" w:hAnsi="Calibri" w:eastAsia="Microsoft YaHei"/>
          <w:i/>
          <w:color w:val="5B6573"/>
          <w:sz w:val="23"/>
        </w:rPr>
        <w:t>从员工服务现场到 AI 分流产品机会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Ind w:type="dxa" w:w="120"/>
      </w:tblPr>
      <w:tblGrid>
        <w:gridCol w:w="2088"/>
        <w:gridCol w:w="7272"/>
      </w:tblGrid>
      <w:tr>
        <w:trPr>
          <w:cantSplit/>
          <w:tblHeader w:val="true"/>
          <w:cantSplit/>
        </w:trPr>
        <w:tc>
          <w:tcPr>
            <w:tcW w:type="dxa" w:w="208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27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研究对象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0B2545"/>
                <w:sz w:val="18"/>
              </w:rPr>
              <w:t>ToastGGG/Employee-ticket-routing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业务场景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企业内部员工薪酬福利咨询工单的识别、分类、路由、答复与人工升级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业务证据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6 个角色、35/36 条可验证事实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行业样本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GitHub 公开项目与商业 Helpdesk/ITSM 产品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数据快照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2026-10-23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文档状态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内部研究和试点决策稿</w:t>
            </w:r>
          </w:p>
        </w:tc>
      </w:tr>
    </w:tbl>
    <w:p>
      <w:pPr>
        <w:spacing w:before="0" w:after="0" w:line="40" w:lineRule="exact"/>
      </w:pPr>
    </w:p>
    <w:p>
      <w:pPr>
        <w:spacing w:before="320" w:after="0"/>
      </w:pPr>
      <w:r>
        <w:rPr>
          <w:rFonts w:ascii="Calibri" w:hAnsi="Calibri" w:eastAsia="Microsoft YaHei"/>
          <w:i/>
          <w:color w:val="5B6573"/>
          <w:sz w:val="19"/>
        </w:rPr>
        <w:t>本文基于合成场景访谈和公开资料。业务结论用于试点决策，不替代真实客户签核。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阅读导览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本报告由两部分组成。第一部分还原员工服务现场，回答“问题究竟发生在哪里”；第二部分比较开源项目与商业产品，回答“应当做什么，以及如何形成差异”。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00000"/>
          <w:sz w:val="22"/>
        </w:rPr>
        <w:t>业务事实：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员工、一线专员、流程、系统、质量和客户六个视角的访谈结论。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00000"/>
          <w:sz w:val="22"/>
        </w:rPr>
        <w:t>问题定义：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分错队列、引用旧政策、交接断链和缺少统计基线。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00000"/>
          <w:sz w:val="22"/>
        </w:rPr>
        <w:t>需求优先级：</w:t>
      </w:r>
      <w:r>
        <w:rPr>
          <w:rFonts w:ascii="Calibri" w:hAnsi="Calibri" w:eastAsia="Microsoft YaHei"/>
          <w:b w:val="0"/>
          <w:color w:val="000000"/>
          <w:sz w:val="22"/>
        </w:rPr>
        <w:t xml:space="preserve"> 版本治理、统一关联编号、人工兜底和可验证验收。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00000"/>
          <w:sz w:val="22"/>
        </w:rPr>
        <w:t>行业判断：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平台层成熟，专门面向员工薪酬福利的 AI 路由层仍稀缺。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00000"/>
          <w:sz w:val="22"/>
        </w:rPr>
        <w:t>产品方向：</w:t>
      </w:r>
      <w:r>
        <w:rPr>
          <w:rFonts w:ascii="Calibri" w:hAnsi="Calibri" w:eastAsia="Microsoft YaHei"/>
          <w:b w:val="0"/>
          <w:color w:val="000000"/>
          <w:sz w:val="22"/>
        </w:rPr>
        <w:t xml:space="preserve"> 以现有工单系统为底座，建设政策版本感知的分流智能层。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00000"/>
          <w:sz w:val="22"/>
        </w:rPr>
        <w:t>落地路线：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先用单一业务单元完成四周受控验证，再扩大到生产环境。</w:t>
      </w:r>
    </w:p>
    <w:p>
      <w:pPr>
        <w:spacing w:before="80" w:after="160" w:line="264" w:lineRule="auto"/>
        <w:ind w:left="115" w:right="58"/>
        <w:shd w:fill="F4F6F9"/>
        <w:pBdr>
          <w:left w:val="single" w:sz="20" w:space="8" w:color="2E74B5"/>
        </w:pBdr>
      </w:pPr>
      <w:r>
        <w:rPr>
          <w:rFonts w:ascii="Calibri" w:hAnsi="Calibri" w:eastAsia="Microsoft YaHei"/>
          <w:b/>
          <w:color w:val="0B2545"/>
          <w:sz w:val="21"/>
        </w:rPr>
        <w:t>核心判断</w:t>
      </w:r>
      <w:r>
        <w:br/>
      </w:r>
      <w:r>
        <w:rPr>
          <w:rFonts w:ascii="Calibri" w:hAnsi="Calibri" w:eastAsia="Microsoft YaHei"/>
          <w:b w:val="0"/>
          <w:color w:val="0B2545"/>
          <w:sz w:val="21"/>
        </w:rPr>
        <w:t>产品不应承诺“所有问题自动解决”，而应确保“每个工单进入正确队列，每个答复引用有效版本，每次高风险判断都有具名人工接手，并且全过程可追溯”。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执行摘要</w:t>
      </w:r>
    </w:p>
    <w:p>
      <w:r>
        <w:rPr>
          <w:rFonts w:ascii="Calibri" w:hAnsi="Calibri" w:eastAsia="Microsoft YaHei"/>
          <w:b w:val="0"/>
          <w:color w:val="000000"/>
          <w:sz w:val="22"/>
        </w:rPr>
        <w:t>员工薪酬福利咨询同时涉及员工体验、共享服务效率、政策版本、隐私和合规。访谈中的实际链路是“接收问题、澄清周期、查规则、专家复核、生成回复草稿”。最耗时的不是写回复，而是判断工单归属、确认现行政策版本和补充交接信息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六个角色共贡献 35 条可验证事实。证据指向三个核心问题：</w:t>
      </w:r>
    </w:p>
    <w:p>
      <w:pPr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00000"/>
          <w:sz w:val="22"/>
        </w:rPr>
        <w:t>分流不稳定。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同类问题进入不同队列，不同队列对成功与完成的理解不一致。</w:t>
      </w:r>
    </w:p>
    <w:p>
      <w:pPr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00000"/>
          <w:sz w:val="22"/>
        </w:rPr>
        <w:t>政策版本不可靠。</w:t>
      </w:r>
      <w:r>
        <w:rPr>
          <w:rFonts w:ascii="Calibri" w:hAnsi="Calibri" w:eastAsia="Microsoft YaHei"/>
          <w:b w:val="0"/>
          <w:color w:val="000000"/>
          <w:sz w:val="22"/>
        </w:rPr>
        <w:t xml:space="preserve"> 答复会引用相似但已过期的政策；文件名和更新时间不能稳定代表有效版本。</w:t>
      </w:r>
    </w:p>
    <w:p>
      <w:pPr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00000"/>
          <w:sz w:val="22"/>
        </w:rPr>
        <w:t>责任链易断裂。</w:t>
      </w:r>
      <w:r>
        <w:rPr>
          <w:rFonts w:ascii="Calibri" w:hAnsi="Calibri" w:eastAsia="Microsoft YaHei"/>
          <w:b w:val="0"/>
          <w:color w:val="000000"/>
          <w:sz w:val="22"/>
        </w:rPr>
        <w:t xml:space="preserve"> 交接只写“已处理”，缺少最新版本、未确认事项、截止时间和接收人。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 xml:space="preserve">行业侧出现明显分层：Zammad、osTicket、Frappe Helpdesk、GLPI 等成熟项目已经覆盖工单、队列、SLA、知识和审计；AI 工单分流项目则以早期原型为主。精确检索 </w:t>
      </w:r>
      <w:r>
        <w:rPr>
          <w:rFonts w:ascii="Consolas" w:hAnsi="Consolas" w:eastAsia="Microsoft YaHei"/>
          <w:b w:val="0"/>
          <w:color w:val="0B2545"/>
          <w:sz w:val="21"/>
        </w:rPr>
        <w:t>"employee" "ticket routing"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只得到 6 个公开仓库，且社区关注度很低。这说明无需再复制完整 Helpdesk，真正的空白在“业务规则、政策版本和人工治理”。</w:t>
      </w:r>
    </w:p>
    <w:p>
      <w:r>
        <w:rPr>
          <w:rFonts w:ascii="Calibri" w:hAnsi="Calibri" w:eastAsia="Microsoft YaHei"/>
          <w:b/>
          <w:color w:val="000000"/>
          <w:sz w:val="22"/>
        </w:rPr>
        <w:t>推荐定位：HR Shared Services Routing Copilot。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它部署于现有工单系统之前或旁边，输出可解释的路由建议、有效政策引用、材料缺口和人工升级请求，不直接承诺待遇，也不在首期写回敏感业务系统。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业务场景与证据边界</w:t>
      </w:r>
    </w:p>
    <w:p>
      <w:pPr>
        <w:pStyle w:val="Heading2"/>
      </w:pPr>
      <w:r>
        <w:rPr>
          <w:rFonts w:ascii="Calibri" w:hAnsi="Calibri" w:eastAsia="Microsoft YaHei"/>
          <w:b/>
          <w:color w:val="1F4D78"/>
          <w:sz w:val="26"/>
        </w:rPr>
        <w:t>2.1 场景背景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本次业务挖掘基于上海外服员工薪酬福利咨询的合成演练。场景中的具体事实、员工、公司数据和投诉均为训练材料，不代表真实企业指标。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触发需求的问题是：同类咨询被分到不同队列，答复引用互相矛盾的旧文档。首期调查目标是识别具体问题、收集证据、界定试点范围，并判断是否值得立项。</w:t>
      </w:r>
    </w:p>
    <w:p>
      <w:pPr>
        <w:pStyle w:val="Heading2"/>
      </w:pPr>
      <w:r>
        <w:rPr>
          <w:rFonts w:ascii="Calibri" w:hAnsi="Calibri" w:eastAsia="Microsoft YaHei"/>
          <w:b/>
          <w:color w:val="1F4D78"/>
          <w:sz w:val="26"/>
        </w:rPr>
        <w:t>2.2 研究覆盖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访谈角色：顾明岚、林亦舟、唐映秋、秦芮、傅景、叶书。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覆盖视角：业务决策、一线操作、流程交接、系统数据、质量复核、客户协同。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事实覆盖：35/36，占 97%。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未完成项：一线工单量、平均耗时、返工和错分率等统计基线。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数据边界：合成场景、脱敏样本、只读导出；真实接口和业务验收另行核实。</w:t>
      </w:r>
    </w:p>
    <w:p>
      <w:pPr>
        <w:pStyle w:val="Heading2"/>
      </w:pPr>
      <w:r>
        <w:rPr>
          <w:rFonts w:ascii="Calibri" w:hAnsi="Calibri" w:eastAsia="Microsoft YaHei"/>
          <w:b/>
          <w:color w:val="1F4D78"/>
          <w:sz w:val="26"/>
        </w:rPr>
        <w:t>2.3 证据使用原则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本报告把事实、推断和待验证假设分开呈现。访谈中的模拟数字只用于演练，不作为市场规模或真实收益依据。覆盖率 97% 只表示训练材料采集较完整，不等于需求已获真实客户确认。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六视角业务发现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Ind w:type="dxa" w:w="120"/>
      </w:tblPr>
      <w:tblGrid>
        <w:gridCol w:w="1872"/>
        <w:gridCol w:w="1763"/>
        <w:gridCol w:w="3459"/>
        <w:gridCol w:w="1424"/>
        <w:gridCol w:w="842"/>
      </w:tblGrid>
      <w:tr>
        <w:trPr>
          <w:cantSplit/>
          <w:tblHeader w:val="true"/>
          <w:cantSplit/>
        </w:trPr>
        <w:tc>
          <w:tcPr>
            <w:tcW w:type="dxa" w:w="187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角色</w:t>
            </w:r>
          </w:p>
        </w:tc>
        <w:tc>
          <w:tcPr>
            <w:tcW w:type="dxa" w:w="1763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关注点</w:t>
            </w:r>
          </w:p>
        </w:tc>
        <w:tc>
          <w:tcPr>
            <w:tcW w:type="dxa" w:w="3459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关键事实</w:t>
            </w:r>
          </w:p>
        </w:tc>
        <w:tc>
          <w:tcPr>
            <w:tcW w:type="dxa" w:w="142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证据编号</w:t>
            </w:r>
          </w:p>
        </w:tc>
        <w:tc>
          <w:tcPr>
            <w:tcW w:type="dxa" w:w="84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事实数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顾明岚 / 服务业务负责人</w:t>
            </w:r>
          </w:p>
        </w:tc>
        <w:tc>
          <w:tcPr>
            <w:tcW w:type="dxa" w:w="1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价值、范围、预算与决策</w:t>
            </w:r>
          </w:p>
        </w:tc>
        <w:tc>
          <w:tcPr>
            <w:tcW w:type="dxa" w:w="34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目标是减少重复核对，保留人工确认和可追溯来源；首期限定一个批次、四周和两名骨干</w:t>
            </w:r>
          </w:p>
        </w:tc>
        <w:tc>
          <w:tcPr>
            <w:tcW w:type="dxa" w:w="14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f00-f05</w:t>
            </w:r>
          </w:p>
        </w:tc>
        <w:tc>
          <w:tcPr>
            <w:tcW w:type="dxa" w:w="8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6/6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林亦舟 / 薪酬福利服务专员</w:t>
            </w:r>
          </w:p>
        </w:tc>
        <w:tc>
          <w:tcPr>
            <w:tcW w:type="dxa" w:w="1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一线效率、异常和复核</w:t>
            </w:r>
          </w:p>
        </w:tc>
        <w:tc>
          <w:tcPr>
            <w:tcW w:type="dxa" w:w="34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最难的是判断归谁和确认现行口径；现场边聊边办再回填，导致时间字段不可靠</w:t>
            </w:r>
          </w:p>
        </w:tc>
        <w:tc>
          <w:tcPr>
            <w:tcW w:type="dxa" w:w="14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f10, f11, f13-f15</w:t>
            </w:r>
          </w:p>
        </w:tc>
        <w:tc>
          <w:tcPr>
            <w:tcW w:type="dxa" w:w="8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5/6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唐映秋 / 服务方案协调员</w:t>
            </w:r>
          </w:p>
        </w:tc>
        <w:tc>
          <w:tcPr>
            <w:tcW w:type="dxa" w:w="1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流程、材料、权限与交接</w:t>
            </w:r>
          </w:p>
        </w:tc>
        <w:tc>
          <w:tcPr>
            <w:tcW w:type="dxa" w:w="34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交接须包含最新版本、未确认事项和截止时间；模型没有审批权</w:t>
            </w:r>
          </w:p>
        </w:tc>
        <w:tc>
          <w:tcPr>
            <w:tcW w:type="dxa" w:w="14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f20-f25</w:t>
            </w:r>
          </w:p>
        </w:tc>
        <w:tc>
          <w:tcPr>
            <w:tcW w:type="dxa" w:w="8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6/6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秦芮 / 数据与系统工程师</w:t>
            </w:r>
          </w:p>
        </w:tc>
        <w:tc>
          <w:tcPr>
            <w:tcW w:type="dxa" w:w="1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系统、字段、接口与数据质量</w:t>
            </w:r>
          </w:p>
        </w:tc>
        <w:tc>
          <w:tcPr>
            <w:tcW w:type="dxa" w:w="34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服务台、台账和文件库没有统一关联编号；首期仅开放脱敏只读</w:t>
            </w:r>
          </w:p>
        </w:tc>
        <w:tc>
          <w:tcPr>
            <w:tcW w:type="dxa" w:w="14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f30-f35</w:t>
            </w:r>
          </w:p>
        </w:tc>
        <w:tc>
          <w:tcPr>
            <w:tcW w:type="dxa" w:w="8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6/6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傅景 / 质量复核负责人</w:t>
            </w:r>
          </w:p>
        </w:tc>
        <w:tc>
          <w:tcPr>
            <w:tcW w:type="dxa" w:w="1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风险、审计、验收与兜底</w:t>
            </w:r>
          </w:p>
        </w:tc>
        <w:tc>
          <w:tcPr>
            <w:tcW w:type="dxa" w:w="34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正式结论须由授权人员确认；无法确认版本或字段时必须转人工</w:t>
            </w:r>
          </w:p>
        </w:tc>
        <w:tc>
          <w:tcPr>
            <w:tcW w:type="dxa" w:w="14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f40-f45</w:t>
            </w:r>
          </w:p>
        </w:tc>
        <w:tc>
          <w:tcPr>
            <w:tcW w:type="dxa" w:w="8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6/6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叶书 / 客户薪酬对接人</w:t>
            </w:r>
          </w:p>
        </w:tc>
        <w:tc>
          <w:tcPr>
            <w:tcW w:type="dxa" w:w="1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协作冲突、结果用途和反馈</w:t>
            </w:r>
          </w:p>
        </w:tc>
        <w:tc>
          <w:tcPr>
            <w:tcW w:type="dxa" w:w="34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客服想少转派，专家要保留例外复核；成功不能只看分流速度</w:t>
            </w:r>
          </w:p>
        </w:tc>
        <w:tc>
          <w:tcPr>
            <w:tcW w:type="dxa" w:w="14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f50-f55</w:t>
            </w:r>
          </w:p>
        </w:tc>
        <w:tc>
          <w:tcPr>
            <w:tcW w:type="dxa" w:w="8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6/6</w:t>
            </w:r>
          </w:p>
        </w:tc>
      </w:tr>
    </w:tbl>
    <w:p>
      <w:pPr>
        <w:spacing w:before="0" w:after="0" w:line="40" w:lineRule="exact"/>
      </w:pPr>
    </w:p>
    <w:p>
      <w:pPr>
        <w:pStyle w:val="Heading2"/>
      </w:pPr>
      <w:r>
        <w:rPr>
          <w:rFonts w:ascii="Calibri" w:hAnsi="Calibri" w:eastAsia="Microsoft YaHei"/>
          <w:b/>
          <w:color w:val="1F4D78"/>
          <w:sz w:val="26"/>
        </w:rPr>
        <w:t>3.1 主要矛盾</w:t>
      </w:r>
    </w:p>
    <w:p>
      <w:r>
        <w:rPr>
          <w:rFonts w:ascii="Calibri" w:hAnsi="Calibri" w:eastAsia="Microsoft YaHei"/>
          <w:b/>
          <w:color w:val="000000"/>
          <w:sz w:val="22"/>
        </w:rPr>
        <w:t>效率与准确性的冲突。</w:t>
      </w:r>
      <w:r>
        <w:rPr>
          <w:rFonts w:ascii="Calibri" w:hAnsi="Calibri" w:eastAsia="Microsoft YaHei"/>
          <w:b w:val="0"/>
          <w:color w:val="000000"/>
          <w:sz w:val="22"/>
        </w:rPr>
        <w:t xml:space="preserve"> 一线希望快速分流，专家团队要求例外问题保留复核。若只以转派速度或自动处理率考核，容易把“分得快”误判为“分得对”。</w:t>
      </w:r>
    </w:p>
    <w:p>
      <w:r>
        <w:rPr>
          <w:rFonts w:ascii="Calibri" w:hAnsi="Calibri" w:eastAsia="Microsoft YaHei"/>
          <w:b/>
          <w:color w:val="000000"/>
          <w:sz w:val="22"/>
        </w:rPr>
        <w:t>政策复用与版本失效的冲突。</w:t>
      </w:r>
      <w:r>
        <w:rPr>
          <w:rFonts w:ascii="Calibri" w:hAnsi="Calibri" w:eastAsia="Microsoft YaHei"/>
          <w:b w:val="0"/>
          <w:color w:val="000000"/>
          <w:sz w:val="22"/>
        </w:rPr>
        <w:t xml:space="preserve"> 相似政策可以复用，但地区、员工类型、周期和确认状态不同。只按文本相似度检索会把旧政策带入新工单。</w:t>
      </w:r>
    </w:p>
    <w:p>
      <w:r>
        <w:rPr>
          <w:rFonts w:ascii="Calibri" w:hAnsi="Calibri" w:eastAsia="Microsoft YaHei"/>
          <w:b/>
          <w:color w:val="000000"/>
          <w:sz w:val="22"/>
        </w:rPr>
        <w:t>系统记录与现场习惯的冲突。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员工在窗口等待时，一线可能先在群消息中处理，再补填系统。回填时间不能等同于业务发生时间。</w:t>
      </w:r>
    </w:p>
    <w:p>
      <w:r>
        <w:rPr>
          <w:rFonts w:ascii="Calibri" w:hAnsi="Calibri" w:eastAsia="Microsoft YaHei"/>
          <w:b/>
          <w:color w:val="000000"/>
          <w:sz w:val="22"/>
        </w:rPr>
        <w:t>协作与责任的冲突。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客服侧可能把“已转出”视为完成，专家侧则以复核结束为完成。缺少统一关联编号和交接字段时，责任归属无法稳定追溯。</w:t>
      </w:r>
    </w:p>
    <w:p>
      <w:pPr>
        <w:pStyle w:val="Heading2"/>
      </w:pPr>
      <w:r>
        <w:rPr>
          <w:rFonts w:ascii="Calibri" w:hAnsi="Calibri" w:eastAsia="Microsoft YaHei"/>
          <w:b/>
          <w:color w:val="1F4D78"/>
          <w:sz w:val="26"/>
        </w:rPr>
        <w:t>3.2 现状流程与失败点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接收员工咨询并识别基础意图。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澄清适用周期、地区、员工类型和材料。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查找政策、台账和内部问答库。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判断队列并转给专家复核。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生成回复草稿并保留人工确认。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完成交接、记录结果并收集反馈。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主要失败点包括：问题类别无统一口径、旧版本未被排除、时间字段不可靠、材料缺口不清晰、交接缺少未结项、结果无统一验收指标。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业务需求与优先级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Ind w:type="dxa" w:w="120"/>
      </w:tblPr>
      <w:tblGrid>
        <w:gridCol w:w="835"/>
        <w:gridCol w:w="3528"/>
        <w:gridCol w:w="1901"/>
        <w:gridCol w:w="1901"/>
        <w:gridCol w:w="1195"/>
      </w:tblGrid>
      <w:tr>
        <w:trPr>
          <w:cantSplit/>
          <w:tblHeader w:val="true"/>
          <w:cantSplit/>
        </w:trPr>
        <w:tc>
          <w:tcPr>
            <w:tcW w:type="dxa" w:w="835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编号</w:t>
            </w:r>
          </w:p>
        </w:tc>
        <w:tc>
          <w:tcPr>
            <w:tcW w:type="dxa" w:w="352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需求</w:t>
            </w:r>
          </w:p>
        </w:tc>
        <w:tc>
          <w:tcPr>
            <w:tcW w:type="dxa" w:w="1901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主要依据</w:t>
            </w:r>
          </w:p>
        </w:tc>
        <w:tc>
          <w:tcPr>
            <w:tcW w:type="dxa" w:w="1901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风险判断</w:t>
            </w:r>
          </w:p>
        </w:tc>
        <w:tc>
          <w:tcPr>
            <w:tcW w:type="dxa" w:w="1195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优先级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REQ-1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用有效期、地区、员工类型和确认状态判断有效政策，不能依赖文件名</w:t>
            </w:r>
          </w:p>
        </w:tc>
        <w:tc>
          <w:tcPr>
            <w:tcW w:type="dxa" w:w="19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f10, f11, f24, f34</w:t>
            </w:r>
          </w:p>
        </w:tc>
        <w:tc>
          <w:tcPr>
            <w:tcW w:type="dxa" w:w="19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高风险错误可提前拦截，适合作为首个切入点</w:t>
            </w:r>
          </w:p>
        </w:tc>
        <w:tc>
          <w:tcPr>
            <w:tcW w:type="dxa" w:w="11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P0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REQ-2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建立统一工单关联编号和关键字段口径</w:t>
            </w:r>
          </w:p>
        </w:tc>
        <w:tc>
          <w:tcPr>
            <w:tcW w:type="dxa" w:w="19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f30, f31, f33</w:t>
            </w:r>
          </w:p>
        </w:tc>
        <w:tc>
          <w:tcPr>
            <w:tcW w:type="dxa" w:w="19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是分流、追溯和报表的前置基础设施</w:t>
            </w:r>
          </w:p>
        </w:tc>
        <w:tc>
          <w:tcPr>
            <w:tcW w:type="dxa" w:w="11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P0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REQ-3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交接记录必须列出最新版本、未确认事项和截止时间</w:t>
            </w:r>
          </w:p>
        </w:tc>
        <w:tc>
          <w:tcPr>
            <w:tcW w:type="dxa" w:w="19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f20, f23, f25</w:t>
            </w:r>
          </w:p>
        </w:tc>
        <w:tc>
          <w:tcPr>
            <w:tcW w:type="dxa" w:w="19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需要流程负责人确认，但可通过模板先验证</w:t>
            </w:r>
          </w:p>
        </w:tc>
        <w:tc>
          <w:tcPr>
            <w:tcW w:type="dxa" w:w="11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P1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REQ-4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向一线提供缺项清单、来源位置和业务发生时间</w:t>
            </w:r>
          </w:p>
        </w:tc>
        <w:tc>
          <w:tcPr>
            <w:tcW w:type="dxa" w:w="19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f13-f15, f31</w:t>
            </w:r>
          </w:p>
        </w:tc>
        <w:tc>
          <w:tcPr>
            <w:tcW w:type="dxa" w:w="19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对现场价值高，错误可被人工发现</w:t>
            </w:r>
          </w:p>
        </w:tc>
        <w:tc>
          <w:tcPr>
            <w:tcW w:type="dxa" w:w="11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P1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REQ-5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无法确认版本或字段时进入人工队列并保留快照</w:t>
            </w:r>
          </w:p>
        </w:tc>
        <w:tc>
          <w:tcPr>
            <w:tcW w:type="dxa" w:w="19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f32, f35, f44</w:t>
            </w:r>
          </w:p>
        </w:tc>
        <w:tc>
          <w:tcPr>
            <w:tcW w:type="dxa" w:w="19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不可默认通过，必须作为系统硬约束</w:t>
            </w:r>
          </w:p>
        </w:tc>
        <w:tc>
          <w:tcPr>
            <w:tcW w:type="dxa" w:w="11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P0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REQ-6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同时评估处理工时、返工、错分和确认完整率</w:t>
            </w:r>
          </w:p>
        </w:tc>
        <w:tc>
          <w:tcPr>
            <w:tcW w:type="dxa" w:w="19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f42, f51, f53, f55</w:t>
            </w:r>
          </w:p>
        </w:tc>
        <w:tc>
          <w:tcPr>
            <w:tcW w:type="dxa" w:w="19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避免单一效率指标掩盖质量下降</w:t>
            </w:r>
          </w:p>
        </w:tc>
        <w:tc>
          <w:tcPr>
            <w:tcW w:type="dxa" w:w="11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P0</w:t>
            </w:r>
          </w:p>
        </w:tc>
      </w:tr>
    </w:tbl>
    <w:p>
      <w:pPr>
        <w:spacing w:before="0" w:after="0" w:line="40" w:lineRule="exact"/>
      </w:pPr>
    </w:p>
    <w:p>
      <w:pPr>
        <w:pStyle w:val="Heading2"/>
      </w:pPr>
      <w:r>
        <w:rPr>
          <w:rFonts w:ascii="Calibri" w:hAnsi="Calibri" w:eastAsia="Microsoft YaHei"/>
          <w:b/>
          <w:color w:val="1F4D78"/>
          <w:sz w:val="26"/>
        </w:rPr>
        <w:t>4.1 首期价值假设</w:t>
      </w:r>
    </w:p>
    <w:p>
      <w:r>
        <w:rPr>
          <w:rFonts w:ascii="Calibri" w:hAnsi="Calibri" w:eastAsia="Microsoft YaHei"/>
          <w:b w:val="0"/>
          <w:color w:val="000000"/>
          <w:sz w:val="22"/>
        </w:rPr>
        <w:t>如果系统能准确识别意图、排除失效政策并给出可解释的分流建议，则一线用于查资料和问同事的时间应下降，专家接收的无效工单应减少，因旧政策引发的返工和投诉也应下降。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这些仍是待验证假设。当前最缺的是一线统计基线，因此首期必须从真实或高保真脱敏样本中补采工单量、平均耗时、返工率和错分率。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证据缺口与交接条件</w:t>
      </w:r>
    </w:p>
    <w:p>
      <w:pPr>
        <w:pStyle w:val="Heading2"/>
      </w:pPr>
      <w:r>
        <w:rPr>
          <w:rFonts w:ascii="Calibri" w:hAnsi="Calibri" w:eastAsia="Microsoft YaHei"/>
          <w:b/>
          <w:color w:val="1F4D78"/>
          <w:sz w:val="26"/>
        </w:rPr>
        <w:t>5.1 证据缺口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试点批次的工单量、平均处理时长、返工次数和错分率没有可核实统计。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80 条答复是抽样还是全量，覆盖哪些队列，缺少书面口径。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授权人员名单、正式结论范围、审批层级和审计取数权限尚未确认。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转人工判定人、接收队列、携带字段和暂停权限尚未固化。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现有政策库是否已有有效期与确认状态字段尚未核实。</w:t>
      </w:r>
    </w:p>
    <w:p>
      <w:pPr>
        <w:pStyle w:val="Heading2"/>
      </w:pPr>
      <w:r>
        <w:rPr>
          <w:rFonts w:ascii="Calibri" w:hAnsi="Calibri" w:eastAsia="Microsoft YaHei"/>
          <w:b/>
          <w:color w:val="1F4D78"/>
          <w:sz w:val="26"/>
        </w:rPr>
        <w:t>5.2 阶段确认结论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本阶段六视角访谈、35 条证据与问题链可以作为后续工作输入，但不代表真实业务需求已确认。书面 Brief、行业可比案例、量化基线、预算口径、决策/审批责任人和转人工接收队列仍需补齐。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在条件补齐前，仅保留分析、桌面核对和模拟验证；不接入真实个人数据，不写回业务系统，不对外自动发送答复。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行业定义与市场结构</w:t>
      </w:r>
    </w:p>
    <w:p>
      <w:r>
        <w:rPr>
          <w:rFonts w:ascii="Calibri" w:hAnsi="Calibri" w:eastAsia="Microsoft YaHei"/>
          <w:b w:val="0"/>
          <w:color w:val="000000"/>
          <w:sz w:val="22"/>
        </w:rPr>
        <w:t>员工工单分流属于 HR Shared Services、Employee Helpdesk 与 ITSM 的交叉领域。可以把行业分为五层：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Ind w:type="dxa" w:w="120"/>
      </w:tblPr>
      <w:tblGrid>
        <w:gridCol w:w="1800"/>
        <w:gridCol w:w="2880"/>
        <w:gridCol w:w="3096"/>
        <w:gridCol w:w="1584"/>
      </w:tblGrid>
      <w:tr>
        <w:trPr>
          <w:cantSplit/>
          <w:tblHeader w:val="true"/>
          <w:cantSplit/>
        </w:trPr>
        <w:tc>
          <w:tcPr>
            <w:tcW w:type="dxa" w:w="1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层级</w:t>
            </w:r>
          </w:p>
        </w:tc>
        <w:tc>
          <w:tcPr>
            <w:tcW w:type="dxa" w:w="28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典型能力</w:t>
            </w:r>
          </w:p>
        </w:tc>
        <w:tc>
          <w:tcPr>
            <w:tcW w:type="dxa" w:w="309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代表产品/项目</w:t>
            </w:r>
          </w:p>
        </w:tc>
        <w:tc>
          <w:tcPr>
            <w:tcW w:type="dxa" w:w="158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产品启示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系统记录层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工单、队列、SLA、附件、审批、审计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Zammad、osTicket、Frappe、GLPI、ServiceNow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成熟度高，应连接而非重建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渠道交互层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邮件、网页、聊天、企业 IM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Chatwoot、Zendesk、Freshdesk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决定输入结构和会话上下文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知识政策层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FAQ、检索、RAG、版本和权限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企业知识库、Frappe Knowledge、GLPI Knowledge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是薪酬福利场景的核心资产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智能分流层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分类、实体、优先级、路由与转人工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Open Ticket AI、HelpDesk-AI 等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是目标产品最合理的切入点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治理运营层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审计、抽检、SLA、指标和变更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ITSM/HRSD 平台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决定能否生产化</w:t>
            </w:r>
          </w:p>
        </w:tc>
      </w:tr>
    </w:tbl>
    <w:p>
      <w:pPr>
        <w:spacing w:before="0" w:after="0" w:line="40" w:lineRule="exact"/>
      </w:pPr>
    </w:p>
    <w:p>
      <w:r>
        <w:rPr>
          <w:rFonts w:ascii="Calibri" w:hAnsi="Calibri" w:eastAsia="Microsoft YaHei"/>
          <w:b w:val="0"/>
          <w:color w:val="000000"/>
          <w:sz w:val="22"/>
        </w:rPr>
        <w:t>行业需求由四类因素共同推动：多地区政策复杂度上升、HR 服务集中化、AI 从问答进入流程、员工数据隐私要求提高。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GitHub 与商业产品对标</w:t>
      </w:r>
    </w:p>
    <w:p>
      <w:pPr>
        <w:pStyle w:val="Heading2"/>
      </w:pPr>
      <w:r>
        <w:rPr>
          <w:rFonts w:ascii="Calibri" w:hAnsi="Calibri" w:eastAsia="Microsoft YaHei"/>
          <w:b/>
          <w:color w:val="1F4D78"/>
          <w:sz w:val="26"/>
        </w:rPr>
        <w:t>7.1 GitHub 社区信号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Ind w:type="dxa" w:w="120"/>
      </w:tblPr>
      <w:tblGrid>
        <w:gridCol w:w="3672"/>
        <w:gridCol w:w="1440"/>
        <w:gridCol w:w="4248"/>
      </w:tblGrid>
      <w:tr>
        <w:trPr>
          <w:cantSplit/>
          <w:tblHeader w:val="true"/>
          <w:cantSplit/>
        </w:trPr>
        <w:tc>
          <w:tcPr>
            <w:tcW w:type="dxa" w:w="367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检索方向</w:t>
            </w:r>
          </w:p>
        </w:tc>
        <w:tc>
          <w:tcPr>
            <w:tcW w:type="dxa" w:w="14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数据快照</w:t>
            </w:r>
          </w:p>
        </w:tc>
        <w:tc>
          <w:tcPr>
            <w:tcW w:type="dxa" w:w="424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结论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0B2545"/>
                <w:sz w:val="18"/>
              </w:rPr>
              <w:t>"employee" "ticket routing"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6 个仓库，结果普遍 0 stars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精确场景明显缺少成熟开源方案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0B2545"/>
                <w:sz w:val="18"/>
              </w:rPr>
              <w:t>AI ticket routing helpdesk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最高 9 stars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AI 分流项目较新、规模较小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0B2545"/>
                <w:sz w:val="18"/>
              </w:rPr>
              <w:t>support ticket triage AI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最高 19 stars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生态分散，无明确头部开源项目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0B2545"/>
                <w:sz w:val="18"/>
              </w:rPr>
              <w:t>HR helpdesk AI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最高 2 stars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HR 原型较多，企业治理能力不足</w:t>
            </w:r>
          </w:p>
        </w:tc>
      </w:tr>
    </w:tbl>
    <w:p>
      <w:pPr>
        <w:spacing w:before="0" w:after="0" w:line="40" w:lineRule="exact"/>
      </w:pPr>
    </w:p>
    <w:p>
      <w:r>
        <w:rPr>
          <w:rFonts w:ascii="Calibri" w:hAnsi="Calibri" w:eastAsia="Microsoft YaHei"/>
          <w:b w:val="0"/>
          <w:color w:val="000000"/>
          <w:sz w:val="22"/>
        </w:rPr>
        <w:t>GitHub stars 只代表社区关注，不等同于商业采用、代码质量或真实需求。</w:t>
      </w:r>
    </w:p>
    <w:p>
      <w:pPr>
        <w:pStyle w:val="Heading2"/>
      </w:pPr>
      <w:r>
        <w:rPr>
          <w:rFonts w:ascii="Calibri" w:hAnsi="Calibri" w:eastAsia="Microsoft YaHei"/>
          <w:b/>
          <w:color w:val="1F4D78"/>
          <w:sz w:val="26"/>
        </w:rPr>
        <w:t>7.2 代表性开源项目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Ind w:type="dxa" w:w="120"/>
      </w:tblPr>
      <w:tblGrid>
        <w:gridCol w:w="1843"/>
        <w:gridCol w:w="893"/>
        <w:gridCol w:w="3096"/>
        <w:gridCol w:w="1944"/>
        <w:gridCol w:w="1584"/>
      </w:tblGrid>
      <w:tr>
        <w:trPr>
          <w:cantSplit/>
          <w:tblHeader w:val="true"/>
          <w:cantSplit/>
        </w:trPr>
        <w:tc>
          <w:tcPr>
            <w:tcW w:type="dxa" w:w="1843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893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Stars</w:t>
            </w:r>
          </w:p>
        </w:tc>
        <w:tc>
          <w:tcPr>
            <w:tcW w:type="dxa" w:w="309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主要能力</w:t>
            </w:r>
          </w:p>
        </w:tc>
        <w:tc>
          <w:tcPr>
            <w:tcW w:type="dxa" w:w="194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可借鉴</w:t>
            </w:r>
          </w:p>
        </w:tc>
        <w:tc>
          <w:tcPr>
            <w:tcW w:type="dxa" w:w="158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主要限制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Chatwoot</w:t>
            </w:r>
          </w:p>
        </w:tc>
        <w:tc>
          <w:tcPr>
            <w:tcW w:type="dxa" w:w="8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38,104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全渠道沟通、客服协作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渠道接入与会话体验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偏客户支持，不是 HR 政策产品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GLPI</w:t>
            </w:r>
          </w:p>
        </w:tc>
        <w:tc>
          <w:tcPr>
            <w:tcW w:type="dxa" w:w="8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6,494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资产、ITIL、事件、知识库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审计、流程与责任治理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重型，HR 语义需二次建设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Zammad</w:t>
            </w:r>
          </w:p>
        </w:tc>
        <w:tc>
          <w:tcPr>
            <w:tcW w:type="dxa" w:w="8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6,026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多渠道 Helpdesk、队列与角色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工单历史和运营能力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AI 政策和 HR 规则不是核心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Frappe Helpdesk</w:t>
            </w:r>
          </w:p>
        </w:tc>
        <w:tc>
          <w:tcPr>
            <w:tcW w:type="dxa" w:w="8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3,441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自动分配、SLA、知识库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现代 Helpdesk 的模块化体验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通用客服，需要业务扩展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osTicket</w:t>
            </w:r>
          </w:p>
        </w:tc>
        <w:tc>
          <w:tcPr>
            <w:tcW w:type="dxa" w:w="8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3,989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邮件建单、队列和 SLA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简单清晰的基础工单模型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AI 与知识检索能力有限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Open Ticket AI</w:t>
            </w:r>
          </w:p>
        </w:tc>
        <w:tc>
          <w:tcPr>
            <w:tcW w:type="dxa" w:w="8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本地部署、插件式 AI 分类路由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可插拔 pipeline 与私有部署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项目新，生态和案例有限</w:t>
            </w:r>
          </w:p>
        </w:tc>
      </w:tr>
    </w:tbl>
    <w:p>
      <w:pPr>
        <w:spacing w:before="0" w:after="0" w:line="40" w:lineRule="exact"/>
      </w:pPr>
    </w:p>
    <w:p>
      <w:pPr>
        <w:pStyle w:val="Heading2"/>
      </w:pPr>
      <w:r>
        <w:rPr>
          <w:rFonts w:ascii="Calibri" w:hAnsi="Calibri" w:eastAsia="Microsoft YaHei"/>
          <w:b/>
          <w:color w:val="1F4D78"/>
          <w:sz w:val="26"/>
        </w:rPr>
        <w:t>7.3 竞争格局</w:t>
      </w:r>
    </w:p>
    <w:p>
      <w:r>
        <w:rPr>
          <w:rFonts w:ascii="Calibri" w:hAnsi="Calibri" w:eastAsia="Microsoft YaHei"/>
          <w:b w:val="0"/>
          <w:color w:val="000000"/>
          <w:sz w:val="22"/>
        </w:rPr>
        <w:t>商业平台方面，Zendesk、Freshdesk、ServiceNow 和 Jira Service Management 已将 AI 融入客服、ITSM 或服务运营；Intercom Fin 代表订阅型 AI 客服代理。它们的优势是平台、渠道和企业集成，通用产品在员工薪酬福利的深层政策规则上仍留有定制空间。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开源平台普遍采用“开源核心 + 托管/企业服务”模式。企业愿意为部署、维护、治理和支持付费，而不只是为源码付费。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产品定位与差异化</w:t>
      </w:r>
    </w:p>
    <w:p>
      <w:pPr>
        <w:pStyle w:val="Heading2"/>
      </w:pPr>
      <w:r>
        <w:rPr>
          <w:rFonts w:ascii="Calibri" w:hAnsi="Calibri" w:eastAsia="Microsoft YaHei"/>
          <w:b/>
          <w:color w:val="1F4D78"/>
          <w:sz w:val="26"/>
        </w:rPr>
        <w:t>8.1 推荐定位</w:t>
      </w:r>
    </w:p>
    <w:p>
      <w:r>
        <w:rPr>
          <w:rFonts w:ascii="Calibri" w:hAnsi="Calibri" w:eastAsia="Microsoft YaHei"/>
          <w:b/>
          <w:color w:val="000000"/>
          <w:sz w:val="22"/>
        </w:rPr>
        <w:t>一个平台中立的 HR 共享服务智能分流层：理解员工问题，定位有效政策，给出可解释的队列建议和材料缺口，并在高风险环节转给具名人工责任人。</w:t>
      </w:r>
    </w:p>
    <w:p>
      <w:pPr>
        <w:pStyle w:val="Heading2"/>
      </w:pPr>
      <w:r>
        <w:rPr>
          <w:rFonts w:ascii="Calibri" w:hAnsi="Calibri" w:eastAsia="Microsoft YaHei"/>
          <w:b/>
          <w:color w:val="1F4D78"/>
          <w:sz w:val="26"/>
        </w:rPr>
        <w:t>8.2 差异化支柱</w:t>
      </w:r>
    </w:p>
    <w:p>
      <w:pPr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00000"/>
          <w:sz w:val="22"/>
        </w:rPr>
        <w:t>版本感知。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有效期、地区、员工类型、发布状态和确认状态联合决定政策是否有效。</w:t>
      </w:r>
    </w:p>
    <w:p>
      <w:pPr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00000"/>
          <w:sz w:val="22"/>
        </w:rPr>
        <w:t>可解释路由。</w:t>
      </w:r>
      <w:r>
        <w:rPr>
          <w:rFonts w:ascii="Calibri" w:hAnsi="Calibri" w:eastAsia="Microsoft YaHei"/>
          <w:b w:val="0"/>
          <w:color w:val="000000"/>
          <w:sz w:val="22"/>
        </w:rPr>
        <w:t xml:space="preserve"> 输出候选队列、置信度、规则依据、引用来源和转人工原因。</w:t>
      </w:r>
    </w:p>
    <w:p>
      <w:pPr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00000"/>
          <w:sz w:val="22"/>
        </w:rPr>
        <w:t>责任不断链。</w:t>
      </w:r>
      <w:r>
        <w:rPr>
          <w:rFonts w:ascii="Calibri" w:hAnsi="Calibri" w:eastAsia="Microsoft YaHei"/>
          <w:b w:val="0"/>
          <w:color w:val="000000"/>
          <w:sz w:val="22"/>
        </w:rPr>
        <w:t xml:space="preserve"> 交接包含版本、未确认事项、截止时间、接收人和快照。</w:t>
      </w:r>
    </w:p>
    <w:p>
      <w:pPr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00000"/>
          <w:sz w:val="22"/>
        </w:rPr>
        <w:t>一线导向。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提供缺项清单和来源位置，而不是长篇摘要。</w:t>
      </w:r>
    </w:p>
    <w:p>
      <w:pPr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00000"/>
          <w:sz w:val="22"/>
        </w:rPr>
        <w:t>默认安全。</w:t>
      </w:r>
      <w:r>
        <w:rPr>
          <w:rFonts w:ascii="Calibri" w:hAnsi="Calibri" w:eastAsia="Microsoft YaHei"/>
          <w:b w:val="0"/>
          <w:color w:val="000000"/>
          <w:sz w:val="22"/>
        </w:rPr>
        <w:t xml:space="preserve"> 低置信、冲突、缺资料、越权和敏感个案默认转人工。</w:t>
      </w:r>
    </w:p>
    <w:p>
      <w:pPr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00000"/>
          <w:sz w:val="22"/>
        </w:rPr>
        <w:t>平台中立。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接入 Zammad、Frappe、JSM、ServiceNow 或企业自有平台。</w:t>
      </w:r>
    </w:p>
    <w:p>
      <w:pPr>
        <w:pStyle w:val="Heading2"/>
      </w:pPr>
      <w:r>
        <w:rPr>
          <w:rFonts w:ascii="Calibri" w:hAnsi="Calibri" w:eastAsia="Microsoft YaHei"/>
          <w:b/>
          <w:color w:val="1F4D78"/>
          <w:sz w:val="26"/>
        </w:rPr>
        <w:t>8.3 首期不应承诺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不自动承诺真实待遇或金额。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不对外自动发送正式结论。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不自动写回薪酬或员工主数据。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不使用真实个人数据。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不追求覆盖所有地区和全部工单。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9. 参考架构与数据模型</w:t>
      </w:r>
    </w:p>
    <w:p>
      <w:pPr>
        <w:pStyle w:val="Heading2"/>
      </w:pPr>
      <w:r>
        <w:rPr>
          <w:rFonts w:ascii="Calibri" w:hAnsi="Calibri" w:eastAsia="Microsoft YaHei"/>
          <w:b/>
          <w:color w:val="1F4D78"/>
          <w:sz w:val="26"/>
        </w:rPr>
        <w:t>9.1 处理链路</w:t>
      </w:r>
    </w:p>
    <w:p>
      <w:pPr>
        <w:numPr>
          <w:ilvl w:val="0"/>
          <w:numId w:val="14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从企业门户、邮件或 IM 接收咨询。</w:t>
      </w:r>
    </w:p>
    <w:p>
      <w:pPr>
        <w:numPr>
          <w:ilvl w:val="0"/>
          <w:numId w:val="14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完成身份认证、脱敏、去重和附件解析。</w:t>
      </w:r>
    </w:p>
    <w:p>
      <w:pPr>
        <w:numPr>
          <w:ilvl w:val="0"/>
          <w:numId w:val="14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识别意图、抽取地区、员工类型、周期和材料等实体。</w:t>
      </w:r>
    </w:p>
    <w:p>
      <w:pPr>
        <w:numPr>
          <w:ilvl w:val="0"/>
          <w:numId w:val="14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检索政策并校验有效期、适用人群和确认状态。</w:t>
      </w:r>
    </w:p>
    <w:p>
      <w:pPr>
        <w:numPr>
          <w:ilvl w:val="0"/>
          <w:numId w:val="14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使用确定性规则和模型建议生成队列候选与风险分级。</w:t>
      </w:r>
    </w:p>
    <w:p>
      <w:pPr>
        <w:numPr>
          <w:ilvl w:val="0"/>
          <w:numId w:val="14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自动答复草案、人工复核或具名专家转派。</w:t>
      </w:r>
    </w:p>
    <w:p>
      <w:pPr>
        <w:numPr>
          <w:ilvl w:val="0"/>
          <w:numId w:val="14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将结果写入现有工单系统并记录完整审计链。</w:t>
      </w:r>
    </w:p>
    <w:p>
      <w:pPr>
        <w:numPr>
          <w:ilvl w:val="0"/>
          <w:numId w:val="14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通过人工覆盖、质量抽检和业务指标持续校准。</w:t>
      </w:r>
    </w:p>
    <w:p>
      <w:pPr>
        <w:pStyle w:val="Heading2"/>
      </w:pPr>
      <w:r>
        <w:rPr>
          <w:rFonts w:ascii="Calibri" w:hAnsi="Calibri" w:eastAsia="Microsoft YaHei"/>
          <w:b/>
          <w:color w:val="1F4D78"/>
          <w:sz w:val="26"/>
        </w:rPr>
        <w:t>9.2 职责边界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00000"/>
          <w:sz w:val="22"/>
        </w:rPr>
        <w:t>模型：</w:t>
      </w:r>
      <w:r>
        <w:rPr>
          <w:rFonts w:ascii="Calibri" w:hAnsi="Calibri" w:eastAsia="Microsoft YaHei"/>
          <w:b w:val="0"/>
          <w:color w:val="000000"/>
          <w:sz w:val="22"/>
        </w:rPr>
        <w:t xml:space="preserve"> 语言理解、意图候选、实体抽取、检索排序和答复草案。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00000"/>
          <w:sz w:val="22"/>
        </w:rPr>
        <w:t>规则：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权限、地区、员工类型、风险红线、路由白名单和必须转人工条件。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00000"/>
          <w:sz w:val="22"/>
        </w:rPr>
        <w:t>人工：</w:t>
      </w:r>
      <w:r>
        <w:rPr>
          <w:rFonts w:ascii="Calibri" w:hAnsi="Calibri" w:eastAsia="Microsoft YaHei"/>
          <w:b w:val="0"/>
          <w:color w:val="000000"/>
          <w:sz w:val="22"/>
        </w:rPr>
        <w:t xml:space="preserve"> 薪酬承诺、敏感个案、规则冲突、跨部门责任确认和异常升级。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00000"/>
          <w:sz w:val="22"/>
        </w:rPr>
        <w:t>工单平台：</w:t>
      </w:r>
      <w:r>
        <w:rPr>
          <w:rFonts w:ascii="Calibri" w:hAnsi="Calibri" w:eastAsia="Microsoft YaHei"/>
          <w:b w:val="0"/>
          <w:color w:val="000000"/>
          <w:sz w:val="22"/>
        </w:rPr>
        <w:t xml:space="preserve"> 系统记录、SLA、审批、附件、权限和审计基础设施。</w:t>
      </w:r>
    </w:p>
    <w:p>
      <w:pPr>
        <w:pStyle w:val="Heading2"/>
      </w:pPr>
      <w:r>
        <w:rPr>
          <w:rFonts w:ascii="Calibri" w:hAnsi="Calibri" w:eastAsia="Microsoft YaHei"/>
          <w:b/>
          <w:color w:val="1F4D78"/>
          <w:sz w:val="26"/>
        </w:rPr>
        <w:t>9.3 核心数据对象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员工上下文：匿名员工编号、雇佣主体、地区、员工类型和业务线。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工单：统一关联编号、渠道、业务发生时间、系统接收时间、状态和内容。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政策：政策编号、适用人群、有效期、版本、确认状态和替代关系。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路由决策：候选意图、建议队列、依据、置信度、风险等级和人工标记。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交接：接收人、材料、未结项、截止时间、版本和快照。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复盘：人工覆盖、修改原因、最终结果和质量结论。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10. MVP 与验收指标</w:t>
      </w:r>
    </w:p>
    <w:p>
      <w:pPr>
        <w:pStyle w:val="Heading2"/>
      </w:pPr>
      <w:r>
        <w:rPr>
          <w:rFonts w:ascii="Calibri" w:hAnsi="Calibri" w:eastAsia="Microsoft YaHei"/>
          <w:b/>
          <w:color w:val="1F4D78"/>
          <w:sz w:val="26"/>
        </w:rPr>
        <w:t>10.1 首期范围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一个业务单元、一个员工批次和一个地区政策集。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脱敏只读数据，不连接敏感写接口。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输出分类、路由建议、政策引用、缺项清单和转人工请求。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人工确认后才允许更新训练环境中的工单标签。</w:t>
      </w:r>
    </w:p>
    <w:p>
      <w:pPr>
        <w:pStyle w:val="Heading2"/>
      </w:pPr>
      <w:r>
        <w:rPr>
          <w:rFonts w:ascii="Calibri" w:hAnsi="Calibri" w:eastAsia="Microsoft YaHei"/>
          <w:b/>
          <w:color w:val="1F4D78"/>
          <w:sz w:val="26"/>
        </w:rPr>
        <w:t>10.2 产品功能</w:t>
      </w:r>
    </w:p>
    <w:p>
      <w:pPr>
        <w:numPr>
          <w:ilvl w:val="0"/>
          <w:numId w:val="15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工单输入标准化。</w:t>
      </w:r>
    </w:p>
    <w:p>
      <w:pPr>
        <w:numPr>
          <w:ilvl w:val="0"/>
          <w:numId w:val="15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意图和优先级建议。</w:t>
      </w:r>
    </w:p>
    <w:p>
      <w:pPr>
        <w:numPr>
          <w:ilvl w:val="0"/>
          <w:numId w:val="15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政策检索与有效版本引用。</w:t>
      </w:r>
    </w:p>
    <w:p>
      <w:pPr>
        <w:numPr>
          <w:ilvl w:val="0"/>
          <w:numId w:val="15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路由队列与候选队列建议。</w:t>
      </w:r>
    </w:p>
    <w:p>
      <w:pPr>
        <w:numPr>
          <w:ilvl w:val="0"/>
          <w:numId w:val="15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缺项清单和来源位置。</w:t>
      </w:r>
    </w:p>
    <w:p>
      <w:pPr>
        <w:numPr>
          <w:ilvl w:val="0"/>
          <w:numId w:val="15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低置信度与高风险转人工。</w:t>
      </w:r>
    </w:p>
    <w:p>
      <w:pPr>
        <w:numPr>
          <w:ilvl w:val="0"/>
          <w:numId w:val="15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人工覆盖和反馈记录。</w:t>
      </w:r>
    </w:p>
    <w:p>
      <w:pPr>
        <w:numPr>
          <w:ilvl w:val="0"/>
          <w:numId w:val="15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基础运营看板。</w:t>
      </w:r>
    </w:p>
    <w:p>
      <w:pPr>
        <w:pStyle w:val="Heading2"/>
      </w:pPr>
      <w:r>
        <w:rPr>
          <w:rFonts w:ascii="Calibri" w:hAnsi="Calibri" w:eastAsia="Microsoft YaHei"/>
          <w:b/>
          <w:color w:val="1F4D78"/>
          <w:sz w:val="26"/>
        </w:rPr>
        <w:t>10.3 验收指标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Ind w:type="dxa" w:w="120"/>
      </w:tblPr>
      <w:tblGrid>
        <w:gridCol w:w="1656"/>
        <w:gridCol w:w="3168"/>
        <w:gridCol w:w="4536"/>
      </w:tblGrid>
      <w:tr>
        <w:trPr>
          <w:cantSplit/>
          <w:tblHeader w:val="true"/>
          <w:cantSplit/>
        </w:trPr>
        <w:tc>
          <w:tcPr>
            <w:tcW w:type="dxa" w:w="165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维度</w:t>
            </w:r>
          </w:p>
        </w:tc>
        <w:tc>
          <w:tcPr>
            <w:tcW w:type="dxa" w:w="316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指标</w:t>
            </w:r>
          </w:p>
        </w:tc>
        <w:tc>
          <w:tcPr>
            <w:tcW w:type="dxa" w:w="453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分流质量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队列准确率、Top-2 召回率、错分率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按意图、地区和员工类型分组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知识安全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旧版本引用率、无来源答复率、冲突检出率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高风险指标必须接近零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人工兜底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转人工完整率、无依据未转人工数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版本或字段不确定时默认转人工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服务效率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首次响应、处理时长、转派轮次、返工次数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不能只看自动回复率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业务结果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专家工时节省、员工等待下降、一次解决率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以真实或高保真样本验证</w:t>
            </w:r>
          </w:p>
        </w:tc>
      </w:tr>
    </w:tbl>
    <w:p>
      <w:pPr>
        <w:spacing w:before="0" w:after="0" w:line="40" w:lineRule="exact"/>
      </w:pPr>
    </w:p>
    <w:p>
      <w:r>
        <w:rPr>
          <w:rFonts w:ascii="Calibri" w:hAnsi="Calibri" w:eastAsia="Microsoft YaHei"/>
          <w:b w:val="0"/>
          <w:color w:val="000000"/>
          <w:sz w:val="22"/>
        </w:rPr>
        <w:t>建议设置双层门槛。第一层是安全门槛：旧版引用、敏感数据泄露和未转人工高风险工单必须为零。第二层是价值门槛：在足够样本上同时改善处理时长、返工率和确认完整率。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11. 商业模式与目标客户</w:t>
      </w:r>
    </w:p>
    <w:p>
      <w:pPr>
        <w:pStyle w:val="Heading2"/>
      </w:pPr>
      <w:r>
        <w:rPr>
          <w:rFonts w:ascii="Calibri" w:hAnsi="Calibri" w:eastAsia="Microsoft YaHei"/>
          <w:b/>
          <w:color w:val="1F4D78"/>
          <w:sz w:val="26"/>
        </w:rPr>
        <w:t>11.1 优先客户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员工规模约 1,000 至 20,000 人。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已建立 HR 共享服务中心。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有多地区、多业务线或多客户政策。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每月有足够数量的重复咨询。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已有工单平台，且对私有化和审计有要求。</w:t>
      </w:r>
    </w:p>
    <w:p>
      <w:pPr>
        <w:pStyle w:val="Heading2"/>
      </w:pPr>
      <w:r>
        <w:rPr>
          <w:rFonts w:ascii="Calibri" w:hAnsi="Calibri" w:eastAsia="Microsoft YaHei"/>
          <w:b/>
          <w:color w:val="1F4D78"/>
          <w:sz w:val="26"/>
        </w:rPr>
        <w:t>11.2 商业模式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开源核心：标准工单模型、规则模型、基础连接器、评测脚本和部署模板。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企业版：私有部署、SSO、细粒度权限、政策版本治理、审计和合规报告。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订阅项：行业政策包、通道连接器、质量评测、模型优化和支持服务。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收费口径：按员工数或工单量分档，结合实施与运维服务；避免只按自动回复数量收费。</w:t>
      </w:r>
    </w:p>
    <w:p>
      <w:pPr>
        <w:pStyle w:val="Heading2"/>
      </w:pPr>
      <w:r>
        <w:rPr>
          <w:rFonts w:ascii="Calibri" w:hAnsi="Calibri" w:eastAsia="Microsoft YaHei"/>
          <w:b/>
          <w:color w:val="1F4D78"/>
          <w:sz w:val="26"/>
        </w:rPr>
        <w:t>11.3 市场进入路径</w:t>
      </w:r>
    </w:p>
    <w:p>
      <w:r>
        <w:rPr>
          <w:rFonts w:ascii="Calibri" w:hAnsi="Calibri" w:eastAsia="Microsoft YaHei"/>
          <w:b w:val="0"/>
          <w:color w:val="000000"/>
          <w:sz w:val="22"/>
        </w:rPr>
        <w:t>先服务薪酬福利政策咨询和缺件检查，验证“版本一致、分流准确、返工下降”后，再扩展到入转调离、考勤、合同、社保、招聘和财务服务。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12. 风险与控制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Ind w:type="dxa" w:w="120"/>
      </w:tblPr>
      <w:tblGrid>
        <w:gridCol w:w="1800"/>
        <w:gridCol w:w="3672"/>
        <w:gridCol w:w="3888"/>
      </w:tblGrid>
      <w:tr>
        <w:trPr>
          <w:cantSplit/>
          <w:tblHeader w:val="true"/>
          <w:cantSplit/>
        </w:trPr>
        <w:tc>
          <w:tcPr>
            <w:tcW w:type="dxa" w:w="1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风险</w:t>
            </w:r>
          </w:p>
        </w:tc>
        <w:tc>
          <w:tcPr>
            <w:tcW w:type="dxa" w:w="367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业务表现</w:t>
            </w:r>
          </w:p>
        </w:tc>
        <w:tc>
          <w:tcPr>
            <w:tcW w:type="dxa" w:w="388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控制措施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旧政策引用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相似文本覆盖现行政策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版本、有效期、适用人群和确认状态联合校验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错误路由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高风险工单进入普通队列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风险分级、确定性规则和低置信度兜底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模型幻觉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编造政策或待遇承诺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只基于可引用片段生成，无依据不答复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数据泄露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薪酬和家庭信息外流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最小化采集、脱敏、私有部署和访问控制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越权写回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模型修改关键业务字段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首期只读，所有写操作由人工确认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知识失效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制度更新后索引仍旧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变更触发重建、失效标记和定期审计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指标失真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追求自动率忽略准确率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同时监控错分、返工、确认完整率和安全事件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许可风险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复用 AGPL/GPL 代码影响分发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独立实现、明确目标仓库许可证和商业边界</w:t>
            </w:r>
          </w:p>
        </w:tc>
      </w:tr>
    </w:tbl>
    <w:p>
      <w:pPr>
        <w:spacing w:before="0" w:after="0" w:line="40" w:lineRule="exact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13. 综合路线图</w:t>
      </w:r>
    </w:p>
    <w:p>
      <w:pPr>
        <w:pStyle w:val="Heading2"/>
      </w:pPr>
      <w:r>
        <w:rPr>
          <w:rFonts w:ascii="Calibri" w:hAnsi="Calibri" w:eastAsia="Microsoft YaHei"/>
          <w:b/>
          <w:color w:val="1F4D78"/>
          <w:sz w:val="26"/>
        </w:rPr>
        <w:t>第 0 阶段：问题验证（2 周）</w:t>
      </w:r>
    </w:p>
    <w:p>
      <w:r>
        <w:rPr>
          <w:rFonts w:ascii="Calibri" w:hAnsi="Calibri" w:eastAsia="Microsoft YaHei"/>
          <w:b w:val="0"/>
          <w:color w:val="000000"/>
          <w:sz w:val="22"/>
        </w:rPr>
        <w:t>盘点 200 至 500 条历史咨询，建立意图、地区、员工类型和队列分类法；计算错分、转派、返工和时长的当前基线；确认数据授权、停止条件和试点负责人。</w:t>
      </w:r>
    </w:p>
    <w:p>
      <w:pPr>
        <w:pStyle w:val="Heading2"/>
      </w:pPr>
      <w:r>
        <w:rPr>
          <w:rFonts w:ascii="Calibri" w:hAnsi="Calibri" w:eastAsia="Microsoft YaHei"/>
          <w:b/>
          <w:color w:val="1F4D78"/>
          <w:sz w:val="26"/>
        </w:rPr>
        <w:t>第 1 阶段：最小闭环（4 至 6 周）</w:t>
      </w:r>
    </w:p>
    <w:p>
      <w:r>
        <w:rPr>
          <w:rFonts w:ascii="Calibri" w:hAnsi="Calibri" w:eastAsia="Microsoft YaHei"/>
          <w:b w:val="0"/>
          <w:color w:val="000000"/>
          <w:sz w:val="22"/>
        </w:rPr>
        <w:t>接入脱敏只读数据，完成意图分类、政策检索、队列建议、缺项清单和人工覆盖记录；建立旧版本引用率、错分率和返工率看板。</w:t>
      </w:r>
    </w:p>
    <w:p>
      <w:pPr>
        <w:pStyle w:val="Heading2"/>
      </w:pPr>
      <w:r>
        <w:rPr>
          <w:rFonts w:ascii="Calibri" w:hAnsi="Calibri" w:eastAsia="Microsoft YaHei"/>
          <w:b/>
          <w:color w:val="1F4D78"/>
          <w:sz w:val="26"/>
        </w:rPr>
        <w:t>第 2 阶段：受控试点（4 周）</w:t>
      </w:r>
    </w:p>
    <w:p>
      <w:r>
        <w:rPr>
          <w:rFonts w:ascii="Calibri" w:hAnsi="Calibri" w:eastAsia="Microsoft YaHei"/>
          <w:b w:val="0"/>
          <w:color w:val="000000"/>
          <w:sz w:val="22"/>
        </w:rPr>
        <w:t>在一个业务单元和一个员工批次中采用 shadow mode，系统只给建议；人工确认后才更新工单；每周复核误报、漏报、未确认项和版本冲突。</w:t>
      </w:r>
    </w:p>
    <w:p>
      <w:pPr>
        <w:pStyle w:val="Heading2"/>
      </w:pPr>
      <w:r>
        <w:rPr>
          <w:rFonts w:ascii="Calibri" w:hAnsi="Calibri" w:eastAsia="Microsoft YaHei"/>
          <w:b/>
          <w:color w:val="1F4D78"/>
          <w:sz w:val="26"/>
        </w:rPr>
        <w:t>第 3 阶段：生产化（8 至 12 周）</w:t>
      </w:r>
    </w:p>
    <w:p>
      <w:r>
        <w:rPr>
          <w:rFonts w:ascii="Calibri" w:hAnsi="Calibri" w:eastAsia="Microsoft YaHei"/>
          <w:b w:val="0"/>
          <w:color w:val="000000"/>
          <w:sz w:val="22"/>
        </w:rPr>
        <w:t>完成 SSO、RBAC/ABAC、审计、留存、知识失效控制、接口回退和运营手册，再决定是否扩大写回和渠道范围。</w:t>
      </w:r>
    </w:p>
    <w:p>
      <w:pPr>
        <w:pStyle w:val="Heading2"/>
      </w:pPr>
      <w:r>
        <w:rPr>
          <w:rFonts w:ascii="Calibri" w:hAnsi="Calibri" w:eastAsia="Microsoft YaHei"/>
          <w:b/>
          <w:color w:val="1F4D78"/>
          <w:sz w:val="26"/>
        </w:rPr>
        <w:t>第 4 阶段：平台扩展</w:t>
      </w:r>
    </w:p>
    <w:p>
      <w:r>
        <w:rPr>
          <w:rFonts w:ascii="Calibri" w:hAnsi="Calibri" w:eastAsia="Microsoft YaHei"/>
          <w:b w:val="0"/>
          <w:color w:val="000000"/>
          <w:sz w:val="22"/>
        </w:rPr>
        <w:t>增加多语言、更多 HR 与 IT 服务场景、连接器生态和行业政策包，但继续复用统一的路由与治理核心。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14. 结论与建议</w:t>
      </w:r>
    </w:p>
    <w:p>
      <w:pPr>
        <w:pStyle w:val="Heading2"/>
      </w:pPr>
      <w:r>
        <w:rPr>
          <w:rFonts w:ascii="Calibri" w:hAnsi="Calibri" w:eastAsia="Microsoft YaHei"/>
          <w:b/>
          <w:color w:val="1F4D78"/>
          <w:sz w:val="26"/>
        </w:rPr>
        <w:t>14.1 值得做的原因</w:t>
      </w:r>
    </w:p>
    <w:p>
      <w:r>
        <w:rPr>
          <w:rFonts w:ascii="Calibri" w:hAnsi="Calibri" w:eastAsia="Microsoft YaHei"/>
          <w:b w:val="0"/>
          <w:color w:val="000000"/>
          <w:sz w:val="22"/>
        </w:rPr>
        <w:t>业务证据已经表明，员工服务中的主要损失来自错误判断、旧政策引用和交接断链，而不是缺少一个聊天窗口。GitHub 和商业产品对比又表明，完整 Helpdesk 平台已经成熟，真正的机会在于把政策版本、路由决策和人工责任放进一个可接入现有系统的智能层。</w:t>
      </w:r>
    </w:p>
    <w:p>
      <w:pPr>
        <w:pStyle w:val="Heading2"/>
      </w:pPr>
      <w:r>
        <w:rPr>
          <w:rFonts w:ascii="Calibri" w:hAnsi="Calibri" w:eastAsia="Microsoft YaHei"/>
          <w:b/>
          <w:color w:val="1F4D78"/>
          <w:sz w:val="26"/>
        </w:rPr>
        <w:t>14.2 立即行动</w:t>
      </w:r>
    </w:p>
    <w:p>
      <w:pPr>
        <w:numPr>
          <w:ilvl w:val="0"/>
          <w:numId w:val="16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补齐统计基线和书面 Brief。</w:t>
      </w:r>
    </w:p>
    <w:p>
      <w:pPr>
        <w:numPr>
          <w:ilvl w:val="0"/>
          <w:numId w:val="16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明确授权人员、转人工判定人、接收队列和审计权限。</w:t>
      </w:r>
    </w:p>
    <w:p>
      <w:pPr>
        <w:numPr>
          <w:ilvl w:val="0"/>
          <w:numId w:val="16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以“有效政策版本、缺项清单和人工兜底”为首期能力。</w:t>
      </w:r>
    </w:p>
    <w:p>
      <w:pPr>
        <w:numPr>
          <w:ilvl w:val="0"/>
          <w:numId w:val="16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接入一个已有工单平台进行只读 shadow mode。</w:t>
      </w:r>
    </w:p>
    <w:p>
      <w:pPr>
        <w:numPr>
          <w:ilvl w:val="0"/>
          <w:numId w:val="16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用四周试点验证错分率、返工率和确认完整率，而不是只看工时。</w:t>
      </w:r>
    </w:p>
    <w:p>
      <w:pPr>
        <w:pStyle w:val="Heading2"/>
      </w:pPr>
      <w:r>
        <w:rPr>
          <w:rFonts w:ascii="Calibri" w:hAnsi="Calibri" w:eastAsia="Microsoft YaHei"/>
          <w:b/>
          <w:color w:val="1F4D78"/>
          <w:sz w:val="26"/>
        </w:rPr>
        <w:t>14.3 决策</w:t>
      </w:r>
    </w:p>
    <w:p>
      <w:r>
        <w:rPr>
          <w:rFonts w:ascii="Calibri" w:hAnsi="Calibri" w:eastAsia="Microsoft YaHei"/>
          <w:b w:val="0"/>
          <w:color w:val="000000"/>
          <w:sz w:val="22"/>
        </w:rPr>
        <w:t>建议以“有条件立项”进入下一阶段：方向成立，但必须在量化基线、数据授权、人工责任和验收口径补齐后，才能扩大为真实业务系统。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附录 A：方法与来源</w:t>
      </w:r>
    </w:p>
    <w:p>
      <w:pPr>
        <w:pStyle w:val="Heading2"/>
      </w:pPr>
      <w:r>
        <w:rPr>
          <w:rFonts w:ascii="Calibri" w:hAnsi="Calibri" w:eastAsia="Microsoft YaHei"/>
          <w:b/>
          <w:color w:val="1F4D78"/>
          <w:sz w:val="26"/>
        </w:rPr>
        <w:t>方法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读取目标仓库文件、提交历史和 README。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汇总六个角色的业务访谈和 35 条证据。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使用 GitHub REST API 检索相似仓库，读取项目元数据和 README。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将通用 Helpdesk、ITSM、全渠道客服和 AI 路由项目分层比较。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参考主要商业平台的产品定位页面。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将业务需求映射到产品架构、MVP、指标和路线图。</w:t>
      </w:r>
    </w:p>
    <w:p>
      <w:pPr>
        <w:pStyle w:val="Heading2"/>
      </w:pPr>
      <w:r>
        <w:rPr>
          <w:rFonts w:ascii="Calibri" w:hAnsi="Calibri" w:eastAsia="Microsoft YaHei"/>
          <w:b/>
          <w:color w:val="1F4D78"/>
          <w:sz w:val="26"/>
        </w:rPr>
        <w:t>主要来源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hyperlink r:id="rId11">
        <w:r>
          <w:rPr>
            <w:color w:val="2E74B5"/>
            <w:u w:val="single"/>
            <w:sz w:val="22"/>
            <w:rFonts w:ascii="Calibri" w:hAnsi="Calibri" w:eastAsia="Microsoft YaHei"/>
          </w:rPr>
          <w:t>Employee-ticket-routing</w:t>
        </w:r>
      </w:hyperlink>
    </w:p>
    <w:p>
      <w:pPr>
        <w:numPr>
          <w:ilvl w:val="0"/>
          <w:numId w:val="10"/>
        </w:numPr>
        <w:spacing w:after="160" w:line="280" w:lineRule="auto"/>
        <w:ind w:left="720" w:hanging="360"/>
      </w:pPr>
      <w:hyperlink r:id="rId12">
        <w:r>
          <w:rPr>
            <w:color w:val="2E74B5"/>
            <w:u w:val="single"/>
            <w:sz w:val="22"/>
            <w:rFonts w:ascii="Calibri" w:hAnsi="Calibri" w:eastAsia="Microsoft YaHei"/>
          </w:rPr>
          <w:t>Chatwoot</w:t>
        </w:r>
      </w:hyperlink>
    </w:p>
    <w:p>
      <w:pPr>
        <w:numPr>
          <w:ilvl w:val="0"/>
          <w:numId w:val="10"/>
        </w:numPr>
        <w:spacing w:after="160" w:line="280" w:lineRule="auto"/>
        <w:ind w:left="720" w:hanging="360"/>
      </w:pPr>
      <w:hyperlink r:id="rId13">
        <w:r>
          <w:rPr>
            <w:color w:val="2E74B5"/>
            <w:u w:val="single"/>
            <w:sz w:val="22"/>
            <w:rFonts w:ascii="Calibri" w:hAnsi="Calibri" w:eastAsia="Microsoft YaHei"/>
          </w:rPr>
          <w:t>GLPI</w:t>
        </w:r>
      </w:hyperlink>
    </w:p>
    <w:p>
      <w:pPr>
        <w:numPr>
          <w:ilvl w:val="0"/>
          <w:numId w:val="10"/>
        </w:numPr>
        <w:spacing w:after="160" w:line="280" w:lineRule="auto"/>
        <w:ind w:left="720" w:hanging="360"/>
      </w:pPr>
      <w:hyperlink r:id="rId14">
        <w:r>
          <w:rPr>
            <w:color w:val="2E74B5"/>
            <w:u w:val="single"/>
            <w:sz w:val="22"/>
            <w:rFonts w:ascii="Calibri" w:hAnsi="Calibri" w:eastAsia="Microsoft YaHei"/>
          </w:rPr>
          <w:t>Zammad</w:t>
        </w:r>
      </w:hyperlink>
    </w:p>
    <w:p>
      <w:pPr>
        <w:numPr>
          <w:ilvl w:val="0"/>
          <w:numId w:val="10"/>
        </w:numPr>
        <w:spacing w:after="160" w:line="280" w:lineRule="auto"/>
        <w:ind w:left="720" w:hanging="360"/>
      </w:pPr>
      <w:hyperlink r:id="rId15">
        <w:r>
          <w:rPr>
            <w:color w:val="2E74B5"/>
            <w:u w:val="single"/>
            <w:sz w:val="22"/>
            <w:rFonts w:ascii="Calibri" w:hAnsi="Calibri" w:eastAsia="Microsoft YaHei"/>
          </w:rPr>
          <w:t>Frappe Helpdesk</w:t>
        </w:r>
      </w:hyperlink>
    </w:p>
    <w:p>
      <w:pPr>
        <w:numPr>
          <w:ilvl w:val="0"/>
          <w:numId w:val="10"/>
        </w:numPr>
        <w:spacing w:after="160" w:line="280" w:lineRule="auto"/>
        <w:ind w:left="720" w:hanging="360"/>
      </w:pPr>
      <w:hyperlink r:id="rId16">
        <w:r>
          <w:rPr>
            <w:color w:val="2E74B5"/>
            <w:u w:val="single"/>
            <w:sz w:val="22"/>
            <w:rFonts w:ascii="Calibri" w:hAnsi="Calibri" w:eastAsia="Microsoft YaHei"/>
          </w:rPr>
          <w:t>osTicket</w:t>
        </w:r>
      </w:hyperlink>
    </w:p>
    <w:p>
      <w:pPr>
        <w:numPr>
          <w:ilvl w:val="0"/>
          <w:numId w:val="10"/>
        </w:numPr>
        <w:spacing w:after="160" w:line="280" w:lineRule="auto"/>
        <w:ind w:left="720" w:hanging="360"/>
      </w:pPr>
      <w:hyperlink r:id="rId17">
        <w:r>
          <w:rPr>
            <w:color w:val="2E74B5"/>
            <w:u w:val="single"/>
            <w:sz w:val="22"/>
            <w:rFonts w:ascii="Calibri" w:hAnsi="Calibri" w:eastAsia="Microsoft YaHei"/>
          </w:rPr>
          <w:t>Open Ticket AI</w:t>
        </w:r>
      </w:hyperlink>
    </w:p>
    <w:p>
      <w:pPr>
        <w:numPr>
          <w:ilvl w:val="0"/>
          <w:numId w:val="10"/>
        </w:numPr>
        <w:spacing w:after="160" w:line="280" w:lineRule="auto"/>
        <w:ind w:left="720" w:hanging="360"/>
      </w:pPr>
      <w:hyperlink r:id="rId18">
        <w:r>
          <w:rPr>
            <w:color w:val="2E74B5"/>
            <w:u w:val="single"/>
            <w:sz w:val="22"/>
            <w:rFonts w:ascii="Calibri" w:hAnsi="Calibri" w:eastAsia="Microsoft YaHei"/>
          </w:rPr>
          <w:t>Zendesk Service</w:t>
        </w:r>
      </w:hyperlink>
    </w:p>
    <w:p>
      <w:pPr>
        <w:numPr>
          <w:ilvl w:val="0"/>
          <w:numId w:val="10"/>
        </w:numPr>
        <w:spacing w:after="160" w:line="280" w:lineRule="auto"/>
        <w:ind w:left="720" w:hanging="360"/>
      </w:pPr>
      <w:hyperlink r:id="rId19">
        <w:r>
          <w:rPr>
            <w:color w:val="2E74B5"/>
            <w:u w:val="single"/>
            <w:sz w:val="22"/>
            <w:rFonts w:ascii="Calibri" w:hAnsi="Calibri" w:eastAsia="Microsoft YaHei"/>
          </w:rPr>
          <w:t>Freshdesk</w:t>
        </w:r>
      </w:hyperlink>
    </w:p>
    <w:p>
      <w:pPr>
        <w:numPr>
          <w:ilvl w:val="0"/>
          <w:numId w:val="10"/>
        </w:numPr>
        <w:spacing w:after="160" w:line="280" w:lineRule="auto"/>
        <w:ind w:left="720" w:hanging="360"/>
      </w:pPr>
      <w:hyperlink r:id="rId20">
        <w:r>
          <w:rPr>
            <w:color w:val="2E74B5"/>
            <w:u w:val="single"/>
            <w:sz w:val="22"/>
            <w:rFonts w:ascii="Calibri" w:hAnsi="Calibri" w:eastAsia="Microsoft YaHei"/>
          </w:rPr>
          <w:t>ServiceNow ITSM</w:t>
        </w:r>
      </w:hyperlink>
    </w:p>
    <w:p>
      <w:pPr>
        <w:numPr>
          <w:ilvl w:val="0"/>
          <w:numId w:val="10"/>
        </w:numPr>
        <w:spacing w:after="160" w:line="280" w:lineRule="auto"/>
        <w:ind w:left="720" w:hanging="360"/>
      </w:pPr>
      <w:hyperlink r:id="rId21">
        <w:r>
          <w:rPr>
            <w:color w:val="2E74B5"/>
            <w:u w:val="single"/>
            <w:sz w:val="22"/>
            <w:rFonts w:ascii="Calibri" w:hAnsi="Calibri" w:eastAsia="Microsoft YaHei"/>
          </w:rPr>
          <w:t>Jira Service Management</w:t>
        </w:r>
      </w:hyperlink>
    </w:p>
    <w:p>
      <w:pPr>
        <w:pStyle w:val="Heading2"/>
      </w:pPr>
      <w:r>
        <w:rPr>
          <w:rFonts w:ascii="Calibri" w:hAnsi="Calibri" w:eastAsia="Microsoft YaHei"/>
          <w:b/>
          <w:color w:val="1F4D78"/>
          <w:sz w:val="26"/>
        </w:rPr>
        <w:t>限制</w:t>
      </w:r>
    </w:p>
    <w:p>
      <w:r>
        <w:rPr>
          <w:rFonts w:ascii="Calibri" w:hAnsi="Calibri" w:eastAsia="Microsoft YaHei"/>
          <w:b w:val="0"/>
          <w:color w:val="000000"/>
          <w:sz w:val="22"/>
        </w:rPr>
        <w:t>目标仓库目前只有 README，无法评价工程质量与安全性。业务访谈来自合成场景，覆盖率 97% 不等于真实客户验收。GitHub stars 只反映社区关注，不代表企业采用或收入。真实市场规模和付费意愿仍需客户访谈、历史样本和试点验证。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80" w:after="0"/>
      <w:pBdr>
        <w:top w:val="single" w:sz="4" w:space="5" w:color="D6DCE5"/>
      </w:pBdr>
    </w:pPr>
    <w:r>
      <w:rPr>
        <w:rFonts w:ascii="Calibri" w:hAnsi="Calibri" w:eastAsia="Microsoft YaHei"/>
        <w:color w:val="5B6573"/>
        <w:sz w:val="17"/>
      </w:rPr>
      <w:t>2026-10-23</w:t>
    </w:r>
    <w:r>
      <w:tab/>
    </w:r>
    <w:r>
      <w:rPr>
        <w:rFonts w:ascii="Calibri" w:hAnsi="Calibri" w:eastAsia="Microsoft YaHei"/>
        <w:color w:val="5B6573"/>
        <w:sz w:val="17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left"/>
    </w:pPr>
    <w:r>
      <w:rPr>
        <w:rFonts w:ascii="Calibri" w:hAnsi="Calibri" w:eastAsia="Microsoft YaHei"/>
        <w:color w:val="5B6573"/>
        <w:sz w:val="17"/>
      </w:rPr>
      <w:t>员工薪酬福利咨询工单分流  |  业务挖掘与行业分析</w:t>
    </w:r>
    <w:r>
      <w:tab/>
    </w:r>
    <w:r>
      <w:rPr>
        <w:rFonts w:ascii="Calibri" w:hAnsi="Calibri" w:eastAsia="Microsoft YaHei"/>
        <w:color w:val="5B6573"/>
        <w:sz w:val="17"/>
      </w:rPr>
      <w:t>内部研究稿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spacing w:after="160" w:line="280" w:lineRule="auto"/>
        <w:ind w:left="720" w:hanging="360"/>
      </w:pPr>
      <w:rPr>
        <w:rFonts w:ascii="Calibri" w:hAnsi="Calibri" w:eastAsia="Microsoft YaHei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spacing w:after="160" w:line="280" w:lineRule="auto"/>
        <w:ind w:left="720" w:hanging="360"/>
      </w:pPr>
      <w:rPr>
        <w:rFonts w:ascii="Calibri" w:hAnsi="Calibri" w:eastAsia="Microsoft YaHei"/>
      </w:rPr>
    </w:lvl>
  </w:abstractNum>
  <w:num w:numId="10">
    <w:abstractNumId w:val="9"/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Kicker">
    <w:name w:val="Report Kicker"/>
    <w:basedOn w:val="Normal"/>
    <w:pPr>
      <w:spacing w:before="520" w:after="140"/>
    </w:pPr>
    <w:rPr>
      <w:rFonts w:ascii="Calibri" w:hAnsi="Calibri"/>
      <w:b/>
      <w:color w:val="2E74B5"/>
      <w:sz w:val="19"/>
    </w:rPr>
  </w:style>
  <w:style w:type="paragraph" w:customStyle="1" w:styleId="ReportTitle">
    <w:name w:val="Report Title"/>
    <w:basedOn w:val="Normal"/>
    <w:pPr>
      <w:spacing w:before="0" w:after="120" w:line="240" w:lineRule="auto"/>
    </w:pPr>
    <w:rPr>
      <w:rFonts w:ascii="Calibri" w:hAnsi="Calibri"/>
      <w:b/>
      <w:color w:val="1F4D78"/>
      <w:sz w:val="50"/>
    </w:rPr>
  </w:style>
  <w:style w:type="paragraph" w:customStyle="1" w:styleId="ReportSubtitle">
    <w:name w:val="Report Subtitle"/>
    <w:basedOn w:val="Normal"/>
    <w:pPr>
      <w:spacing w:before="0" w:after="160"/>
    </w:pPr>
    <w:rPr>
      <w:rFonts w:ascii="Calibri" w:hAnsi="Calibri"/>
      <w:color w:val="5B6573"/>
      <w:sz w:val="30"/>
    </w:rPr>
  </w:style>
  <w:style w:type="paragraph" w:customStyle="1" w:styleId="TableText">
    <w:name w:val="Table Text"/>
    <w:basedOn w:val="Normal"/>
    <w:pPr>
      <w:spacing w:after="40" w:line="252" w:lineRule="auto"/>
    </w:pPr>
    <w:rPr>
      <w:rFonts w:ascii="Calibri" w:hAnsi="Calibr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ToastGGG/Employee-ticket-routing" TargetMode="External"/><Relationship Id="rId12" Type="http://schemas.openxmlformats.org/officeDocument/2006/relationships/hyperlink" Target="https://github.com/chatwoot/chatwoot" TargetMode="External"/><Relationship Id="rId13" Type="http://schemas.openxmlformats.org/officeDocument/2006/relationships/hyperlink" Target="https://github.com/glpi-project/glpi" TargetMode="External"/><Relationship Id="rId14" Type="http://schemas.openxmlformats.org/officeDocument/2006/relationships/hyperlink" Target="https://github.com/zammad/zammad" TargetMode="External"/><Relationship Id="rId15" Type="http://schemas.openxmlformats.org/officeDocument/2006/relationships/hyperlink" Target="https://github.com/frappe/helpdesk" TargetMode="External"/><Relationship Id="rId16" Type="http://schemas.openxmlformats.org/officeDocument/2006/relationships/hyperlink" Target="https://github.com/osTicket/osTicket" TargetMode="External"/><Relationship Id="rId17" Type="http://schemas.openxmlformats.org/officeDocument/2006/relationships/hyperlink" Target="https://github.com/Softoft-Orga/open-ticket-ai" TargetMode="External"/><Relationship Id="rId18" Type="http://schemas.openxmlformats.org/officeDocument/2006/relationships/hyperlink" Target="https://www.zendesk.com/service/" TargetMode="External"/><Relationship Id="rId19" Type="http://schemas.openxmlformats.org/officeDocument/2006/relationships/hyperlink" Target="https://www.freshworks.com/freshdesk/" TargetMode="External"/><Relationship Id="rId20" Type="http://schemas.openxmlformats.org/officeDocument/2006/relationships/hyperlink" Target="https://www.servicenow.com/products/itsm.html" TargetMode="External"/><Relationship Id="rId21" Type="http://schemas.openxmlformats.org/officeDocument/2006/relationships/hyperlink" Target="https://www.atlassian.com/software/jira/service-manag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员工薪酬福利咨询工单分流：业务挖掘与行业分析</dc:title>
  <dc:subject>员工薪酬福利咨询工单分流的业务挖掘、行业分析与产品建议</dc:subject>
  <dc:creator>Codex</dc:creator>
  <cp:keywords>员工服务, 工单分流, HR Shared Services, AI, 行业分析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