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rtitre"/>
      </w:pPr>
      <w:r>
        <w:t xml:space="preserve">Projet data science · EPSI 2026-2027</w:t>
      </w:r>
    </w:p>
    <w:p>
      <w:pPr>
        <w:pStyle w:val="Title"/>
      </w:pPr>
      <w:sdt>
        <w:sdtPr>
          <w:alias w:val="Titre"/>
          <w:tag w:val="title"/>
          <w:id w:val="1001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t xml:space="preserve">Documentation technique</w:t>
          </w:r>
        </w:sdtContent>
      </w:sdt>
    </w:p>
    <w:p>
      <w:pPr>
        <w:pStyle w:val="Subtitle"/>
      </w:pPr>
      <w:sdt>
        <w:sdtPr>
          <w:alias w:val="Objet"/>
          <w:tag w:val="subject"/>
          <w:id w:val="1002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t xml:space="preserve">Probabilité de victoire à 15 minutes, parties Diamant de League of Legends</w:t>
          </w:r>
        </w:sdtContent>
      </w:sdt>
    </w:p>
    <w:p>
      <w:pPr>
        <w:pStyle w:val="TitreResume"/>
      </w:pPr>
      <w:r>
        <w:t xml:space="preserve">Architecture, données, modèle retenu et scripts du projet. L'installation pas à pas est décrite dans le support d'onboarding.</w:t>
      </w:r>
    </w:p>
    <w:tbl>
      <w:tblPr>
        <w:tblStyle w:val="TableauMeta"/>
        <w:tblW w:w="9070" w:type="dxa"/>
        <w:tblLayout w:type="fixed"/>
        <w:tblLook w:val="0080" w:firstRow="0" w:lastRow="0" w:firstColumn="1" w:lastColumn="0" w:noHBand="1" w:noVBand="1"/>
      </w:tblPr>
      <w:tblGrid>
        <w:gridCol w:w="2400"/>
        <w:gridCol w:w="6670"/>
      </w:tblGrid>
      <w:tr>
        <w:trPr>
          <w:cantSplit/>
        </w:trPr>
        <w:tc>
          <w:tcPr>
            <w:tcW w:w="2400" w:type="dxa"/>
          </w:tcPr>
          <w:p>
            <w:r>
              <w:t xml:space="preserve">Auteur</w:t>
            </w:r>
          </w:p>
        </w:tc>
        <w:tc>
          <w:tcPr>
            <w:tcW w:w="6670" w:type="dxa"/>
          </w:tcPr>
          <w:p>
            <w:sdt>
              <w:sdtPr>
                <w:alias w:val="Auteur"/>
                <w:tag w:val="creator"/>
                <w:id w:val="1003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t xml:space="preserve">Louis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r>
              <w:t xml:space="preserve">Version</w:t>
            </w:r>
          </w:p>
        </w:tc>
        <w:tc>
          <w:tcPr>
            <w:tcW w:w="6670" w:type="dxa"/>
          </w:tcPr>
          <w:p>
            <w: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6670" w:type="dxa"/>
          </w:tcPr>
          <w:p>
            <w:sdt>
              <w:sdtPr>
                <w:alias w:val="Date"/>
                <w:tag w:val="date"/>
                <w:id w:val="1004"/>
                <w:date w:fullDate="2026-10-02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t xml:space="preserve">02/10/2026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r>
              <w:t xml:space="preserve">Statut</w:t>
            </w:r>
          </w:p>
        </w:tc>
        <w:tc>
          <w:tcPr>
            <w:tcW w:w="6670" w:type="dxa"/>
          </w:tcPr>
          <w:p>
            <w:sdt>
              <w:sdtPr>
                <w:alias w:val="État"/>
                <w:tag w:val="contentStatus"/>
                <w:id w:val="1005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>
                  <w:t xml:space="preserve">Version de travail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r>
              <w:t xml:space="preserve">Dépôt</w:t>
            </w:r>
          </w:p>
        </w:tc>
        <w:tc>
          <w:tcPr>
            <w:tcW w:w="6670" w:type="dxa"/>
          </w:tcPr>
          <w:p>
            <w:r>
              <w:rPr>
                <w:rStyle w:val="CodeEnLigne"/>
              </w:rPr>
              <w:t xml:space="preserve">lol_diamond_15min</w:t>
            </w:r>
            <w:r>
              <w:t xml:space="preserve"> (Git)</w:t>
            </w:r>
          </w:p>
        </w:tc>
      </w:tr>
    </w:tbl>
    <w:p>
      <w:pPr>
        <w:spacing w:after="0"/>
      </w:pPr>
      <w:r>
        <w:br w:type="page"/>
      </w:r>
    </w:p>
    <w:p>
      <w:pPr>
        <w:pStyle w:val="TitreSection"/>
      </w:pPr>
      <w:r>
        <w:t xml:space="preserve">Suivi des versions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1100"/>
        <w:gridCol w:w="1400"/>
        <w:gridCol w:w="1300"/>
        <w:gridCol w:w="5270"/>
      </w:tblGrid>
      <w:tr>
        <w:trPr>
          <w:cantSplit/>
          <w:tblHeader/>
        </w:trPr>
        <w:tc>
          <w:tcPr>
            <w:tcW w:w="1100" w:type="dxa"/>
          </w:tcPr>
          <w:p>
            <w:pPr>
              <w:keepNext/>
            </w:pPr>
            <w:r>
              <w:t xml:space="preserve">Version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Date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Auteur</w:t>
            </w:r>
          </w:p>
        </w:tc>
        <w:tc>
          <w:tcPr>
            <w:tcW w:w="5270" w:type="dxa"/>
          </w:tcPr>
          <w:p>
            <w:pPr>
              <w:keepNext/>
            </w:pPr>
            <w:r>
              <w:t xml:space="preserve">Modifications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keepNext/>
            </w:pPr>
            <w:r>
              <w:t xml:space="preserve">0.1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01/10/2026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Louis</w:t>
            </w:r>
          </w:p>
        </w:tc>
        <w:tc>
          <w:tcPr>
            <w:tcW w:w="5270" w:type="dxa"/>
          </w:tcPr>
          <w:p>
            <w:pPr>
              <w:keepNext/>
            </w:pPr>
            <w:r>
              <w:t xml:space="preserve">Structure issue du modèle de documentation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t xml:space="preserve">1.0</w:t>
            </w:r>
          </w:p>
        </w:tc>
        <w:tc>
          <w:tcPr>
            <w:tcW w:w="1400" w:type="dxa"/>
          </w:tcPr>
          <w:p>
            <w:r>
              <w:t xml:space="preserve">02/10/2026</w:t>
            </w:r>
          </w:p>
        </w:tc>
        <w:tc>
          <w:tcPr>
            <w:tcW w:w="1300" w:type="dxa"/>
          </w:tcPr>
          <w:p>
            <w:r>
              <w:t xml:space="preserve">Louis</w:t>
            </w:r>
          </w:p>
        </w:tc>
        <w:tc>
          <w:tcPr>
            <w:tcW w:w="5270" w:type="dxa"/>
          </w:tcPr>
          <w:p>
            <w:r>
              <w:t xml:space="preserve">Première version complète</w:t>
            </w:r>
          </w:p>
        </w:tc>
      </w:tr>
    </w:tbl>
    <w:p>
      <w:pPr>
        <w:spacing w:before="0" w:after="0" w:line="160" w:lineRule="exact"/>
      </w:pPr>
    </w:p>
    <w:p>
      <w:pPr>
        <w:pStyle w:val="TOCHeading"/>
      </w:pPr>
      <w:r>
        <w:t xml:space="preserve">Sommaire</w:t>
      </w:r>
    </w:p>
    <w:sdt>
      <w:sdtPr>
        <w:id w:val="900001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0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1470447" w:history="1">
            <w:r>
              <w:t xml:space="preserve">Partie 1 : Introduction et contexte</w:t>
            </w:r>
            <w:r>
              <w:tab/>
            </w:r>
            <w:r>
              <w:fldChar w:fldCharType="begin"/>
            </w:r>
            <w:r>
              <w:instrText xml:space="preserve"> PAGEREF _Toc001470447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2980601" w:history="1">
            <w:r>
              <w:t xml:space="preserve">1.1 Objet du document</w:t>
            </w:r>
            <w:r>
              <w:tab/>
            </w:r>
            <w:r>
              <w:fldChar w:fldCharType="begin"/>
            </w:r>
            <w:r>
              <w:instrText xml:space="preserve"> PAGEREF _Toc002980601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3063602" w:history="1">
            <w:r>
              <w:t xml:space="preserve">1.2 Contexte</w:t>
            </w:r>
            <w:r>
              <w:tab/>
            </w:r>
            <w:r>
              <w:fldChar w:fldCharType="begin"/>
            </w:r>
            <w:r>
              <w:instrText xml:space="preserve"> PAGEREF _Toc003063602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4829730" w:history="1">
            <w:r>
              <w:t xml:space="preserve">1.3 Objectifs</w:t>
            </w:r>
            <w:r>
              <w:tab/>
            </w:r>
            <w:r>
              <w:fldChar w:fldCharType="begin"/>
            </w:r>
            <w:r>
              <w:instrText xml:space="preserve"> PAGEREF _Toc004829730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5534540" w:history="1">
            <w:r>
              <w:t xml:space="preserve">1.4 Périmètre</w:t>
            </w:r>
            <w:r>
              <w:tab/>
            </w:r>
            <w:r>
              <w:fldChar w:fldCharType="begin"/>
            </w:r>
            <w:r>
              <w:instrText xml:space="preserve"> PAGEREF _Toc005534540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70"/>
            </w:tabs>
          </w:pPr>
          <w:hyperlink w:anchor="_Toc006983426" w:history="1">
            <w:r>
              <w:t xml:space="preserve">Partie 2 : Architecture</w:t>
            </w:r>
            <w:r>
              <w:tab/>
            </w:r>
            <w:r>
              <w:fldChar w:fldCharType="begin"/>
            </w:r>
            <w:r>
              <w:instrText xml:space="preserve"> PAGEREF _Toc006983426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7201037" w:history="1">
            <w:r>
              <w:t xml:space="preserve">2.1 Vue d'ensemble</w:t>
            </w:r>
            <w:r>
              <w:tab/>
            </w:r>
            <w:r>
              <w:fldChar w:fldCharType="begin"/>
            </w:r>
            <w:r>
              <w:instrText xml:space="preserve"> PAGEREF _Toc007201037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8212334" w:history="1">
            <w:r>
              <w:t xml:space="preserve">2.2 Étapes de la chaîne</w:t>
            </w:r>
            <w:r>
              <w:tab/>
            </w:r>
            <w:r>
              <w:fldChar w:fldCharType="begin"/>
            </w:r>
            <w:r>
              <w:instrText xml:space="preserve"> PAGEREF _Toc008212334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09503096" w:history="1">
            <w:r>
              <w:t xml:space="preserve">2.3 Organisation du dépôt</w:t>
            </w:r>
            <w:r>
              <w:tab/>
            </w:r>
            <w:r>
              <w:fldChar w:fldCharType="begin"/>
            </w:r>
            <w:r>
              <w:instrText xml:space="preserve"> PAGEREF _Toc009503096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0937262" w:history="1">
            <w:r>
              <w:t xml:space="preserve">2.4 Choix techniques</w:t>
            </w:r>
            <w:r>
              <w:tab/>
            </w:r>
            <w:r>
              <w:fldChar w:fldCharType="begin"/>
            </w:r>
            <w:r>
              <w:instrText xml:space="preserve"> PAGEREF _Toc010937262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70"/>
            </w:tabs>
          </w:pPr>
          <w:hyperlink w:anchor="_Toc011881175" w:history="1">
            <w:r>
              <w:t xml:space="preserve">Partie 3 : Données</w:t>
            </w:r>
            <w:r>
              <w:tab/>
            </w:r>
            <w:r>
              <w:fldChar w:fldCharType="begin"/>
            </w:r>
            <w:r>
              <w:instrText xml:space="preserve"> PAGEREF _Toc011881175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2258902" w:history="1">
            <w:r>
              <w:t xml:space="preserve">3.1 Source et collecte</w:t>
            </w:r>
            <w:r>
              <w:tab/>
            </w:r>
            <w:r>
              <w:fldChar w:fldCharType="begin"/>
            </w:r>
            <w:r>
              <w:instrText xml:space="preserve"> PAGEREF _Toc012258902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3810126" w:history="1">
            <w:r>
              <w:t xml:space="preserve">3.2 Constats de l'exploration</w:t>
            </w:r>
            <w:r>
              <w:tab/>
            </w:r>
            <w:r>
              <w:fldChar w:fldCharType="begin"/>
            </w:r>
            <w:r>
              <w:instrText xml:space="preserve"> PAGEREF _Toc013810126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4295328" w:history="1">
            <w:r>
              <w:t xml:space="preserve">3.3 Transformations</w:t>
            </w:r>
            <w:r>
              <w:tab/>
            </w:r>
            <w:r>
              <w:fldChar w:fldCharType="begin"/>
            </w:r>
            <w:r>
              <w:instrText xml:space="preserve"> PAGEREF _Toc014295328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5839364" w:history="1">
            <w:r>
              <w:t xml:space="preserve">3.4 Variables du modèle</w:t>
            </w:r>
            <w:r>
              <w:tab/>
            </w:r>
            <w:r>
              <w:fldChar w:fldCharType="begin"/>
            </w:r>
            <w:r>
              <w:instrText xml:space="preserve"> PAGEREF _Toc015839364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6287264" w:history="1">
            <w:r>
              <w:t xml:space="preserve">3.5 Découpage apprentissage et test</w:t>
            </w:r>
            <w:r>
              <w:tab/>
            </w:r>
            <w:r>
              <w:fldChar w:fldCharType="begin"/>
            </w:r>
            <w:r>
              <w:instrText xml:space="preserve"> PAGEREF _Toc016287264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70"/>
            </w:tabs>
          </w:pPr>
          <w:hyperlink w:anchor="_Toc017090697" w:history="1">
            <w:r>
              <w:t xml:space="preserve">Partie 4 : Modèle</w:t>
            </w:r>
            <w:r>
              <w:tab/>
            </w:r>
            <w:r>
              <w:fldChar w:fldCharType="begin"/>
            </w:r>
            <w:r>
              <w:instrText xml:space="preserve"> PAGEREF _Toc017090697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8325969" w:history="1">
            <w:r>
              <w:t xml:space="preserve">4.1 Démarche de sélection</w:t>
            </w:r>
            <w:r>
              <w:tab/>
            </w:r>
            <w:r>
              <w:fldChar w:fldCharType="begin"/>
            </w:r>
            <w:r>
              <w:instrText xml:space="preserve"> PAGEREF _Toc018325969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19000799" w:history="1">
            <w:r>
              <w:t xml:space="preserve">4.2 Modèle retenu : régression logistique</w:t>
            </w:r>
            <w:r>
              <w:tab/>
            </w:r>
            <w:r>
              <w:fldChar w:fldCharType="begin"/>
            </w:r>
            <w:r>
              <w:instrText xml:space="preserve"> PAGEREF _Toc019000799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20074003" w:history="1">
            <w:r>
              <w:t xml:space="preserve">4.3 Performances</w:t>
            </w:r>
            <w:r>
              <w:tab/>
            </w:r>
            <w:r>
              <w:fldChar w:fldCharType="begin"/>
            </w:r>
            <w:r>
              <w:instrText xml:space="preserve"> PAGEREF _Toc020074003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21588412" w:history="1">
            <w:r>
              <w:t xml:space="preserve">4.4 Limites</w:t>
            </w:r>
            <w:r>
              <w:tab/>
            </w:r>
            <w:r>
              <w:fldChar w:fldCharType="begin"/>
            </w:r>
            <w:r>
              <w:instrText xml:space="preserve"> PAGEREF _Toc021588412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70"/>
            </w:tabs>
          </w:pPr>
          <w:hyperlink w:anchor="_Toc022716962" w:history="1">
            <w:r>
              <w:t xml:space="preserve">Partie 5 : Scripts</w:t>
            </w:r>
            <w:r>
              <w:tab/>
            </w:r>
            <w:r>
              <w:fldChar w:fldCharType="begin"/>
            </w:r>
            <w:r>
              <w:instrText xml:space="preserve"> PAGEREF _Toc022716962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23630471" w:history="1">
            <w:r>
              <w:t xml:space="preserve">5.1 Exécuter la chaîne</w:t>
            </w:r>
            <w:r>
              <w:tab/>
            </w:r>
            <w:r>
              <w:fldChar w:fldCharType="begin"/>
            </w:r>
            <w:r>
              <w:instrText xml:space="preserve"> PAGEREF _Toc023630471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24476698" w:history="1">
            <w:r>
              <w:t xml:space="preserve">5.2 Présentation des scripts</w:t>
            </w:r>
            <w:r>
              <w:tab/>
            </w:r>
            <w:r>
              <w:fldChar w:fldCharType="begin"/>
            </w:r>
            <w:r>
              <w:instrText xml:space="preserve"> PAGEREF _Toc024476698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25405325" w:history="1">
            <w:r>
              <w:t xml:space="preserve">5.2.1 common.py : définitions partagées</w:t>
            </w:r>
            <w:r>
              <w:tab/>
            </w:r>
            <w:r>
              <w:fldChar w:fldCharType="begin"/>
            </w:r>
            <w:r>
              <w:instrText xml:space="preserve"> PAGEREF _Toc025405325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26990900" w:history="1">
            <w:r>
              <w:t xml:space="preserve">5.2.2 collect_data.py : collecte</w:t>
            </w:r>
            <w:r>
              <w:tab/>
            </w:r>
            <w:r>
              <w:fldChar w:fldCharType="begin"/>
            </w:r>
            <w:r>
              <w:instrText xml:space="preserve"> PAGEREF _Toc026990900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27465351" w:history="1">
            <w:r>
              <w:t xml:space="preserve">5.2.3 clean_data.py : traitement</w:t>
            </w:r>
            <w:r>
              <w:tab/>
            </w:r>
            <w:r>
              <w:fldChar w:fldCharType="begin"/>
            </w:r>
            <w:r>
              <w:instrText xml:space="preserve"> PAGEREF _Toc027465351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28208841" w:history="1">
            <w:r>
              <w:t xml:space="preserve">5.2.4 train_models.py : entraînement</w:t>
            </w:r>
            <w:r>
              <w:tab/>
            </w:r>
            <w:r>
              <w:fldChar w:fldCharType="begin"/>
            </w:r>
            <w:r>
              <w:instrText xml:space="preserve"> PAGEREF _Toc028208841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29839771" w:history="1">
            <w:r>
              <w:t xml:space="preserve">5.2.5 make_figures.py : graphes</w:t>
            </w:r>
            <w:r>
              <w:tab/>
            </w:r>
            <w:r>
              <w:fldChar w:fldCharType="begin"/>
            </w:r>
            <w:r>
              <w:instrText xml:space="preserve"> PAGEREF _Toc029839771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30338891" w:history="1">
            <w:r>
              <w:t xml:space="preserve">5.2.6 generate_datacard.py : datacard</w:t>
            </w:r>
            <w:r>
              <w:tab/>
            </w:r>
            <w:r>
              <w:fldChar w:fldCharType="begin"/>
            </w:r>
            <w:r>
              <w:instrText xml:space="preserve"> PAGEREF _Toc030338891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31304552" w:history="1">
            <w:r>
              <w:t xml:space="preserve">5.2.7 generate_model_card.py : model card</w:t>
            </w:r>
            <w:r>
              <w:tab/>
            </w:r>
            <w:r>
              <w:fldChar w:fldCharType="begin"/>
            </w:r>
            <w:r>
              <w:instrText xml:space="preserve"> PAGEREF _Toc031304552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TOC3"/>
            <w:tabs>
              <w:tab w:val="right" w:leader="dot" w:pos="9070"/>
            </w:tabs>
          </w:pPr>
          <w:hyperlink w:anchor="_Toc032180311" w:history="1">
            <w:r>
              <w:t xml:space="preserve">5.2.8 Notebook d'exploration</w:t>
            </w:r>
            <w:r>
              <w:tab/>
            </w:r>
            <w:r>
              <w:fldChar w:fldCharType="begin"/>
            </w:r>
            <w:r>
              <w:instrText xml:space="preserve"> PAGEREF _Toc032180311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33838295" w:history="1">
            <w:r>
              <w:t xml:space="preserve">5.3 Fichiers rédigés à la main</w:t>
            </w:r>
            <w:r>
              <w:tab/>
            </w:r>
            <w:r>
              <w:fldChar w:fldCharType="begin"/>
            </w:r>
            <w:r>
              <w:instrText xml:space="preserve"> PAGEREF _Toc033838295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34952894" w:history="1">
            <w:r>
              <w:t xml:space="preserve">5.4 Maintenance</w:t>
            </w:r>
            <w:r>
              <w:tab/>
            </w:r>
            <w:r>
              <w:fldChar w:fldCharType="begin"/>
            </w:r>
            <w:r>
              <w:instrText xml:space="preserve"> PAGEREF _Toc034952894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70"/>
            </w:tabs>
          </w:pPr>
          <w:hyperlink w:anchor="_Toc035797576" w:history="1">
            <w:r>
              <w:t xml:space="preserve">Partie 6 : Annexes</w:t>
            </w:r>
            <w:r>
              <w:tab/>
            </w:r>
            <w:r>
              <w:fldChar w:fldCharType="begin"/>
            </w:r>
            <w:r>
              <w:instrText xml:space="preserve"> PAGEREF _Toc035797576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36061762" w:history="1">
            <w:r>
              <w:t xml:space="preserve">6.1 Glossaire</w:t>
            </w:r>
            <w:r>
              <w:tab/>
            </w:r>
            <w:r>
              <w:fldChar w:fldCharType="begin"/>
            </w:r>
            <w:r>
              <w:instrText xml:space="preserve"> PAGEREF _Toc036061762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70"/>
            </w:tabs>
          </w:pPr>
          <w:hyperlink w:anchor="_Toc037649995" w:history="1">
            <w:r>
              <w:t xml:space="preserve">6.2 Références</w:t>
            </w:r>
            <w:r>
              <w:tab/>
            </w:r>
            <w:r>
              <w:fldChar w:fldCharType="begin"/>
            </w:r>
            <w:r>
              <w:instrText xml:space="preserve"> PAGEREF _Toc037649995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>
      <w:pPr>
        <w:pStyle w:val="Heading1"/>
      </w:pPr>
      <w:bookmarkStart w:id="1006" w:name="_Toc001470447"/>
      <w:r>
        <w:t xml:space="preserve">Introduction et contexte</w:t>
      </w:r>
      <w:bookmarkEnd w:id="1006"/>
    </w:p>
    <w:p>
      <w:pPr>
        <w:pStyle w:val="Heading2"/>
      </w:pPr>
      <w:bookmarkStart w:id="1007" w:name="_Toc002980601"/>
      <w:r>
        <w:t xml:space="preserve">Objet du document</w:t>
      </w:r>
      <w:bookmarkEnd w:id="1007"/>
    </w:p>
    <w:p>
      <w:r>
        <w:t xml:space="preserve">Ce document décrit le fonctionnement technique du projet : son architecture, les données et leurs transformations, le modèle retenu et les scripts qui composent la chaîne de traitement. Il s'adresse aux personnes qui reprennent ou font évoluer le projet.</w:t>
      </w:r>
    </w:p>
    <w:p>
      <w:r>
        <w:t xml:space="preserve">Il ne décrit pas l'installation pas à pas : le </w:t>
      </w:r>
      <w:hyperlink r:id="rId21" w:history="1">
        <w:r>
          <w:rPr>
            <w:rStyle w:val="Hyperlink"/>
          </w:rPr>
          <w:t xml:space="preserve">support d'onboarding</w:t>
        </w:r>
      </w:hyperlink>
      <w:r>
        <w:t xml:space="preserve"> couvre ce point, du clonage du dépôt jusqu'à l'entraînement des modèles.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t xml:space="preserve"> : </w:t>
      </w:r>
      <w:r>
        <w:t xml:space="preserve">Documents de référence du projet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1500"/>
        <w:gridCol w:w="3020"/>
        <w:gridCol w:w="4550"/>
      </w:tblGrid>
      <w:tr>
        <w:trPr>
          <w:cantSplit/>
          <w:tblHeader/>
        </w:trPr>
        <w:tc>
          <w:tcPr>
            <w:tcW w:w="1500" w:type="dxa"/>
          </w:tcPr>
          <w:p>
            <w:pPr>
              <w:keepNext/>
            </w:pPr>
            <w:r>
              <w:t xml:space="preserve">Document</w:t>
            </w:r>
          </w:p>
        </w:tc>
        <w:tc>
          <w:tcPr>
            <w:tcW w:w="3020" w:type="dxa"/>
          </w:tcPr>
          <w:p>
            <w:pPr>
              <w:keepNext/>
            </w:pPr>
            <w:r>
              <w:t xml:space="preserve">Contenu</w:t>
            </w:r>
          </w:p>
        </w:tc>
        <w:tc>
          <w:tcPr>
            <w:tcW w:w="4550" w:type="dxa"/>
          </w:tcPr>
          <w:p>
            <w:pPr>
              <w:keepNext/>
            </w:pPr>
            <w:r>
              <w:t xml:space="preserve">Emplacement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keepNext/>
            </w:pPr>
            <w:r>
              <w:t xml:space="preserve">Datacard</w:t>
            </w:r>
          </w:p>
        </w:tc>
        <w:tc>
          <w:tcPr>
            <w:tcW w:w="3020" w:type="dxa"/>
          </w:tcPr>
          <w:p>
            <w:pPr>
              <w:keepNext/>
            </w:pPr>
            <w:r>
              <w:t xml:space="preserve">Collecte, dictionnaire des données, qualité, règles métier</w:t>
            </w:r>
          </w:p>
        </w:tc>
        <w:tc>
          <w:tcPr>
            <w:tcW w:w="4550" w:type="dxa"/>
          </w:tcPr>
          <w:p>
            <w:pPr>
              <w:keepNext/>
            </w:pPr>
            <w:hyperlink r:id="rId22" w:history="1">
              <w:r>
                <w:rPr>
                  <w:rStyle w:val="CodeEnLigne"/>
                  <w:color w:val="1C5CAB" w:themeColor="hyperlink"/>
                  <w:u w:val="single"/>
                </w:rPr>
                <w:t xml:space="preserve">DATACARD.md</w:t>
              </w:r>
            </w:hyperlink>
          </w:p>
        </w:tc>
      </w:tr>
      <w:tr>
        <w:trPr>
          <w:cantSplit/>
        </w:trPr>
        <w:tc>
          <w:tcPr>
            <w:tcW w:w="1500" w:type="dxa"/>
          </w:tcPr>
          <w:p>
            <w:pPr>
              <w:keepNext/>
            </w:pPr>
            <w:r>
              <w:t xml:space="preserve">Lineage</w:t>
            </w:r>
          </w:p>
        </w:tc>
        <w:tc>
          <w:tcPr>
            <w:tcW w:w="3020" w:type="dxa"/>
          </w:tcPr>
          <w:p>
            <w:pPr>
              <w:keepNext/>
            </w:pPr>
            <w:r>
              <w:t xml:space="preserve">Étapes du nettoyage, effectifs et empreintes des fichiers</w:t>
            </w:r>
          </w:p>
        </w:tc>
        <w:tc>
          <w:tcPr>
            <w:tcW w:w="4550" w:type="dxa"/>
          </w:tcPr>
          <w:p>
            <w:pPr>
              <w:keepNext/>
            </w:pPr>
            <w:hyperlink r:id="rId23" w:history="1">
              <w:r>
                <w:rPr>
                  <w:rStyle w:val="CodeEnLigne"/>
                  <w:color w:val="1C5CAB" w:themeColor="hyperlink"/>
                  <w:u w:val="single"/>
                </w:rPr>
                <w:t xml:space="preserve">LINEAGE.md</w:t>
              </w:r>
            </w:hyperlink>
          </w:p>
        </w:tc>
      </w:tr>
      <w:tr>
        <w:trPr>
          <w:cantSplit/>
        </w:trPr>
        <w:tc>
          <w:tcPr>
            <w:tcW w:w="1500" w:type="dxa"/>
          </w:tcPr>
          <w:p>
            <w:pPr>
              <w:keepNext/>
            </w:pPr>
            <w:r>
              <w:t xml:space="preserve">Model card</w:t>
            </w:r>
          </w:p>
        </w:tc>
        <w:tc>
          <w:tcPr>
            <w:tcW w:w="3020" w:type="dxa"/>
          </w:tcPr>
          <w:p>
            <w:pPr>
              <w:keepNext/>
            </w:pPr>
            <w:r>
              <w:t xml:space="preserve">Modèle retenu, entraînement, validation, comparaison avec les modèles abandonnés</w:t>
            </w:r>
          </w:p>
        </w:tc>
        <w:tc>
          <w:tcPr>
            <w:tcW w:w="4550" w:type="dxa"/>
          </w:tcPr>
          <w:p>
            <w:pPr>
              <w:keepNext/>
            </w:pPr>
            <w:hyperlink r:id="rId24" w:history="1">
              <w:r>
                <w:rPr>
                  <w:rStyle w:val="CodeEnLigne"/>
                  <w:color w:val="1C5CAB" w:themeColor="hyperlink"/>
                  <w:u w:val="single"/>
                </w:rPr>
                <w:t xml:space="preserve">MODEL_CARD.md</w:t>
              </w:r>
            </w:hyperlink>
          </w:p>
        </w:tc>
      </w:tr>
      <w:tr>
        <w:trPr>
          <w:cantSplit/>
        </w:trPr>
        <w:tc>
          <w:tcPr>
            <w:tcW w:w="1500" w:type="dxa"/>
          </w:tcPr>
          <w:p>
            <w:pPr>
              <w:keepNext/>
            </w:pPr>
            <w:r>
              <w:t xml:space="preserve">Notebook d'exploration</w:t>
            </w:r>
          </w:p>
        </w:tc>
        <w:tc>
          <w:tcPr>
            <w:tcW w:w="3020" w:type="dxa"/>
          </w:tcPr>
          <w:p>
            <w:pPr>
              <w:keepNext/>
            </w:pPr>
            <w:r>
              <w:t xml:space="preserve">Analyse exploratoire et choix de nettoyage</w:t>
            </w:r>
          </w:p>
        </w:tc>
        <w:tc>
          <w:tcPr>
            <w:tcW w:w="4550" w:type="dxa"/>
          </w:tcPr>
          <w:p>
            <w:pPr>
              <w:keepNext/>
            </w:pPr>
            <w:hyperlink r:id="rId25" w:history="1">
              <w:r>
                <w:rPr>
                  <w:rStyle w:val="CodeEnLigne"/>
                  <w:color w:val="1C5CAB" w:themeColor="hyperlink"/>
                  <w:u w:val="single"/>
                </w:rPr>
                <w:t xml:space="preserve">exploration_lol_diamond_15min.ipynb</w:t>
              </w:r>
            </w:hyperlink>
          </w:p>
        </w:tc>
      </w:tr>
      <w:tr>
        <w:trPr>
          <w:cantSplit/>
        </w:trPr>
        <w:tc>
          <w:tcPr>
            <w:tcW w:w="1500" w:type="dxa"/>
          </w:tcPr>
          <w:p>
            <w:r>
              <w:t xml:space="preserve">Support d'onboarding</w:t>
            </w:r>
          </w:p>
        </w:tc>
        <w:tc>
          <w:tcPr>
            <w:tcW w:w="3020" w:type="dxa"/>
          </w:tcPr>
          <w:p>
            <w:r>
              <w:t xml:space="preserve">Installation pas à pas, vérifications, exercice</w:t>
            </w:r>
          </w:p>
        </w:tc>
        <w:tc>
          <w:tcPr>
            <w:tcW w:w="4550" w:type="dxa"/>
          </w:tcPr>
          <w:p>
            <w:hyperlink r:id="rId21" w:history="1">
              <w:r>
                <w:rPr>
                  <w:rStyle w:val="CodeEnLigne"/>
                  <w:color w:val="1C5CAB" w:themeColor="hyperlink"/>
                  <w:u w:val="single"/>
                </w:rPr>
                <w:t xml:space="preserve">Support_onboarding.docx</w:t>
              </w:r>
            </w:hyperlink>
          </w:p>
        </w:tc>
      </w:tr>
    </w:tbl>
    <w:p>
      <w:pPr>
        <w:spacing w:before="0" w:after="0" w:line="160" w:lineRule="exact"/>
      </w:pPr>
    </w:p>
    <w:p>
      <w:pPr>
        <w:pStyle w:val="EncadreNote"/>
      </w:pPr>
      <w:r>
        <w:rPr>
          <w:b/>
          <w:bCs/>
        </w:rPr>
        <w:t xml:space="preserve">Note : </w:t>
      </w:r>
      <w:r>
        <w:t xml:space="preserve">les trois fichiers </w:t>
      </w:r>
      <w:r>
        <w:rPr>
          <w:rStyle w:val="CodeEnLigne"/>
        </w:rPr>
        <w:t xml:space="preserve">.md</w:t>
      </w:r>
      <w:r>
        <w:t xml:space="preserve"> sont générés par la chaîne et ne sont pas versionnés : après un clone, lancer </w:t>
      </w:r>
      <w:r>
        <w:rPr>
          <w:rStyle w:val="CodeEnLigne"/>
        </w:rPr>
        <w:t xml:space="preserve">python run_pipeline.py</w:t>
      </w:r>
      <w:r>
        <w:t xml:space="preserve"> pour les créer (partie 5). Les liens supposent que ce document est ouvert depuis le dossier </w:t>
      </w:r>
      <w:r>
        <w:rPr>
          <w:rStyle w:val="CodeEnLigne"/>
        </w:rPr>
        <w:t xml:space="preserve">docs/</w:t>
      </w:r>
      <w:r>
        <w:t xml:space="preserve"> du dépôt.</w:t>
      </w:r>
    </w:p>
    <w:p>
      <w:pPr>
        <w:pStyle w:val="Heading2"/>
      </w:pPr>
      <w:bookmarkStart w:id="1008" w:name="_Toc003063602"/>
      <w:r>
        <w:t xml:space="preserve">Contexte</w:t>
      </w:r>
      <w:bookmarkEnd w:id="1008"/>
    </w:p>
    <w:p>
      <w:r>
        <w:t xml:space="preserve">League of Legends oppose deux équipes de cinq joueurs, l'équipe bleue et l'équipe rouge, qui cherchent à détruire la base adverse. Pendant la partie, chaque équipe accumule des ressources (or, expérience, sbires et monstres tués) et prend des objectifs (éliminations, monstres épiques, tours). À la 15e minute, l'écart entre les deux équipes donne déjà une bonne idée de l'issue, sans la décider : une équipe en retard peut encore gagner.</w:t>
      </w:r>
    </w:p>
    <w:p>
      <w:r>
        <w:t xml:space="preserve">Le projet s'appuie sur un jeu de données public qui décrit 48 651 parties classées de niveau Diamant, observées à 15 minutes, avec leur issue.</w:t>
      </w:r>
    </w:p>
    <w:p>
      <w:pPr>
        <w:pStyle w:val="Heading2"/>
      </w:pPr>
      <w:bookmarkStart w:id="1009" w:name="_Toc004829730"/>
      <w:r>
        <w:t xml:space="preserve">Objectifs</w:t>
      </w:r>
      <w:bookmarkEnd w:id="1009"/>
    </w:p>
    <w:p>
      <w:r>
        <w:rPr>
          <w:b/>
          <w:bCs/>
        </w:rPr>
        <w:t xml:space="preserve">Objectif</w:t>
      </w:r>
      <w:r>
        <w:t xml:space="preserve"> : estimer, à 15:00, la probabilité de victoire de l'équipe bleue, pour l'afficher pendant une partie (overlay de stream) ou lors de l'analyse d'une VOD.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t xml:space="preserve"> : </w:t>
      </w:r>
      <w:r>
        <w:t xml:space="preserve">Exigences du projet et réponse apportée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1900"/>
        <w:gridCol w:w="2600"/>
        <w:gridCol w:w="4570"/>
      </w:tblGrid>
      <w:tr>
        <w:trPr>
          <w:cantSplit/>
          <w:tblHeader/>
        </w:trPr>
        <w:tc>
          <w:tcPr>
            <w:tcW w:w="1900" w:type="dxa"/>
          </w:tcPr>
          <w:p>
            <w:pPr>
              <w:keepNext/>
            </w:pPr>
            <w:r>
              <w:t xml:space="preserve">Exigence</w:t>
            </w:r>
          </w:p>
        </w:tc>
        <w:tc>
          <w:tcPr>
            <w:tcW w:w="2600" w:type="dxa"/>
          </w:tcPr>
          <w:p>
            <w:pPr>
              <w:keepNext/>
            </w:pPr>
            <w:r>
              <w:t xml:space="preserve">Pourquoi</w:t>
            </w:r>
          </w:p>
        </w:tc>
        <w:tc>
          <w:tcPr>
            <w:tcW w:w="4570" w:type="dxa"/>
          </w:tcPr>
          <w:p>
            <w:pPr>
              <w:keepNext/>
            </w:pPr>
            <w:r>
              <w:t xml:space="preserve">Réponse apportée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rPr>
                <w:b/>
                <w:bCs/>
              </w:rPr>
              <w:t xml:space="preserve">Utilisable en direct</w:t>
            </w:r>
          </w:p>
        </w:tc>
        <w:tc>
          <w:tcPr>
            <w:tcW w:w="2600" w:type="dxa"/>
          </w:tcPr>
          <w:p>
            <w:pPr>
              <w:keepNext/>
            </w:pPr>
            <w:r>
              <w:t xml:space="preserve">L'affichage se fait pendant la partie.</w:t>
            </w:r>
          </w:p>
        </w:tc>
        <w:tc>
          <w:tcPr>
            <w:tcW w:w="4570" w:type="dxa"/>
          </w:tcPr>
          <w:p>
            <w:pPr>
              <w:keepNext/>
            </w:pPr>
            <w:r>
              <w:t xml:space="preserve">Seules des variables disponibles en direct sont utilisées : l'or d'équipe est exclu, car l'API locale du client de jeu ne le donne que pour le joueur actif.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rPr>
                <w:b/>
                <w:bCs/>
              </w:rPr>
              <w:t xml:space="preserve">Probabilité fiable</w:t>
            </w:r>
          </w:p>
        </w:tc>
        <w:tc>
          <w:tcPr>
            <w:tcW w:w="2600" w:type="dxa"/>
          </w:tcPr>
          <w:p>
            <w:pPr>
              <w:keepNext/>
            </w:pPr>
            <w:r>
              <w:t xml:space="preserve">Un pourcentage affiché doit être honnête.</w:t>
            </w:r>
          </w:p>
        </w:tc>
        <w:tc>
          <w:tcPr>
            <w:tcW w:w="4570" w:type="dxa"/>
          </w:tcPr>
          <w:p>
            <w:pPr>
              <w:keepNext/>
            </w:pPr>
            <w:r>
              <w:t xml:space="preserve">Sélection sur la log loss et contrôle de la calibration : quand le modèle annonce 70 %, l'équipe bleue gagne environ 7 fois sur 10.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rPr>
                <w:b/>
                <w:bCs/>
              </w:rPr>
              <w:t xml:space="preserve">Léger et explicable</w:t>
            </w:r>
          </w:p>
        </w:tc>
        <w:tc>
          <w:tcPr>
            <w:tcW w:w="2600" w:type="dxa"/>
          </w:tcPr>
          <w:p>
            <w:pPr>
              <w:keepNext/>
            </w:pPr>
            <w:r>
              <w:t xml:space="preserve">Calcul instantané, explication au public.</w:t>
            </w:r>
          </w:p>
        </w:tc>
        <w:tc>
          <w:tcPr>
            <w:tcW w:w="4570" w:type="dxa"/>
          </w:tcPr>
          <w:p>
            <w:pPr>
              <w:keepNext/>
            </w:pPr>
            <w:r>
              <w:t xml:space="preserve">À performance égale, le modèle le plus simple est retenu.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b/>
                <w:bCs/>
              </w:rPr>
              <w:t xml:space="preserve">Reproductible</w:t>
            </w:r>
          </w:p>
        </w:tc>
        <w:tc>
          <w:tcPr>
            <w:tcW w:w="2600" w:type="dxa"/>
          </w:tcPr>
          <w:p>
            <w:r>
              <w:t xml:space="preserve">Un nouvel arrivant doit retrouver les mêmes résultats.</w:t>
            </w:r>
          </w:p>
        </w:tc>
        <w:tc>
          <w:tcPr>
            <w:tcW w:w="4570" w:type="dxa"/>
          </w:tcPr>
          <w:p>
            <w:r>
              <w:t xml:space="preserve">Chaîne scriptée, graine fixe, documentation générée, dépôt sans fichiers produits.</w:t>
            </w:r>
          </w:p>
        </w:tc>
      </w:tr>
    </w:tbl>
    <w:p>
      <w:pPr>
        <w:spacing w:before="0" w:after="0" w:line="160" w:lineRule="exact"/>
      </w:pPr>
    </w:p>
    <w:p>
      <w:r>
        <w:rPr>
          <w:b/>
          <w:bCs/>
        </w:rPr>
        <w:t xml:space="preserve">Critère de réussite</w:t>
      </w:r>
      <w:r>
        <w:t xml:space="preserve"> : battre nettement la référence qui prédit toujours le taux de victoire bleue (50,5 % d'exactitude, log loss de 0,693).</w:t>
      </w:r>
    </w:p>
    <w:p>
      <w:pPr>
        <w:pStyle w:val="Heading2"/>
      </w:pPr>
      <w:bookmarkStart w:id="1010" w:name="_Toc005534540"/>
      <w:r>
        <w:t xml:space="preserve">Périmètre</w:t>
      </w:r>
      <w:bookmarkEnd w:id="1010"/>
    </w:p>
    <w:p>
      <w:pPr>
        <w:pStyle w:val="ListBullet"/>
      </w:pPr>
      <w:r>
        <w:rPr>
          <w:b/>
          <w:bCs/>
        </w:rPr>
        <w:t xml:space="preserve">Inclus</w:t>
      </w:r>
      <w:r>
        <w:t xml:space="preserve"> : collecte et contrôle des données, nettoyage tracé, comparaison de quatre familles de modèles, sélection, génération automatique de la datacard, du lineage et de la model card.</w:t>
      </w:r>
    </w:p>
    <w:p>
      <w:pPr>
        <w:pStyle w:val="ListBullet"/>
        <w:spacing w:after="160"/>
      </w:pPr>
      <w:r>
        <w:rPr>
          <w:b/>
          <w:bCs/>
        </w:rPr>
        <w:t xml:space="preserve">Hors périmètre</w:t>
      </w:r>
      <w:r>
        <w:t xml:space="preserve"> : l'application d'overlay elle-même, la collecte de parties récentes (nouvelle collecte via l'API de Riot Games, prévue comme projet ultérieur) et la prédiction à un autre instant que 15:00.</w:t>
      </w:r>
    </w:p>
    <w:p>
      <w:pPr>
        <w:pStyle w:val="Heading1"/>
      </w:pPr>
      <w:bookmarkStart w:id="1011" w:name="_Toc006983426"/>
      <w:r>
        <w:t xml:space="preserve">Architecture</w:t>
      </w:r>
      <w:bookmarkEnd w:id="1011"/>
    </w:p>
    <w:p>
      <w:pPr>
        <w:pStyle w:val="Heading2"/>
      </w:pPr>
      <w:bookmarkStart w:id="1012" w:name="_Toc007201037"/>
      <w:r>
        <w:t xml:space="preserve">Vue d'ensemble</w:t>
      </w:r>
      <w:bookmarkEnd w:id="1012"/>
    </w:p>
    <w:p>
      <w:r>
        <w:t xml:space="preserve">La chaîne transforme le fichier brut publié par OpenML en un modèle entraîné et en documentation. Chaque étape est un script Python autonome qui lit les fichiers produits par l'étape précédente : on peut relancer une seule étape sans tout recalculer, et </w:t>
      </w:r>
      <w:r>
        <w:rPr>
          <w:rStyle w:val="CodeEnLigne"/>
        </w:rPr>
        <w:t xml:space="preserve">run_pipeline.py</w:t>
      </w:r>
      <w:r>
        <w:t xml:space="preserve"> les enchaîne dans l'ordre.</w:t>
      </w:r>
    </w:p>
    <w:p>
      <w:pPr>
        <w:pStyle w:val="Figure"/>
        <w:keepNext/>
      </w:pPr>
      <w:r>
        <w:drawing>
          <wp:inline distT="0" distB="0" distL="0" distR="0">
            <wp:extent cx="5472000" cy="6111065"/>
            <wp:effectExtent l="0" t="0" r="0" b="0"/>
            <wp:docPr id="1013" name="image1.png" descr="Schéma du flux des données aux modè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image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t xml:space="preserve"> : </w:t>
      </w:r>
      <w:r>
        <w:t xml:space="preserve">Flux des données aux modèles : scripts, fichiers produits et documentation générée</w:t>
      </w:r>
    </w:p>
    <w:p>
      <w:r>
        <w:t xml:space="preserve">Seules les données d'entrée (</w:t>
      </w:r>
      <w:r>
        <w:rPr>
          <w:rStyle w:val="CodeEnLigne"/>
        </w:rPr>
        <w:t xml:space="preserve">data/raw/</w:t>
      </w:r>
      <w:r>
        <w:t xml:space="preserve">) sont versionnées avec le code. Tout le reste est régénéré en local par la chaîne : les résultats correspondent toujours au code et aux données du dépôt, et l'on vérifie ainsi qu'un nouvel arrivant peut tout reproduire.</w:t>
      </w:r>
    </w:p>
    <w:p>
      <w:pPr>
        <w:pStyle w:val="Heading2"/>
      </w:pPr>
      <w:bookmarkStart w:id="1014" w:name="_Toc008212334"/>
      <w:r>
        <w:t xml:space="preserve">Étapes de la chaîne</w:t>
      </w:r>
      <w:bookmarkEnd w:id="1014"/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t xml:space="preserve"> : </w:t>
      </w:r>
      <w:r>
        <w:t xml:space="preserve">Étapes de la chaîne, dans l'ordre d'exécution de run_pipeline.py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350"/>
        <w:gridCol w:w="1400"/>
        <w:gridCol w:w="2800"/>
        <w:gridCol w:w="2020"/>
        <w:gridCol w:w="2500"/>
      </w:tblGrid>
      <w:tr>
        <w:trPr>
          <w:cantSplit/>
          <w:tblHeader/>
        </w:trPr>
        <w:tc>
          <w:tcPr>
            <w:tcW w:w="350" w:type="dxa"/>
          </w:tcPr>
          <w:p>
            <w:pPr>
              <w:keepNext/>
            </w:pPr>
            <w:r>
              <w:t xml:space="preserve">#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Étape</w:t>
            </w:r>
          </w:p>
        </w:tc>
        <w:tc>
          <w:tcPr>
            <w:tcW w:w="2800" w:type="dxa"/>
          </w:tcPr>
          <w:p>
            <w:pPr>
              <w:keepNext/>
            </w:pPr>
            <w:r>
              <w:t xml:space="preserve">Script</w:t>
            </w:r>
          </w:p>
        </w:tc>
        <w:tc>
          <w:tcPr>
            <w:tcW w:w="2020" w:type="dxa"/>
          </w:tcPr>
          <w:p>
            <w:pPr>
              <w:keepNext/>
            </w:pPr>
            <w:r>
              <w:t xml:space="preserve">Lit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Produit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Collecte</w:t>
            </w:r>
          </w:p>
        </w:tc>
        <w:tc>
          <w:tcPr>
            <w:tcW w:w="2800" w:type="dxa"/>
          </w:tcPr>
          <w:p>
            <w:pPr>
              <w:keepNext/>
            </w:pPr>
            <w:r>
              <w:rPr>
                <w:rStyle w:val="CodeEnLigne"/>
              </w:rPr>
              <w:t xml:space="preserve">collect_data.py</w:t>
            </w:r>
          </w:p>
        </w:tc>
        <w:tc>
          <w:tcPr>
            <w:tcW w:w="2020" w:type="dxa"/>
          </w:tcPr>
          <w:p>
            <w:pPr>
              <w:keepNext/>
            </w:pPr>
            <w:r>
              <w:t xml:space="preserve">OpenML, seulement si le fichier manque ou est abîmé</w:t>
            </w:r>
          </w:p>
        </w:tc>
        <w:tc>
          <w:tcPr>
            <w:tcW w:w="2500" w:type="dxa"/>
          </w:tcPr>
          <w:p>
            <w:pPr>
              <w:keepNext/>
            </w:pPr>
            <w:r>
              <w:rPr>
                <w:rStyle w:val="CodeEnLigne"/>
              </w:rPr>
              <w:t xml:space="preserve">data/raw/dataset_43635.arff</w:t>
            </w:r>
            <w:r>
              <w:t xml:space="preserve"> vérifié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Traitement</w:t>
            </w:r>
          </w:p>
        </w:tc>
        <w:tc>
          <w:tcPr>
            <w:tcW w:w="2800" w:type="dxa"/>
          </w:tcPr>
          <w:p>
            <w:pPr>
              <w:keepNext/>
            </w:pPr>
            <w:r>
              <w:rPr>
                <w:rStyle w:val="CodeEnLigne"/>
              </w:rPr>
              <w:t xml:space="preserve">clean_data.py</w:t>
            </w:r>
          </w:p>
        </w:tc>
        <w:tc>
          <w:tcPr>
            <w:tcW w:w="2020" w:type="dxa"/>
          </w:tcPr>
          <w:p>
            <w:pPr>
              <w:keepNext/>
            </w:pPr>
            <w:r>
              <w:t xml:space="preserve">Données brutes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Dataset nettoyé (</w:t>
            </w:r>
            <w:r>
              <w:rPr>
                <w:rStyle w:val="CodeEnLigne"/>
              </w:rPr>
              <w:t xml:space="preserve">data/clean/</w:t>
            </w:r>
            <w:r>
              <w:t xml:space="preserve">), </w:t>
            </w:r>
            <w:r>
              <w:rPr>
                <w:rStyle w:val="CodeEnLigne"/>
              </w:rPr>
              <w:t xml:space="preserve">LINEAGE.md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Entraînement</w:t>
            </w:r>
          </w:p>
        </w:tc>
        <w:tc>
          <w:tcPr>
            <w:tcW w:w="2800" w:type="dxa"/>
          </w:tcPr>
          <w:p>
            <w:pPr>
              <w:keepNext/>
            </w:pPr>
            <w:r>
              <w:rPr>
                <w:rStyle w:val="CodeEnLigne"/>
              </w:rPr>
              <w:t xml:space="preserve">train_models.py</w:t>
            </w:r>
          </w:p>
        </w:tc>
        <w:tc>
          <w:tcPr>
            <w:tcW w:w="2020" w:type="dxa"/>
          </w:tcPr>
          <w:p>
            <w:pPr>
              <w:keepNext/>
            </w:pPr>
            <w:r>
              <w:t xml:space="preserve">Dataset nettoyé</w:t>
            </w:r>
          </w:p>
        </w:tc>
        <w:tc>
          <w:tcPr>
            <w:tcW w:w="2500" w:type="dxa"/>
          </w:tcPr>
          <w:p>
            <w:pPr>
              <w:keepNext/>
            </w:pPr>
            <w:r>
              <w:rPr>
                <w:rStyle w:val="CodeEnLigne"/>
              </w:rPr>
              <w:t xml:space="preserve">models/</w:t>
            </w:r>
            <w:r>
              <w:t xml:space="preserve">, </w:t>
            </w:r>
            <w:r>
              <w:rPr>
                <w:rStyle w:val="CodeEnLigne"/>
              </w:rPr>
              <w:t xml:space="preserve">reports/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Graphes</w:t>
            </w:r>
          </w:p>
        </w:tc>
        <w:tc>
          <w:tcPr>
            <w:tcW w:w="2800" w:type="dxa"/>
          </w:tcPr>
          <w:p>
            <w:pPr>
              <w:keepNext/>
            </w:pPr>
            <w:r>
              <w:rPr>
                <w:rStyle w:val="CodeEnLigne"/>
              </w:rPr>
              <w:t xml:space="preserve">make_figures.py</w:t>
            </w:r>
          </w:p>
        </w:tc>
        <w:tc>
          <w:tcPr>
            <w:tcW w:w="2020" w:type="dxa"/>
          </w:tcPr>
          <w:p>
            <w:pPr>
              <w:keepNext/>
            </w:pPr>
            <w:r>
              <w:rPr>
                <w:rStyle w:val="CodeEnLigne"/>
              </w:rPr>
              <w:t xml:space="preserve">reports/</w:t>
            </w:r>
            <w:r>
              <w:t xml:space="preserve">, dataset nettoyé</w:t>
            </w:r>
          </w:p>
        </w:tc>
        <w:tc>
          <w:tcPr>
            <w:tcW w:w="2500" w:type="dxa"/>
          </w:tcPr>
          <w:p>
            <w:pPr>
              <w:keepNext/>
            </w:pPr>
            <w:r>
              <w:rPr>
                <w:rStyle w:val="CodeEnLigne"/>
              </w:rPr>
              <w:t xml:space="preserve">figures/</w:t>
            </w:r>
          </w:p>
        </w:tc>
      </w:tr>
      <w:tr>
        <w:trPr>
          <w:cantSplit/>
        </w:trPr>
        <w:tc>
          <w:tcPr>
            <w:tcW w:w="350" w:type="dxa"/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Datacard</w:t>
            </w:r>
          </w:p>
        </w:tc>
        <w:tc>
          <w:tcPr>
            <w:tcW w:w="2800" w:type="dxa"/>
          </w:tcPr>
          <w:p>
            <w:pPr>
              <w:keepNext/>
            </w:pPr>
            <w:r>
              <w:rPr>
                <w:rStyle w:val="CodeEnLigne"/>
              </w:rPr>
              <w:t xml:space="preserve">generate_datacard.py</w:t>
            </w:r>
          </w:p>
        </w:tc>
        <w:tc>
          <w:tcPr>
            <w:tcW w:w="2020" w:type="dxa"/>
          </w:tcPr>
          <w:p>
            <w:pPr>
              <w:keepNext/>
            </w:pPr>
            <w:r>
              <w:t xml:space="preserve">Données brutes, parties rédigées</w:t>
            </w:r>
          </w:p>
        </w:tc>
        <w:tc>
          <w:tcPr>
            <w:tcW w:w="2500" w:type="dxa"/>
          </w:tcPr>
          <w:p>
            <w:pPr>
              <w:keepNext/>
            </w:pPr>
            <w:r>
              <w:rPr>
                <w:rStyle w:val="CodeEnLigne"/>
              </w:rPr>
              <w:t xml:space="preserve">DATACARD.md</w:t>
            </w:r>
          </w:p>
        </w:tc>
      </w:tr>
      <w:tr>
        <w:trPr>
          <w:cantSplit/>
        </w:trPr>
        <w:tc>
          <w:tcPr>
            <w:tcW w:w="350" w:type="dxa"/>
          </w:tcPr>
          <w:p>
            <w:r>
              <w:t xml:space="preserve">6</w:t>
            </w:r>
          </w:p>
        </w:tc>
        <w:tc>
          <w:tcPr>
            <w:tcW w:w="1400" w:type="dxa"/>
          </w:tcPr>
          <w:p>
            <w:r>
              <w:t xml:space="preserve">Model card</w:t>
            </w:r>
          </w:p>
        </w:tc>
        <w:tc>
          <w:tcPr>
            <w:tcW w:w="2800" w:type="dxa"/>
          </w:tcPr>
          <w:p>
            <w:r>
              <w:rPr>
                <w:rStyle w:val="CodeEnLigne"/>
              </w:rPr>
              <w:t xml:space="preserve">generate_model_card.py</w:t>
            </w:r>
          </w:p>
        </w:tc>
        <w:tc>
          <w:tcPr>
            <w:tcW w:w="2020" w:type="dxa"/>
          </w:tcPr>
          <w:p>
            <w:r>
              <w:rPr>
                <w:rStyle w:val="CodeEnLigne"/>
              </w:rPr>
              <w:t xml:space="preserve">reports/</w:t>
            </w:r>
            <w:r>
              <w:t xml:space="preserve">, </w:t>
            </w:r>
            <w:r>
              <w:rPr>
                <w:rStyle w:val="CodeEnLigne"/>
              </w:rPr>
              <w:t xml:space="preserve">figures/</w:t>
            </w:r>
            <w:r>
              <w:t xml:space="preserve">, parties rédigées</w:t>
            </w:r>
          </w:p>
        </w:tc>
        <w:tc>
          <w:tcPr>
            <w:tcW w:w="2500" w:type="dxa"/>
          </w:tcPr>
          <w:p>
            <w:r>
              <w:rPr>
                <w:rStyle w:val="CodeEnLigne"/>
              </w:rPr>
              <w:t xml:space="preserve">MODEL_CARD.md</w:t>
            </w:r>
          </w:p>
        </w:tc>
      </w:tr>
    </w:tbl>
    <w:p>
      <w:pPr>
        <w:spacing w:before="0" w:after="0" w:line="160" w:lineRule="exact"/>
      </w:pPr>
    </w:p>
    <w:p>
      <w:pPr>
        <w:pStyle w:val="Heading2"/>
      </w:pPr>
      <w:bookmarkStart w:id="1015" w:name="_Toc009503096"/>
      <w:r>
        <w:t xml:space="preserve">Organisation du dépôt</w:t>
      </w:r>
      <w:bookmarkEnd w:id="1015"/>
    </w:p>
    <w:p>
      <w:pPr>
        <w:pStyle w:val="CodeTitre"/>
      </w:pPr>
      <w:r>
        <w:t xml:space="preserve">Arborescence du dépôt après un clone</w:t>
      </w:r>
    </w:p>
    <w:p>
      <w:pPr>
        <w:pStyle w:val="Code"/>
        <w:keepNext/>
      </w:pPr>
      <w:r>
        <w:t xml:space="preserve">lol_diamond_15min/</w:t>
      </w:r>
    </w:p>
    <w:p>
      <w:pPr>
        <w:pStyle w:val="Code"/>
        <w:keepNext/>
      </w:pPr>
      <w:r>
        <w:t xml:space="preserve">  data/raw/                      données d'entrée (versionnées)</w:t>
      </w:r>
    </w:p>
    <w:p>
      <w:pPr>
        <w:pStyle w:val="Code"/>
        <w:keepNext/>
      </w:pPr>
      <w:r>
        <w:t xml:space="preserve">    dataset_43635.arff           fichier brut OpenML (ARFF)</w:t>
      </w:r>
    </w:p>
    <w:p>
      <w:pPr>
        <w:pStyle w:val="Code"/>
        <w:keepNext/>
      </w:pPr>
      <w:r>
        <w:t xml:space="preserve">    openml_43635_metadata.json   métadonnées OpenML</w:t>
      </w:r>
    </w:p>
    <w:p>
      <w:pPr>
        <w:pStyle w:val="Code"/>
        <w:keepNext/>
      </w:pPr>
      <w:r>
        <w:t xml:space="preserve">  docs/                          modèle Word et documentation</w:t>
      </w:r>
    </w:p>
    <w:p>
      <w:pPr>
        <w:pStyle w:val="Code"/>
        <w:keepNext/>
      </w:pPr>
      <w:r>
        <w:t xml:space="preserve">  common.py                      définitions partagées</w:t>
      </w:r>
    </w:p>
    <w:p>
      <w:pPr>
        <w:pStyle w:val="Code"/>
        <w:keepNext/>
      </w:pPr>
      <w:r>
        <w:t xml:space="preserve">  collect_data.py                1. collecte</w:t>
      </w:r>
    </w:p>
    <w:p>
      <w:pPr>
        <w:pStyle w:val="Code"/>
        <w:keepNext/>
      </w:pPr>
      <w:r>
        <w:t xml:space="preserve">  clean_data.py                  2. traitement</w:t>
      </w:r>
    </w:p>
    <w:p>
      <w:pPr>
        <w:pStyle w:val="Code"/>
        <w:keepNext/>
      </w:pPr>
      <w:r>
        <w:t xml:space="preserve">  train_models.py                3. entraînement</w:t>
      </w:r>
    </w:p>
    <w:p>
      <w:pPr>
        <w:pStyle w:val="Code"/>
        <w:keepNext/>
      </w:pPr>
      <w:r>
        <w:t xml:space="preserve">  make_figures.py                4. graphes</w:t>
      </w:r>
    </w:p>
    <w:p>
      <w:pPr>
        <w:pStyle w:val="Code"/>
        <w:keepNext/>
      </w:pPr>
      <w:r>
        <w:t xml:space="preserve">  generate_datacard.py           5. datacard</w:t>
      </w:r>
    </w:p>
    <w:p>
      <w:pPr>
        <w:pStyle w:val="Code"/>
        <w:keepNext/>
      </w:pPr>
      <w:r>
        <w:t xml:space="preserve">  generate_model_card.py         6. model card</w:t>
      </w:r>
    </w:p>
    <w:p>
      <w:pPr>
        <w:pStyle w:val="Code"/>
        <w:keepNext/>
      </w:pPr>
      <w:r>
        <w:t xml:space="preserve">  run_pipeline.py                toute la chaîne</w:t>
      </w:r>
    </w:p>
    <w:p>
      <w:pPr>
        <w:pStyle w:val="Code"/>
        <w:keepNext/>
      </w:pPr>
      <w:r>
        <w:t xml:space="preserve">  datacard_header.md             datacard : parties rédigées</w:t>
      </w:r>
    </w:p>
    <w:p>
      <w:pPr>
        <w:pStyle w:val="Code"/>
        <w:keepNext/>
      </w:pPr>
      <w:r>
        <w:t xml:space="preserve">  datacard_config.json           datacard : colonnes et règles</w:t>
      </w:r>
    </w:p>
    <w:p>
      <w:pPr>
        <w:pStyle w:val="Code"/>
        <w:keepNext/>
      </w:pPr>
      <w:r>
        <w:t xml:space="preserve">  model_card_header.md           model card : parties rédigées</w:t>
      </w:r>
    </w:p>
    <w:p>
      <w:pPr>
        <w:pStyle w:val="Code"/>
        <w:keepNext/>
      </w:pPr>
      <w:r>
        <w:t xml:space="preserve">  model_card_config.json         model card : critères, algorithmes</w:t>
      </w:r>
    </w:p>
    <w:p>
      <w:pPr>
        <w:pStyle w:val="Code"/>
        <w:keepNext/>
      </w:pPr>
      <w:r>
        <w:t xml:space="preserve">  exploration_lol_diamond_15min.ipynb</w:t>
      </w:r>
    </w:p>
    <w:p>
      <w:pPr>
        <w:pStyle w:val="Code"/>
        <w:keepNext/>
      </w:pPr>
      <w:r>
        <w:t xml:space="preserve">  requirements.txt               dépendances de la chaîne</w:t>
      </w:r>
    </w:p>
    <w:p>
      <w:pPr>
        <w:pStyle w:val="Code"/>
        <w:keepNext/>
      </w:pPr>
      <w:r>
        <w:t xml:space="preserve">  requirements-notebook.txt      dépendances du notebook</w:t>
      </w:r>
    </w:p>
    <w:p>
      <w:pPr>
        <w:pStyle w:val="Code"/>
        <w:spacing w:after="160"/>
      </w:pPr>
      <w:r>
        <w:t xml:space="preserve">  README.md, .gitignore, .gitattributes</w:t>
      </w:r>
    </w:p>
    <w:p>
      <w:r>
        <w:t xml:space="preserve">Après exécution, la chaîne ajoute </w:t>
      </w:r>
      <w:r>
        <w:rPr>
          <w:rStyle w:val="CodeEnLigne"/>
        </w:rPr>
        <w:t xml:space="preserve">data/clean/</w:t>
      </w:r>
      <w:r>
        <w:t xml:space="preserve">, </w:t>
      </w:r>
      <w:r>
        <w:rPr>
          <w:rStyle w:val="CodeEnLigne"/>
        </w:rPr>
        <w:t xml:space="preserve">models/</w:t>
      </w:r>
      <w:r>
        <w:t xml:space="preserve">, </w:t>
      </w:r>
      <w:r>
        <w:rPr>
          <w:rStyle w:val="CodeEnLigne"/>
        </w:rPr>
        <w:t xml:space="preserve">reports/</w:t>
      </w:r>
      <w:r>
        <w:t xml:space="preserve">, </w:t>
      </w:r>
      <w:r>
        <w:rPr>
          <w:rStyle w:val="CodeEnLigne"/>
        </w:rPr>
        <w:t xml:space="preserve">figures/</w:t>
      </w:r>
      <w:r>
        <w:t xml:space="preserve">, </w:t>
      </w:r>
      <w:r>
        <w:rPr>
          <w:rStyle w:val="CodeEnLigne"/>
        </w:rPr>
        <w:t xml:space="preserve">outputs/</w:t>
      </w:r>
      <w:r>
        <w:t xml:space="preserve">, </w:t>
      </w:r>
      <w:r>
        <w:rPr>
          <w:rStyle w:val="CodeEnLigne"/>
        </w:rPr>
        <w:t xml:space="preserve">DATACARD.md</w:t>
      </w:r>
      <w:r>
        <w:t xml:space="preserve">, </w:t>
      </w:r>
      <w:r>
        <w:rPr>
          <w:rStyle w:val="CodeEnLigne"/>
        </w:rPr>
        <w:t xml:space="preserve">LINEAGE.md</w:t>
      </w:r>
      <w:r>
        <w:t xml:space="preserve"> et </w:t>
      </w:r>
      <w:r>
        <w:rPr>
          <w:rStyle w:val="CodeEnLigne"/>
        </w:rPr>
        <w:t xml:space="preserve">MODEL_CARD.md</w:t>
      </w:r>
      <w:r>
        <w:t xml:space="preserve">. Le fichier </w:t>
      </w:r>
      <w:r>
        <w:rPr>
          <w:rStyle w:val="CodeEnLigne"/>
        </w:rPr>
        <w:t xml:space="preserve">.gitignore</w:t>
      </w:r>
      <w:r>
        <w:t xml:space="preserve"> les exclut du dépôt ; </w:t>
      </w:r>
      <w:r>
        <w:rPr>
          <w:rStyle w:val="CodeEnLigne"/>
        </w:rPr>
        <w:t xml:space="preserve">.gitattributes</w:t>
      </w:r>
      <w:r>
        <w:t xml:space="preserve"> protège le fichier ARFF de toute conversion des fins de ligne, qui changerait sa somme MD5.</w:t>
      </w:r>
    </w:p>
    <w:p>
      <w:pPr>
        <w:pStyle w:val="Heading2"/>
      </w:pPr>
      <w:bookmarkStart w:id="1016" w:name="_Toc010937262"/>
      <w:r>
        <w:t xml:space="preserve">Choix techniques</w:t>
      </w:r>
      <w:bookmarkEnd w:id="1016"/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t xml:space="preserve"> : </w:t>
      </w:r>
      <w:r>
        <w:t xml:space="preserve">Choix techniques et justification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900"/>
        <w:gridCol w:w="6170"/>
      </w:tblGrid>
      <w:tr>
        <w:trPr>
          <w:cantSplit/>
          <w:tblHeader/>
        </w:trPr>
        <w:tc>
          <w:tcPr>
            <w:tcW w:w="2900" w:type="dxa"/>
          </w:tcPr>
          <w:p>
            <w:pPr>
              <w:keepNext/>
            </w:pPr>
            <w:r>
              <w:t xml:space="preserve">Choix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Justification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Python 3.11 ou plus récent, scripts autonomes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Chaque étape se lance seule ; </w:t>
            </w:r>
            <w:r>
              <w:rPr>
                <w:rStyle w:val="CodeEnLigne"/>
              </w:rPr>
              <w:t xml:space="preserve">run_pipeline.py</w:t>
            </w:r>
            <w:r>
              <w:t xml:space="preserve"> les enchaîne sans outil d'orchestration à installer. Chaîne vérifiée avec Python 3.11 et 3.13.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pandas, NumPy, SciPy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Manipulation des tableaux de données ; SciPy lit le format ARFF publié par OpenML.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scikit-learn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Modèles, recherche d'hyperparamètres, validation croisée et métriques avec une seule API.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matplotlib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Graphes exportés en PNG, puis insérés automatiquement dans la model card.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  <w:b/>
                <w:bCs/>
              </w:rPr>
              <w:t xml:space="preserve">common.py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Variables du modèle et découpage définis une seule fois, pour l'entraînement et les graphes.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Graine aléatoire fixe (42)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Résultats identiques d'une exécution à l'autre.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Documentation générée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Les chiffres de la datacard, du lineage et de la model card sont recalculés à chaque exécution : ils ne peuvent pas diverger des données.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b/>
                <w:bCs/>
              </w:rPr>
              <w:t xml:space="preserve">Parties rédigées séparées</w:t>
            </w:r>
          </w:p>
        </w:tc>
        <w:tc>
          <w:tcPr>
            <w:tcW w:w="6170" w:type="dxa"/>
          </w:tcPr>
          <w:p>
            <w:pPr>
              <w:keepNext/>
            </w:pPr>
            <w:r>
              <w:t xml:space="preserve">Les textes rédigés à la main (en-têtes </w:t>
            </w:r>
            <w:r>
              <w:rPr>
                <w:rStyle w:val="CodeEnLigne"/>
              </w:rPr>
              <w:t xml:space="preserve">.md</w:t>
            </w:r>
            <w:r>
              <w:t xml:space="preserve">, configurations </w:t>
            </w:r>
            <w:r>
              <w:rPr>
                <w:rStyle w:val="CodeEnLigne"/>
              </w:rPr>
              <w:t xml:space="preserve">.json</w:t>
            </w:r>
            <w:r>
              <w:t xml:space="preserve">) ne sont jamais écrasés par la génération.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b/>
                <w:bCs/>
              </w:rPr>
              <w:t xml:space="preserve">Empreintes MD5 et SHA-256</w:t>
            </w:r>
          </w:p>
        </w:tc>
        <w:tc>
          <w:tcPr>
            <w:tcW w:w="6170" w:type="dxa"/>
          </w:tcPr>
          <w:p>
            <w:r>
              <w:t xml:space="preserve">On sait toujours quelle version des données a produit quel modèle.</w:t>
            </w:r>
          </w:p>
        </w:tc>
      </w:tr>
    </w:tbl>
    <w:p>
      <w:pPr>
        <w:spacing w:before="0" w:after="0" w:line="160" w:lineRule="exact"/>
      </w:pPr>
    </w:p>
    <w:p>
      <w:pPr>
        <w:pStyle w:val="Heading1"/>
      </w:pPr>
      <w:bookmarkStart w:id="1017" w:name="_Toc011881175"/>
      <w:r>
        <w:t xml:space="preserve">Données</w:t>
      </w:r>
      <w:bookmarkEnd w:id="1017"/>
    </w:p>
    <w:p>
      <w:pPr>
        <w:pStyle w:val="Heading2"/>
      </w:pPr>
      <w:bookmarkStart w:id="1018" w:name="_Toc012258902"/>
      <w:r>
        <w:t xml:space="preserve">Source et collecte</w:t>
      </w:r>
      <w:bookmarkEnd w:id="1018"/>
    </w:p>
    <w:p>
      <w:r>
        <w:t xml:space="preserve">Le jeu OpenML 43635 (« League-of-Legends-Diamond-Games-(First-15-Minutes) », version 1, licence CC0) reprend un jeu Kaggle publié par Ben Fattori, collecté le 31/07/2020 via l'API officielle de Riot Games.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t xml:space="preserve"> : </w:t>
      </w:r>
      <w:r>
        <w:t xml:space="preserve">Caractéristiques du jeu de données brut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600"/>
        <w:gridCol w:w="6470"/>
      </w:tblGrid>
      <w:tr>
        <w:trPr>
          <w:cantSplit/>
          <w:tblHeader/>
        </w:trPr>
        <w:tc>
          <w:tcPr>
            <w:tcW w:w="2600" w:type="dxa"/>
          </w:tcPr>
          <w:p>
            <w:pPr>
              <w:keepNext/>
            </w:pPr>
            <w:r>
              <w:t xml:space="preserve">Élément</w:t>
            </w:r>
          </w:p>
        </w:tc>
        <w:tc>
          <w:tcPr>
            <w:tcW w:w="6470" w:type="dxa"/>
          </w:tcPr>
          <w:p>
            <w:pPr>
              <w:keepNext/>
            </w:pPr>
            <w:r>
              <w:t xml:space="preserve">Valeur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rPr>
                <w:b/>
                <w:bCs/>
              </w:rPr>
              <w:t xml:space="preserve">Parties</w:t>
            </w:r>
          </w:p>
        </w:tc>
        <w:tc>
          <w:tcPr>
            <w:tcW w:w="6470" w:type="dxa"/>
          </w:tcPr>
          <w:p>
            <w:pPr>
              <w:keepNext/>
            </w:pPr>
            <w:r>
              <w:t xml:space="preserve">48 651 parties, 19 colonnes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rPr>
                <w:b/>
                <w:bCs/>
              </w:rPr>
              <w:t xml:space="preserve">Serveur et rang</w:t>
            </w:r>
          </w:p>
        </w:tc>
        <w:tc>
          <w:tcPr>
            <w:tcW w:w="6470" w:type="dxa"/>
          </w:tcPr>
          <w:p>
            <w:pPr>
              <w:keepNext/>
            </w:pPr>
            <w:r>
              <w:t xml:space="preserve">NA1 (Amérique du Nord), Diamant I à IV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rPr>
                <w:b/>
                <w:bCs/>
              </w:rPr>
              <w:t xml:space="preserve">Instant d'observation</w:t>
            </w:r>
          </w:p>
        </w:tc>
        <w:tc>
          <w:tcPr>
            <w:tcW w:w="6470" w:type="dxa"/>
          </w:tcPr>
          <w:p>
            <w:pPr>
              <w:keepNext/>
            </w:pPr>
            <w:r>
              <w:t xml:space="preserve">15:00, cumul depuis le début de la partie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rPr>
                <w:b/>
                <w:bCs/>
              </w:rPr>
              <w:t xml:space="preserve">Cible</w:t>
            </w:r>
          </w:p>
        </w:tc>
        <w:tc>
          <w:tcPr>
            <w:tcW w:w="6470" w:type="dxa"/>
          </w:tcPr>
          <w:p>
            <w:pPr>
              <w:keepNext/>
            </w:pPr>
            <w:r>
              <w:rPr>
                <w:rStyle w:val="CodeEnLigne"/>
              </w:rPr>
              <w:t xml:space="preserve">blue_win</w:t>
            </w:r>
            <w:r>
              <w:t xml:space="preserve"> : 1 si l'équipe bleue gagne (50,5 % des parties)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rPr>
                <w:b/>
                <w:bCs/>
              </w:rPr>
              <w:t xml:space="preserve">Format et intégrité</w:t>
            </w:r>
          </w:p>
        </w:tc>
        <w:tc>
          <w:tcPr>
            <w:tcW w:w="6470" w:type="dxa"/>
          </w:tcPr>
          <w:p>
            <w:pPr>
              <w:keepNext/>
            </w:pPr>
            <w:r>
              <w:t xml:space="preserve">ARFF, 5,1 Mo ; somme MD5 </w:t>
            </w:r>
            <w:r>
              <w:rPr>
                <w:rStyle w:val="CodeEnLigne"/>
              </w:rPr>
              <w:t xml:space="preserve">e717b2ddbc4160b17253a1e8a8296bc7</w:t>
            </w:r>
            <w:r>
              <w:t xml:space="preserve"> vérifiée par </w:t>
            </w:r>
            <w:r>
              <w:rPr>
                <w:rStyle w:val="CodeEnLigne"/>
              </w:rPr>
              <w:t xml:space="preserve">collect_data.py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b/>
                <w:bCs/>
              </w:rPr>
              <w:t xml:space="preserve">Licence</w:t>
            </w:r>
          </w:p>
        </w:tc>
        <w:tc>
          <w:tcPr>
            <w:tcW w:w="6470" w:type="dxa"/>
          </w:tcPr>
          <w:p>
            <w:r>
              <w:t xml:space="preserve">CC0 (domaine public)</w:t>
            </w:r>
          </w:p>
        </w:tc>
      </w:tr>
    </w:tbl>
    <w:p>
      <w:pPr>
        <w:spacing w:before="0" w:after="0" w:line="160" w:lineRule="exact"/>
      </w:pPr>
    </w:p>
    <w:p>
      <w:r>
        <w:t xml:space="preserve">Limites de la collecte : la période exacte et la version du jeu sont inconnues (« Season 13 » est un identifiant de l'API, pas une année), et la façon dont les parties ont été choisies n'est pas documentée.</w:t>
      </w:r>
    </w:p>
    <w:p>
      <w:r>
        <w:t xml:space="preserve">La </w:t>
      </w:r>
      <w:hyperlink r:id="rId22" w:history="1">
        <w:r>
          <w:rPr>
            <w:rStyle w:val="Hyperlink"/>
          </w:rPr>
          <w:t xml:space="preserve">datacard</w:t>
        </w:r>
      </w:hyperlink>
      <w:r>
        <w:t xml:space="preserve"> détaille la collecte, le dictionnaire des données (types, intervalles, quartiles, valeurs aberrantes) et les contrôles de qualité. Elle est régénérée à chaque nouveau batch.</w:t>
      </w:r>
    </w:p>
    <w:p>
      <w:pPr>
        <w:pStyle w:val="Heading2"/>
      </w:pPr>
      <w:bookmarkStart w:id="1019" w:name="_Toc013810126"/>
      <w:r>
        <w:t xml:space="preserve">Constats de l'exploration</w:t>
      </w:r>
      <w:bookmarkEnd w:id="1019"/>
    </w:p>
    <w:p>
      <w:pPr>
        <w:keepNext/>
      </w:pPr>
      <w:r>
        <w:t xml:space="preserve">L'exploration (notebook) a confronté les données à un modèle du domaine écrit d'après les règles du jeu. Trois familles de colonnes ne mesurent pas ce que leur nom annonce :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  <w:r>
        <w:t xml:space="preserve"> : </w:t>
      </w:r>
      <w:r>
        <w:t xml:space="preserve">Constats de l'exploration et décisions de nettoyage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5300"/>
        <w:gridCol w:w="3770"/>
      </w:tblGrid>
      <w:tr>
        <w:trPr>
          <w:cantSplit/>
          <w:tblHeader/>
        </w:trPr>
        <w:tc>
          <w:tcPr>
            <w:tcW w:w="5300" w:type="dxa"/>
          </w:tcPr>
          <w:p>
            <w:pPr>
              <w:keepNext/>
            </w:pPr>
            <w:r>
              <w:t xml:space="preserve">Constat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Décision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keepNext/>
            </w:pPr>
            <w:r>
              <w:rPr>
                <w:rStyle w:val="CodeEnLigne"/>
              </w:rPr>
              <w:t xml:space="preserve">blueDragonKills</w:t>
            </w:r>
            <w:r>
              <w:t xml:space="preserve"> et </w:t>
            </w:r>
            <w:r>
              <w:rPr>
                <w:rStyle w:val="CodeEnLigne"/>
              </w:rPr>
              <w:t xml:space="preserve">redDragonKills</w:t>
            </w:r>
            <w:r>
              <w:t xml:space="preserve"> valent toujours 0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Colonnes cassées : supprimées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keepNext/>
            </w:pPr>
            <w:r>
              <w:rPr>
                <w:rStyle w:val="CodeEnLigne"/>
              </w:rPr>
              <w:t xml:space="preserve">HeraldKills</w:t>
            </w:r>
            <w:r>
              <w:t xml:space="preserve"> dépasse 2 par partie dans 65,6 % des cas, impossible pour les seuls Hérauts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Compte dragons et Hérauts : renommée </w:t>
            </w:r>
            <w:r>
              <w:rPr>
                <w:rStyle w:val="CodeEnLigne"/>
              </w:rPr>
              <w:t xml:space="preserve">EpicMonsters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keepNext/>
            </w:pPr>
            <w:r>
              <w:rPr>
                <w:rStyle w:val="CodeEnLigne"/>
              </w:rPr>
              <w:t xml:space="preserve">TowersDestroyed</w:t>
            </w:r>
            <w:r>
              <w:t xml:space="preserve"> est liée négativement à la victoire de l'équipe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Compte les tours perdues : renommée </w:t>
            </w:r>
            <w:r>
              <w:rPr>
                <w:rStyle w:val="CodeEnLigne"/>
              </w:rPr>
              <w:t xml:space="preserve">TowersLost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keepNext/>
            </w:pPr>
            <w:r>
              <w:rPr>
                <w:rStyle w:val="CodeEnLigne"/>
              </w:rPr>
              <w:t xml:space="preserve">Unnamed:_0</w:t>
            </w:r>
            <w:r>
              <w:t xml:space="preserve"> est un numéro de ligne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Supprimée ; elle masquait 19 doublons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keepNext/>
            </w:pPr>
            <w:r>
              <w:t xml:space="preserve">30 parties ont un niveau moyen inférieur à 7</w:t>
            </w:r>
          </w:p>
        </w:tc>
        <w:tc>
          <w:tcPr>
            <w:tcW w:w="3770" w:type="dxa"/>
          </w:tcPr>
          <w:p>
            <w:pPr>
              <w:keepNext/>
            </w:pPr>
            <w:r>
              <w:t xml:space="preserve">Joueur absent : parties retirées</w:t>
            </w:r>
          </w:p>
        </w:tc>
      </w:tr>
      <w:tr>
        <w:trPr>
          <w:cantSplit/>
        </w:trPr>
        <w:tc>
          <w:tcPr>
            <w:tcW w:w="5300" w:type="dxa"/>
          </w:tcPr>
          <w:p>
            <w:r>
              <w:t xml:space="preserve">Toutes les colonnes sont stockées en flottant</w:t>
            </w:r>
          </w:p>
        </w:tc>
        <w:tc>
          <w:tcPr>
            <w:tcW w:w="3770" w:type="dxa"/>
          </w:tcPr>
          <w:p>
            <w:r>
              <w:t xml:space="preserve">Conversion en entiers signés</w:t>
            </w:r>
          </w:p>
        </w:tc>
      </w:tr>
    </w:tbl>
    <w:p>
      <w:pPr>
        <w:spacing w:before="0" w:after="0" w:line="160" w:lineRule="exact"/>
      </w:pPr>
    </w:p>
    <w:p>
      <w:pPr>
        <w:pStyle w:val="Heading2"/>
      </w:pPr>
      <w:bookmarkStart w:id="1020" w:name="_Toc014295328"/>
      <w:r>
        <w:t xml:space="preserve">Transformations</w:t>
      </w:r>
      <w:bookmarkEnd w:id="1020"/>
    </w:p>
    <w:p>
      <w:r>
        <w:rPr>
          <w:rStyle w:val="CodeEnLigne"/>
        </w:rPr>
        <w:t xml:space="preserve">clean_data.py</w:t>
      </w:r>
      <w:r>
        <w:t xml:space="preserve"> applique 8 étapes, chacune justifiée et mesurée. À chaque exécution, il écrit le détail (effectifs avant et après, empreintes des fichiers d'entrée et de sortie) dans le </w:t>
      </w:r>
      <w:hyperlink r:id="rId23" w:history="1">
        <w:r>
          <w:rPr>
            <w:rStyle w:val="Hyperlink"/>
          </w:rPr>
          <w:t xml:space="preserve">lineage</w:t>
        </w:r>
      </w:hyperlink>
      <w:r>
        <w:t xml:space="preserve">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  <w:r>
        <w:t xml:space="preserve"> : </w:t>
      </w:r>
      <w:r>
        <w:t xml:space="preserve">Étapes du nettoyage (extrait de LINEAGE.md)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400"/>
        <w:gridCol w:w="4870"/>
        <w:gridCol w:w="2300"/>
        <w:gridCol w:w="1500"/>
      </w:tblGrid>
      <w:tr>
        <w:trPr>
          <w:cantSplit/>
          <w:tblHeader/>
        </w:trPr>
        <w:tc>
          <w:tcPr>
            <w:tcW w:w="400" w:type="dxa"/>
          </w:tcPr>
          <w:p>
            <w:pPr>
              <w:keepNext/>
            </w:pPr>
            <w:r>
              <w:t xml:space="preserve">#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Étape</w:t>
            </w:r>
          </w:p>
        </w:tc>
        <w:tc>
          <w:tcPr>
            <w:tcW w:w="2300" w:type="dxa"/>
          </w:tcPr>
          <w:p>
            <w:pPr>
              <w:keepNext/>
            </w:pPr>
            <w:r>
              <w:t xml:space="preserve">Lignes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Colonnes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Supprimer l'index technique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48 651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19 → 18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Supprimer les doublons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48 651 → 48 632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Supprimer les colonnes dragons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48 632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18 → 16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Renommer les colonnes trompeuses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48 632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Typer les colonnes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48 632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6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Retirer les parties anormales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48 632 → 48 602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keepNext/>
            </w:pPr>
            <w:r>
              <w:t xml:space="preserve">7</w:t>
            </w:r>
          </w:p>
        </w:tc>
        <w:tc>
          <w:tcPr>
            <w:tcW w:w="4870" w:type="dxa"/>
          </w:tcPr>
          <w:p>
            <w:pPr>
              <w:keepNext/>
            </w:pPr>
            <w:r>
              <w:t xml:space="preserve">Contrôler les contraintes du domaine</w:t>
            </w:r>
          </w:p>
        </w:tc>
        <w:tc>
          <w:tcPr>
            <w:tcW w:w="2300" w:type="dxa"/>
          </w:tcPr>
          <w:p>
            <w:pPr>
              <w:keepNext/>
              <w:jc w:val="right"/>
            </w:pPr>
            <w:r>
              <w:t xml:space="preserve">48 602</w:t>
            </w:r>
          </w:p>
        </w:tc>
        <w:tc>
          <w:tcPr>
            <w:tcW w:w="1500" w:type="dxa"/>
          </w:tcPr>
          <w:p>
            <w:pPr>
              <w:keepNext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t xml:space="preserve">8</w:t>
            </w:r>
          </w:p>
        </w:tc>
        <w:tc>
          <w:tcPr>
            <w:tcW w:w="4870" w:type="dxa"/>
          </w:tcPr>
          <w:p>
            <w:r>
              <w:t xml:space="preserve">Trier par matchId</w:t>
            </w:r>
          </w:p>
        </w:tc>
        <w:tc>
          <w:tcPr>
            <w:tcW w:w="2300" w:type="dxa"/>
          </w:tcPr>
          <w:p>
            <w:pPr>
              <w:jc w:val="right"/>
            </w:pPr>
            <w:r>
              <w:t xml:space="preserve">48 602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t xml:space="preserve">16</w:t>
            </w:r>
          </w:p>
        </w:tc>
      </w:tr>
    </w:tbl>
    <w:p>
      <w:pPr>
        <w:spacing w:before="0" w:after="0" w:line="160" w:lineRule="exact"/>
      </w:pPr>
    </w:p>
    <w:p>
      <w:r>
        <w:rPr>
          <w:b/>
          <w:bCs/>
        </w:rPr>
        <w:t xml:space="preserve">Bilan</w:t>
      </w:r>
      <w:r>
        <w:t xml:space="preserve"> : 49 lignes retirées (0,10 %), 19 → 16 colonnes ; aucune valeur imputée ni modifiée. Le dataset nettoyé (</w:t>
      </w:r>
      <w:r>
        <w:rPr>
          <w:rStyle w:val="CodeEnLigne"/>
        </w:rPr>
        <w:t xml:space="preserve">data/clean/lol_diamond_15min_clean.csv</w:t>
      </w:r>
      <w:r>
        <w:t xml:space="preserve">, 48 602 parties) est identifié par son empreinte SHA-256 </w:t>
      </w:r>
      <w:r>
        <w:rPr>
          <w:rStyle w:val="CodeEnLigne"/>
        </w:rPr>
        <w:t xml:space="preserve">85191fa0b5fad9f8</w:t>
      </w:r>
      <w:r>
        <w:t xml:space="preserve">, reprise dans la model card.</w:t>
      </w:r>
    </w:p>
    <w:p>
      <w:pPr>
        <w:pStyle w:val="Heading2"/>
      </w:pPr>
      <w:bookmarkStart w:id="1021" w:name="_Toc015839364"/>
      <w:r>
        <w:t xml:space="preserve">Variables du modèle</w:t>
      </w:r>
      <w:bookmarkEnd w:id="1021"/>
    </w:p>
    <w:p>
      <w:r>
        <w:t xml:space="preserve">Le modèle ne lit pas les colonnes brutes : </w:t>
      </w:r>
      <w:r>
        <w:rPr>
          <w:rStyle w:val="CodeEnLigne"/>
        </w:rPr>
        <w:t xml:space="preserve">common.py</w:t>
      </w:r>
      <w:r>
        <w:t xml:space="preserve"> calcule des écarts entre les deux équipes (bleu moins rouge), plus informatifs que les valeurs de chaque équipe prises séparément.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t xml:space="preserve"> : </w:t>
      </w:r>
      <w:r>
        <w:t xml:space="preserve">Variables calculées par common.py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900"/>
        <w:gridCol w:w="4670"/>
        <w:gridCol w:w="1500"/>
      </w:tblGrid>
      <w:tr>
        <w:trPr>
          <w:cantSplit/>
          <w:tblHeader/>
        </w:trPr>
        <w:tc>
          <w:tcPr>
            <w:tcW w:w="2900" w:type="dxa"/>
          </w:tcPr>
          <w:p>
            <w:pPr>
              <w:keepNext/>
            </w:pPr>
            <w:r>
              <w:t xml:space="preserve">Variable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Écart bleu moins rouge de…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En direct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</w:rPr>
              <w:t xml:space="preserve">ecart_eliminations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Éliminations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</w:rPr>
              <w:t xml:space="preserve">ecart_cs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Score de sbires : sbires de voie et monstres de jungle tués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</w:rPr>
              <w:t xml:space="preserve">ecart_niveau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Niveau moyen des cinq joueurs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</w:rPr>
              <w:t xml:space="preserve">ecart_monstres_epiques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Monstres épiques tués (dragons et Hérauts)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</w:pPr>
            <w:r>
              <w:rPr>
                <w:rStyle w:val="CodeEnLigne"/>
              </w:rPr>
              <w:t xml:space="preserve">ecart_tours</w:t>
            </w:r>
          </w:p>
        </w:tc>
        <w:tc>
          <w:tcPr>
            <w:tcW w:w="4670" w:type="dxa"/>
          </w:tcPr>
          <w:p>
            <w:pPr>
              <w:keepNext/>
            </w:pPr>
            <w:r>
              <w:t xml:space="preserve">Tours détruites (calculées à partir des tours perdues par l'adversaire)</w:t>
            </w:r>
          </w:p>
        </w:tc>
        <w:tc>
          <w:tcPr>
            <w:tcW w:w="1500" w:type="dxa"/>
          </w:tcPr>
          <w:p>
            <w:pPr>
              <w:keepNext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rStyle w:val="CodeEnLigne"/>
              </w:rPr>
              <w:t xml:space="preserve">ecart_or</w:t>
            </w:r>
          </w:p>
        </w:tc>
        <w:tc>
          <w:tcPr>
            <w:tcW w:w="4670" w:type="dxa"/>
          </w:tcPr>
          <w:p>
            <w:r>
              <w:t xml:space="preserve">Or total de l'équipe</w:t>
            </w:r>
          </w:p>
        </w:tc>
        <w:tc>
          <w:tcPr>
            <w:tcW w:w="1500" w:type="dxa"/>
          </w:tcPr>
          <w:p>
            <w:r>
              <w:t xml:space="preserve">non (référence)</w:t>
            </w:r>
          </w:p>
        </w:tc>
      </w:tr>
    </w:tbl>
    <w:p>
      <w:pPr>
        <w:spacing w:before="0" w:after="0" w:line="160" w:lineRule="exact"/>
      </w:pPr>
    </w:p>
    <w:p>
      <w:pPr>
        <w:pStyle w:val="Heading2"/>
      </w:pPr>
      <w:bookmarkStart w:id="1022" w:name="_Toc016287264"/>
      <w:r>
        <w:t xml:space="preserve">Découpage apprentissage et test</w:t>
      </w:r>
      <w:bookmarkEnd w:id="1022"/>
    </w:p>
    <w:p>
      <w:r>
        <w:t xml:space="preserve">Les identifiants de partie de Riot croissent avec le temps. Les 80 % de parties les plus anciennes (38 882) servent à l'apprentissage et au choix des hyperparamètres ; les 20 % les plus récentes (9 720) servent au test final, utilisé une seule fois après la sélection. Ce découpage imite l'usage réel : prédire des parties futures à partir du passé.</w:t>
      </w:r>
    </w:p>
    <w:p>
      <w:pPr>
        <w:pStyle w:val="Heading1"/>
      </w:pPr>
      <w:bookmarkStart w:id="1023" w:name="_Toc017090697"/>
      <w:r>
        <w:t xml:space="preserve">Modèle</w:t>
      </w:r>
      <w:bookmarkEnd w:id="1023"/>
    </w:p>
    <w:p>
      <w:pPr>
        <w:pStyle w:val="Heading2"/>
      </w:pPr>
      <w:bookmarkStart w:id="1024" w:name="_Toc018325969"/>
      <w:r>
        <w:t xml:space="preserve">Démarche de sélection</w:t>
      </w:r>
      <w:bookmarkEnd w:id="1024"/>
    </w:p>
    <w:p>
      <w:r>
        <w:t xml:space="preserve">Quatre familles de modèles sont comparées sur les mêmes variables, avec une recherche d'hyperparamètres en validation croisée (5 plis) sur l'apprentissage. Deux références encadrent la comparaison : un modèle qui prédit toujours le taux de victoire bleue, et une régression logistique qui utilise aussi l'or (non déployable en direct, elle mesure le coût de la contrainte).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9</w:t>
      </w:r>
      <w:r>
        <w:rPr>
          <w:b/>
          <w:bCs/>
        </w:rPr>
        <w:fldChar w:fldCharType="end"/>
      </w:r>
      <w:r>
        <w:t xml:space="preserve"> : </w:t>
      </w:r>
      <w:r>
        <w:t xml:space="preserve">Modèles comparés et recherche d'hyperparamètres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500"/>
        <w:gridCol w:w="1700"/>
        <w:gridCol w:w="3070"/>
        <w:gridCol w:w="1800"/>
      </w:tblGrid>
      <w:tr>
        <w:trPr>
          <w:cantSplit/>
          <w:tblHeader/>
        </w:trPr>
        <w:tc>
          <w:tcPr>
            <w:tcW w:w="2500" w:type="dxa"/>
          </w:tcPr>
          <w:p>
            <w:pPr>
              <w:keepNext/>
            </w:pPr>
            <w:r>
              <w:t xml:space="preserve">Modèle</w:t>
            </w:r>
          </w:p>
        </w:tc>
        <w:tc>
          <w:tcPr>
            <w:tcW w:w="1700" w:type="dxa"/>
          </w:tcPr>
          <w:p>
            <w:pPr>
              <w:keepNext/>
            </w:pPr>
            <w:r>
              <w:t xml:space="preserve">Configurations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Meilleure configuration</w:t>
            </w:r>
          </w:p>
        </w:tc>
        <w:tc>
          <w:tcPr>
            <w:tcW w:w="1800" w:type="dxa"/>
          </w:tcPr>
          <w:p>
            <w:pPr>
              <w:keepNext/>
            </w:pPr>
            <w:r>
              <w:t xml:space="preserve">Log loss CV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keepNext/>
            </w:pPr>
            <w:r>
              <w:t xml:space="preserve">Référence (taux de victoire bleue)</w:t>
            </w:r>
          </w:p>
        </w:tc>
        <w:tc>
          <w:tcPr>
            <w:tcW w:w="1700" w:type="dxa"/>
          </w:tcPr>
          <w:p>
            <w:pPr>
              <w:keepNext/>
              <w:jc w:val="center"/>
            </w:pPr>
            <w:r>
              <w:t xml:space="preserve">1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aucune</w:t>
            </w:r>
          </w:p>
        </w:tc>
        <w:tc>
          <w:tcPr>
            <w:tcW w:w="1800" w:type="dxa"/>
          </w:tcPr>
          <w:p>
            <w:pPr>
              <w:keepNext/>
              <w:jc w:val="right"/>
            </w:pPr>
            <w:r>
              <w:t xml:space="preserve">0,6931 (± 0,0000)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keepNext/>
            </w:pPr>
            <w:r>
              <w:rPr>
                <w:b/>
                <w:bCs/>
              </w:rPr>
              <w:t xml:space="preserve">Régression logistique</w:t>
            </w:r>
          </w:p>
        </w:tc>
        <w:tc>
          <w:tcPr>
            <w:tcW w:w="1700" w:type="dxa"/>
          </w:tcPr>
          <w:p>
            <w:pPr>
              <w:keepNext/>
              <w:jc w:val="center"/>
            </w:pPr>
            <w:r>
              <w:t xml:space="preserve">5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C (inverse de la régularisation) = 0,1</w:t>
            </w:r>
          </w:p>
        </w:tc>
        <w:tc>
          <w:tcPr>
            <w:tcW w:w="1800" w:type="dxa"/>
          </w:tcPr>
          <w:p>
            <w:pPr>
              <w:keepNext/>
              <w:jc w:val="right"/>
            </w:pPr>
            <w:r>
              <w:t xml:space="preserve">0,4467 (± 0,0020)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keepNext/>
            </w:pPr>
            <w:r>
              <w:t xml:space="preserve">Gradient boosting</w:t>
            </w:r>
          </w:p>
        </w:tc>
        <w:tc>
          <w:tcPr>
            <w:tcW w:w="1700" w:type="dxa"/>
          </w:tcPr>
          <w:p>
            <w:pPr>
              <w:keepNext/>
              <w:jc w:val="center"/>
            </w:pPr>
            <w:r>
              <w:t xml:space="preserve">12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Régularisation L2 = 0,0, Taux d'apprentissage = 0,03, Feuilles maximales par arbre = 7</w:t>
            </w:r>
          </w:p>
        </w:tc>
        <w:tc>
          <w:tcPr>
            <w:tcW w:w="1800" w:type="dxa"/>
          </w:tcPr>
          <w:p>
            <w:pPr>
              <w:keepNext/>
              <w:jc w:val="right"/>
            </w:pPr>
            <w:r>
              <w:t xml:space="preserve">0,4488 (± 0,0019)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keepNext/>
            </w:pPr>
            <w:r>
              <w:t xml:space="preserve">Forêt aléatoire</w:t>
            </w:r>
          </w:p>
        </w:tc>
        <w:tc>
          <w:tcPr>
            <w:tcW w:w="1700" w:type="dxa"/>
          </w:tcPr>
          <w:p>
            <w:pPr>
              <w:keepNext/>
              <w:jc w:val="center"/>
            </w:pPr>
            <w:r>
              <w:t xml:space="preserve">6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Profondeur maximale = 10, Parties minimales par feuille = 50</w:t>
            </w:r>
          </w:p>
        </w:tc>
        <w:tc>
          <w:tcPr>
            <w:tcW w:w="1800" w:type="dxa"/>
          </w:tcPr>
          <w:p>
            <w:pPr>
              <w:keepNext/>
              <w:jc w:val="right"/>
            </w:pPr>
            <w:r>
              <w:t xml:space="preserve">0,4498 (± 0,0019)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keepNext/>
            </w:pPr>
            <w:r>
              <w:t xml:space="preserve">Réseau de neurones (MLP)</w:t>
            </w:r>
          </w:p>
        </w:tc>
        <w:tc>
          <w:tcPr>
            <w:tcW w:w="1700" w:type="dxa"/>
          </w:tcPr>
          <w:p>
            <w:pPr>
              <w:keepNext/>
              <w:jc w:val="center"/>
            </w:pPr>
            <w:r>
              <w:t xml:space="preserve">8</w:t>
            </w:r>
          </w:p>
        </w:tc>
        <w:tc>
          <w:tcPr>
            <w:tcW w:w="3070" w:type="dxa"/>
          </w:tcPr>
          <w:p>
            <w:pPr>
              <w:keepNext/>
            </w:pPr>
            <w:r>
              <w:t xml:space="preserve">Alpha (pénalité L2) = 0,01, Neurones par couche cachée = (16), Pas d'apprentissage initial = 0,001</w:t>
            </w:r>
          </w:p>
        </w:tc>
        <w:tc>
          <w:tcPr>
            <w:tcW w:w="1800" w:type="dxa"/>
          </w:tcPr>
          <w:p>
            <w:pPr>
              <w:keepNext/>
              <w:jc w:val="right"/>
            </w:pPr>
            <w:r>
              <w:t xml:space="preserve">0,4479 (± 0,0021)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Logistique avec or (non déployable)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3070" w:type="dxa"/>
          </w:tcPr>
          <w:p>
            <w:r>
              <w:t xml:space="preserve">C (inverse de la régularisation) = 1,0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t xml:space="preserve">0,4424 (± 0,0021)</w:t>
            </w:r>
          </w:p>
        </w:tc>
      </w:tr>
    </w:tbl>
    <w:p>
      <w:pPr>
        <w:spacing w:before="0" w:after="0" w:line="160" w:lineRule="exact"/>
      </w:pPr>
    </w:p>
    <w:p>
      <w:r>
        <w:rPr>
          <w:b/>
          <w:bCs/>
        </w:rPr>
        <w:t xml:space="preserve">Règle de sélection</w:t>
      </w:r>
      <w:r>
        <w:t xml:space="preserve"> : parmi les modèles déployables, on garde ceux dont la log loss de validation croisée est à moins d'une erreur standard de la meilleure, puis le plus simple. Ici, seuls la régression logistique (0,4467) et le réseau de neurones (0,4479) sont sous le seuil de tolérance (0,4486) : la régression logistique, plus simple, est retenue.</w:t>
      </w:r>
    </w:p>
    <w:p>
      <w:pPr>
        <w:pStyle w:val="Heading2"/>
      </w:pPr>
      <w:bookmarkStart w:id="1025" w:name="_Toc019000799"/>
      <w:r>
        <w:t xml:space="preserve">Modèle retenu : régression logistique</w:t>
      </w:r>
      <w:bookmarkEnd w:id="1025"/>
    </w:p>
    <w:p>
      <w:pPr>
        <w:keepNext/>
      </w:pPr>
      <w:r>
        <w:t xml:space="preserve">Le modèle calcule un score, somme pondérée des cinq écarts standardisés, puis le transforme en probabilité par la fonction sigmoïde :</w:t>
      </w:r>
    </w:p>
    <w:p>
      <w:pPr>
        <w:spacing w:before="60" w:after="180"/>
        <w:jc w:val="center"/>
      </w:pPr>
      <w:r>
        <w:t xml:space="preserve">P(victoire bleue) = 1 / (1 + exp(-(b0 + b1·x1 + ... + b5·x5)))</w:t>
      </w:r>
    </w:p>
    <w:p>
      <w:r>
        <w:rPr>
          <w:b/>
          <w:bCs/>
        </w:rPr>
        <w:t xml:space="preserve">Hyperparamètre</w:t>
      </w:r>
      <w:r>
        <w:t xml:space="preserve"> : C = 0,1, inverse de la force de la régularisation L2. La log loss de validation est la même pour C entre 0,01 et 10 : avec près de 39 000 parties pour 5 coefficients, la régularisation change peu le résultat.</w:t>
      </w:r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10</w:t>
      </w:r>
      <w:r>
        <w:rPr>
          <w:b/>
          <w:bCs/>
        </w:rPr>
        <w:fldChar w:fldCharType="end"/>
      </w:r>
      <w:r>
        <w:t xml:space="preserve"> : </w:t>
      </w:r>
      <w:r>
        <w:t xml:space="preserve">Effet de chaque variable dans le modèle retenu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400"/>
        <w:gridCol w:w="2500"/>
        <w:gridCol w:w="2000"/>
        <w:gridCol w:w="2170"/>
      </w:tblGrid>
      <w:tr>
        <w:trPr>
          <w:cantSplit/>
          <w:tblHeader/>
        </w:trPr>
        <w:tc>
          <w:tcPr>
            <w:tcW w:w="2400" w:type="dxa"/>
          </w:tcPr>
          <w:p>
            <w:pPr>
              <w:keepNext/>
            </w:pPr>
            <w:r>
              <w:t xml:space="preserve">Variable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Pour une avance de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Cote multipliée par</w:t>
            </w:r>
          </w:p>
        </w:tc>
        <w:tc>
          <w:tcPr>
            <w:tcW w:w="2170" w:type="dxa"/>
          </w:tcPr>
          <w:p>
            <w:pPr>
              <w:keepNext/>
            </w:pPr>
            <w:r>
              <w:t xml:space="preserve">Probabilité depuis 50 %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Éliminations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1 élimination</w:t>
            </w:r>
          </w:p>
        </w:tc>
        <w:tc>
          <w:tcPr>
            <w:tcW w:w="2000" w:type="dxa"/>
          </w:tcPr>
          <w:p>
            <w:pPr>
              <w:keepNext/>
              <w:jc w:val="right"/>
            </w:pPr>
            <w:r>
              <w:t xml:space="preserve">1,15</w:t>
            </w:r>
          </w:p>
        </w:tc>
        <w:tc>
          <w:tcPr>
            <w:tcW w:w="2170" w:type="dxa"/>
          </w:tcPr>
          <w:p>
            <w:pPr>
              <w:keepNext/>
              <w:jc w:val="right"/>
            </w:pPr>
            <w:r>
              <w:t xml:space="preserve">+3,5 points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Score de sbires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10 sbires ou monstres</w:t>
            </w:r>
          </w:p>
        </w:tc>
        <w:tc>
          <w:tcPr>
            <w:tcW w:w="2000" w:type="dxa"/>
          </w:tcPr>
          <w:p>
            <w:pPr>
              <w:keepNext/>
              <w:jc w:val="right"/>
            </w:pPr>
            <w:r>
              <w:t xml:space="preserve">1,07</w:t>
            </w:r>
          </w:p>
        </w:tc>
        <w:tc>
          <w:tcPr>
            <w:tcW w:w="2170" w:type="dxa"/>
          </w:tcPr>
          <w:p>
            <w:pPr>
              <w:keepNext/>
              <w:jc w:val="right"/>
            </w:pPr>
            <w:r>
              <w:t xml:space="preserve">+1,7 point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Niveau moyen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1 niveau moyen</w:t>
            </w:r>
          </w:p>
        </w:tc>
        <w:tc>
          <w:tcPr>
            <w:tcW w:w="2000" w:type="dxa"/>
          </w:tcPr>
          <w:p>
            <w:pPr>
              <w:keepNext/>
              <w:jc w:val="right"/>
            </w:pPr>
            <w:r>
              <w:t xml:space="preserve">2,24</w:t>
            </w:r>
          </w:p>
        </w:tc>
        <w:tc>
          <w:tcPr>
            <w:tcW w:w="2170" w:type="dxa"/>
          </w:tcPr>
          <w:p>
            <w:pPr>
              <w:keepNext/>
              <w:jc w:val="right"/>
            </w:pPr>
            <w:r>
              <w:t xml:space="preserve">+19,1 points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Monstres épiques</w:t>
            </w:r>
          </w:p>
        </w:tc>
        <w:tc>
          <w:tcPr>
            <w:tcW w:w="2500" w:type="dxa"/>
          </w:tcPr>
          <w:p>
            <w:pPr>
              <w:keepNext/>
            </w:pPr>
            <w:r>
              <w:t xml:space="preserve">1 monstre épique</w:t>
            </w:r>
          </w:p>
        </w:tc>
        <w:tc>
          <w:tcPr>
            <w:tcW w:w="2000" w:type="dxa"/>
          </w:tcPr>
          <w:p>
            <w:pPr>
              <w:keepNext/>
              <w:jc w:val="right"/>
            </w:pPr>
            <w:r>
              <w:t xml:space="preserve">1,21</w:t>
            </w:r>
          </w:p>
        </w:tc>
        <w:tc>
          <w:tcPr>
            <w:tcW w:w="2170" w:type="dxa"/>
          </w:tcPr>
          <w:p>
            <w:pPr>
              <w:keepNext/>
              <w:jc w:val="right"/>
            </w:pPr>
            <w:r>
              <w:t xml:space="preserve">+4,8 points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t xml:space="preserve">Tours</w:t>
            </w:r>
          </w:p>
        </w:tc>
        <w:tc>
          <w:tcPr>
            <w:tcW w:w="2500" w:type="dxa"/>
          </w:tcPr>
          <w:p>
            <w:r>
              <w:t xml:space="preserve">1 tour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1,22</w:t>
            </w:r>
          </w:p>
        </w:tc>
        <w:tc>
          <w:tcPr>
            <w:tcW w:w="2170" w:type="dxa"/>
          </w:tcPr>
          <w:p>
            <w:pPr>
              <w:jc w:val="right"/>
            </w:pPr>
            <w:r>
              <w:t xml:space="preserve">+4,9 points</w:t>
            </w:r>
          </w:p>
        </w:tc>
      </w:tr>
    </w:tbl>
    <w:p>
      <w:pPr>
        <w:spacing w:before="0" w:after="0" w:line="160" w:lineRule="exact"/>
      </w:pPr>
    </w:p>
    <w:p>
      <w:r>
        <w:t xml:space="preserve">Lecture : partant d'une partie équilibrée (49,9 %), une élimination d'avance porte la probabilité de victoire bleue à 53,4 %, les autres écarts restant égaux. Les variables étant corrélées (une élimination rapporte aussi de l'or et de l'expérience), ces effets se lisent « à autres écarts égaux ».</w:t>
      </w:r>
    </w:p>
    <w:p>
      <w:r>
        <w:rPr>
          <w:b/>
          <w:bCs/>
        </w:rPr>
        <w:t xml:space="preserve">Utilisation</w:t>
      </w:r>
      <w:r>
        <w:t xml:space="preserve"> : le modèle est enregistré dans </w:t>
      </w:r>
      <w:r>
        <w:rPr>
          <w:rStyle w:val="CodeEnLigne"/>
        </w:rPr>
        <w:t xml:space="preserve">models/modele_retenu.joblib</w:t>
      </w:r>
      <w:r>
        <w:t xml:space="preserve"> (pipeline scikit-learn : standardisation puis régression logistique), avec ses métadonnées dans </w:t>
      </w:r>
      <w:r>
        <w:rPr>
          <w:rStyle w:val="CodeEnLigne"/>
        </w:rPr>
        <w:t xml:space="preserve">models/modele_retenu.json</w:t>
      </w:r>
      <w:r>
        <w:t xml:space="preserve">.</w:t>
      </w:r>
    </w:p>
    <w:p>
      <w:pPr>
        <w:pStyle w:val="CodeTitre"/>
      </w:pPr>
      <w:r>
        <w:t xml:space="preserve">Python : probabilité de victoire pour une partie</w:t>
      </w:r>
    </w:p>
    <w:p>
      <w:pPr>
        <w:pStyle w:val="Code"/>
        <w:keepNext/>
      </w:pPr>
      <w:r>
        <w:t xml:space="preserve">import joblib</w:t>
      </w:r>
    </w:p>
    <w:p>
      <w:pPr>
        <w:pStyle w:val="Code"/>
        <w:keepNext/>
      </w:pPr>
      <w:r>
        <w:t xml:space="preserve">import pandas as pd</w:t>
      </w:r>
    </w:p>
    <w:p>
      <w:pPr>
        <w:pStyle w:val="Code"/>
        <w:keepNext/>
      </w:pPr>
    </w:p>
    <w:p>
      <w:pPr>
        <w:pStyle w:val="Code"/>
        <w:keepNext/>
      </w:pPr>
      <w:r>
        <w:t xml:space="preserve">modele = joblib.load("models/modele_retenu.joblib")</w:t>
      </w:r>
    </w:p>
    <w:p>
      <w:pPr>
        <w:pStyle w:val="Code"/>
        <w:keepNext/>
      </w:pPr>
      <w:r>
        <w:t xml:space="preserve">partie = pd.DataFrame([{</w:t>
      </w:r>
    </w:p>
    <w:p>
      <w:pPr>
        <w:pStyle w:val="Code"/>
        <w:keepNext/>
      </w:pPr>
      <w:r>
        <w:t xml:space="preserve">    "ecart_eliminations": 3, "ecart_cs": 25, "ecart_niveau": 0.4,</w:t>
      </w:r>
    </w:p>
    <w:p>
      <w:pPr>
        <w:pStyle w:val="Code"/>
        <w:keepNext/>
      </w:pPr>
      <w:r>
        <w:t xml:space="preserve">    "ecart_monstres_epiques": 1, "ecart_tours": 1,</w:t>
      </w:r>
    </w:p>
    <w:p>
      <w:pPr>
        <w:pStyle w:val="Code"/>
        <w:keepNext/>
      </w:pPr>
      <w:r>
        <w:t xml:space="preserve">}])</w:t>
      </w:r>
    </w:p>
    <w:p>
      <w:pPr>
        <w:pStyle w:val="Code"/>
        <w:keepNext/>
      </w:pPr>
      <w:r>
        <w:t xml:space="preserve">proba = modele.predict_proba(partie)[0, 1]</w:t>
      </w:r>
    </w:p>
    <w:p>
      <w:pPr>
        <w:pStyle w:val="Code"/>
        <w:spacing w:after="160"/>
      </w:pPr>
      <w:r>
        <w:t xml:space="preserve">print(proba)  # 0.787 : 78,7 % de chances de victoire bleue</w:t>
      </w:r>
    </w:p>
    <w:p>
      <w:pPr>
        <w:pStyle w:val="Heading2"/>
      </w:pPr>
      <w:bookmarkStart w:id="1026" w:name="_Toc020074003"/>
      <w:r>
        <w:t xml:space="preserve">Performances</w:t>
      </w:r>
      <w:bookmarkEnd w:id="1026"/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11</w:t>
      </w:r>
      <w:r>
        <w:rPr>
          <w:b/>
          <w:bCs/>
        </w:rPr>
        <w:fldChar w:fldCharType="end"/>
      </w:r>
      <w:r>
        <w:t xml:space="preserve"> : </w:t>
      </w:r>
      <w:r>
        <w:t xml:space="preserve">Performances sur le jeu de test (9 720 parties les plus récentes)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347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w="3470" w:type="dxa"/>
          </w:tcPr>
          <w:p>
            <w:pPr>
              <w:keepNext/>
            </w:pPr>
            <w:r>
              <w:t xml:space="preserve">Modèle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Log loss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Brier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AUC</w:t>
            </w:r>
          </w:p>
        </w:tc>
        <w:tc>
          <w:tcPr>
            <w:tcW w:w="1400" w:type="dxa"/>
          </w:tcPr>
          <w:p>
            <w:pPr>
              <w:keepNext/>
            </w:pPr>
            <w:r>
              <w:t xml:space="preserve">Exactitude</w:t>
            </w:r>
          </w:p>
        </w:tc>
      </w:tr>
      <w:tr>
        <w:trPr>
          <w:cantSplit/>
        </w:trPr>
        <w:tc>
          <w:tcPr>
            <w:tcW w:w="3470" w:type="dxa"/>
          </w:tcPr>
          <w:p>
            <w:pPr>
              <w:keepNext/>
            </w:pPr>
            <w:r>
              <w:t xml:space="preserve">Référence (taux de victoire bleue)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0,6931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0,2500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0,5000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50,5 %</w:t>
            </w:r>
          </w:p>
        </w:tc>
      </w:tr>
      <w:tr>
        <w:trPr>
          <w:cantSplit/>
        </w:trPr>
        <w:tc>
          <w:tcPr>
            <w:tcW w:w="3470" w:type="dxa"/>
          </w:tcPr>
          <w:p>
            <w:pPr>
              <w:keepNext/>
            </w:pPr>
            <w:r>
              <w:rPr>
                <w:b/>
                <w:bCs/>
              </w:rPr>
              <w:t xml:space="preserve">Régression logistique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rPr>
                <w:b/>
                <w:bCs/>
              </w:rPr>
              <w:t xml:space="preserve">0,4445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rPr>
                <w:b/>
                <w:bCs/>
              </w:rPr>
              <w:t xml:space="preserve">0,1455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rPr>
                <w:b/>
                <w:bCs/>
              </w:rPr>
              <w:t xml:space="preserve">0,8725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rPr>
                <w:b/>
                <w:bCs/>
              </w:rPr>
              <w:t xml:space="preserve">78,7 %</w:t>
            </w:r>
          </w:p>
        </w:tc>
      </w:tr>
      <w:tr>
        <w:trPr>
          <w:cantSplit/>
        </w:trPr>
        <w:tc>
          <w:tcPr>
            <w:tcW w:w="3470" w:type="dxa"/>
          </w:tcPr>
          <w:p>
            <w:pPr>
              <w:keepNext/>
            </w:pPr>
            <w:r>
              <w:t xml:space="preserve">Gradient boosting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0,4437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0,1454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0,8728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78,6 %</w:t>
            </w:r>
          </w:p>
        </w:tc>
      </w:tr>
      <w:tr>
        <w:trPr>
          <w:cantSplit/>
        </w:trPr>
        <w:tc>
          <w:tcPr>
            <w:tcW w:w="3470" w:type="dxa"/>
          </w:tcPr>
          <w:p>
            <w:pPr>
              <w:keepNext/>
            </w:pPr>
            <w:r>
              <w:t xml:space="preserve">Forêt aléatoire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0,4469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0,1465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0,8710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78,3 %</w:t>
            </w:r>
          </w:p>
        </w:tc>
      </w:tr>
      <w:tr>
        <w:trPr>
          <w:cantSplit/>
        </w:trPr>
        <w:tc>
          <w:tcPr>
            <w:tcW w:w="3470" w:type="dxa"/>
          </w:tcPr>
          <w:p>
            <w:pPr>
              <w:keepNext/>
            </w:pPr>
            <w:r>
              <w:t xml:space="preserve">Réseau de neurones (MLP)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0,4453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0,1456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0,8723</w:t>
            </w:r>
          </w:p>
        </w:tc>
        <w:tc>
          <w:tcPr>
            <w:tcW w:w="1400" w:type="dxa"/>
          </w:tcPr>
          <w:p>
            <w:pPr>
              <w:keepNext/>
              <w:jc w:val="right"/>
            </w:pPr>
            <w:r>
              <w:t xml:space="preserve">78,6 %</w:t>
            </w:r>
          </w:p>
        </w:tc>
      </w:tr>
      <w:tr>
        <w:trPr>
          <w:cantSplit/>
        </w:trPr>
        <w:tc>
          <w:tcPr>
            <w:tcW w:w="3470" w:type="dxa"/>
          </w:tcPr>
          <w:p>
            <w:r>
              <w:t xml:space="preserve">Logistique avec or (non déployable)</w:t>
            </w:r>
          </w:p>
        </w:tc>
        <w:tc>
          <w:tcPr>
            <w:tcW w:w="1400" w:type="dxa"/>
          </w:tcPr>
          <w:p>
            <w:pPr>
              <w:jc w:val="right"/>
            </w:pPr>
            <w:r>
              <w:t xml:space="preserve">0,4397</w:t>
            </w:r>
          </w:p>
        </w:tc>
        <w:tc>
          <w:tcPr>
            <w:tcW w:w="1400" w:type="dxa"/>
          </w:tcPr>
          <w:p>
            <w:pPr>
              <w:jc w:val="right"/>
            </w:pPr>
            <w:r>
              <w:t xml:space="preserve">0,1437</w:t>
            </w:r>
          </w:p>
        </w:tc>
        <w:tc>
          <w:tcPr>
            <w:tcW w:w="1400" w:type="dxa"/>
          </w:tcPr>
          <w:p>
            <w:pPr>
              <w:jc w:val="right"/>
            </w:pPr>
            <w:r>
              <w:t xml:space="preserve">0,8755</w:t>
            </w:r>
          </w:p>
        </w:tc>
        <w:tc>
          <w:tcPr>
            <w:tcW w:w="1400" w:type="dxa"/>
          </w:tcPr>
          <w:p>
            <w:pPr>
              <w:jc w:val="right"/>
            </w:pPr>
            <w:r>
              <w:t xml:space="preserve">79,2 %</w:t>
            </w:r>
          </w:p>
        </w:tc>
      </w:tr>
    </w:tbl>
    <w:p>
      <w:pPr>
        <w:spacing w:before="0" w:after="0" w:line="160" w:lineRule="exact"/>
      </w:pPr>
    </w:p>
    <w:p>
      <w:pPr>
        <w:pStyle w:val="ListBullet"/>
      </w:pPr>
      <w:r>
        <w:rPr>
          <w:b/>
          <w:bCs/>
        </w:rPr>
        <w:t xml:space="preserve">Résultat</w:t>
      </w:r>
      <w:r>
        <w:t xml:space="preserve"> : 78,7 % d'exactitude et une AUC de 0,872, loin devant la référence. Les quatre familles de modèles sont à égalité : la limite vient de l'information disponible à 15 minutes, pas du modèle.</w:t>
      </w:r>
    </w:p>
    <w:p>
      <w:pPr>
        <w:pStyle w:val="ListBullet"/>
      </w:pPr>
      <w:r>
        <w:rPr>
          <w:b/>
          <w:bCs/>
        </w:rPr>
        <w:t xml:space="preserve">Calibration</w:t>
      </w:r>
      <w:r>
        <w:t xml:space="preserve"> : écart moyen de 1,1 point entre probabilité annoncée et fréquence observée (ECE de 0,011).</w:t>
      </w:r>
    </w:p>
    <w:p>
      <w:pPr>
        <w:pStyle w:val="ListBullet"/>
      </w:pPr>
      <w:r>
        <w:rPr>
          <w:b/>
          <w:bCs/>
        </w:rPr>
        <w:t xml:space="preserve">Pas de surapprentissage</w:t>
      </w:r>
      <w:r>
        <w:t xml:space="preserve"> : log loss de 0,4466 en apprentissage et de 0,4445 en test ; réentraîné sur des issues tirées au hasard, le modèle retombe au niveau du hasard (0,692).</w:t>
      </w:r>
    </w:p>
    <w:p>
      <w:pPr>
        <w:pStyle w:val="ListBullet"/>
      </w:pPr>
      <w:r>
        <w:rPr>
          <w:b/>
          <w:bCs/>
        </w:rPr>
        <w:t xml:space="preserve">Selon le type de partie</w:t>
      </w:r>
      <w:r>
        <w:t xml:space="preserve"> : 91,0 % d'exactitude quand l'écart d'or dépasse 3 000, 58,1 % dans les parties serrées (écart inférieur à 1 000).</w:t>
      </w:r>
    </w:p>
    <w:p>
      <w:pPr>
        <w:pStyle w:val="ListBullet"/>
        <w:spacing w:after="160"/>
      </w:pPr>
      <w:r>
        <w:rPr>
          <w:b/>
          <w:bCs/>
        </w:rPr>
        <w:t xml:space="preserve">Coût de la contrainte du direct</w:t>
      </w:r>
      <w:r>
        <w:t xml:space="preserve"> : ajouter l'or ferait gagner 0,5 point d'exactitude.</w:t>
      </w:r>
    </w:p>
    <w:p>
      <w:r>
        <w:t xml:space="preserve">La </w:t>
      </w:r>
      <w:hyperlink r:id="rId24" w:history="1">
        <w:r>
          <w:rPr>
            <w:rStyle w:val="Hyperlink"/>
          </w:rPr>
          <w:t xml:space="preserve">model card</w:t>
        </w:r>
      </w:hyperlink>
      <w:r>
        <w:t xml:space="preserve"> détaille chaque critère de validation, avec les intervalles de confiance, la comparaison avec chaque modèle abandonné et les onze graphes (convergence, ROC, précision-rappel, prédiction vs réalité, sous-groupes, résidus, corrélations).</w:t>
      </w:r>
    </w:p>
    <w:p>
      <w:pPr>
        <w:pStyle w:val="Heading2"/>
      </w:pPr>
      <w:bookmarkStart w:id="1027" w:name="_Toc021588412"/>
      <w:r>
        <w:t xml:space="preserve">Limites</w:t>
      </w:r>
      <w:bookmarkEnd w:id="1027"/>
    </w:p>
    <w:p>
      <w:pPr>
        <w:pStyle w:val="ListBullet"/>
      </w:pPr>
      <w:r>
        <w:rPr>
          <w:b/>
          <w:bCs/>
        </w:rPr>
        <w:t xml:space="preserve">Durée des parties absente</w:t>
      </w:r>
      <w:r>
        <w:t xml:space="preserve"> : les parties abandonnées dès 15:00 ne peuvent pas être isolées et gonflent un peu les scores.</w:t>
      </w:r>
    </w:p>
    <w:p>
      <w:pPr>
        <w:pStyle w:val="ListBullet"/>
      </w:pPr>
      <w:r>
        <w:rPr>
          <w:b/>
          <w:bCs/>
        </w:rPr>
        <w:t xml:space="preserve">Époque et niveau</w:t>
      </w:r>
      <w:r>
        <w:t xml:space="preserve"> : parties Diamant du serveur NA1, antérieures à la mi-2020. Recalibrer sur des parties récentes avant tout usage réel.</w:t>
      </w:r>
    </w:p>
    <w:p>
      <w:pPr>
        <w:pStyle w:val="ListBullet"/>
      </w:pPr>
      <w:r>
        <w:rPr>
          <w:b/>
          <w:bCs/>
        </w:rPr>
        <w:t xml:space="preserve">Monstres épiques</w:t>
      </w:r>
      <w:r>
        <w:t xml:space="preserve"> : dragons et Hérauts sont confondus dans une même variable.</w:t>
      </w:r>
    </w:p>
    <w:p>
      <w:pPr>
        <w:pStyle w:val="ListBullet"/>
        <w:spacing w:after="160"/>
      </w:pPr>
      <w:r>
        <w:rPr>
          <w:b/>
          <w:bCs/>
        </w:rPr>
        <w:t xml:space="preserve">Composition des équipes ignorée</w:t>
      </w:r>
      <w:r>
        <w:t xml:space="preserve"> : un même avantage ne vaut pas la même chose selon les champions.</w:t>
      </w:r>
    </w:p>
    <w:p>
      <w:pPr>
        <w:pStyle w:val="Heading1"/>
      </w:pPr>
      <w:bookmarkStart w:id="1028" w:name="_Toc022716962"/>
      <w:r>
        <w:t xml:space="preserve">Scripts</w:t>
      </w:r>
      <w:bookmarkEnd w:id="1028"/>
    </w:p>
    <w:p>
      <w:pPr>
        <w:pStyle w:val="Heading2"/>
      </w:pPr>
      <w:bookmarkStart w:id="1029" w:name="_Toc023630471"/>
      <w:r>
        <w:t xml:space="preserve">Exécuter la chaîne</w:t>
      </w:r>
      <w:bookmarkEnd w:id="1029"/>
    </w:p>
    <w:p>
      <w:r>
        <w:t xml:space="preserve">Toutes les commandes se lancent depuis la racine du dépôt, dans l'environnement virtuel du projet (voir le support d'onboarding).</w:t>
      </w:r>
    </w:p>
    <w:p>
      <w:pPr>
        <w:pStyle w:val="CodeTitre"/>
      </w:pPr>
      <w:r>
        <w:t xml:space="preserve">Terminal</w:t>
      </w:r>
    </w:p>
    <w:p>
      <w:pPr>
        <w:pStyle w:val="Code"/>
        <w:keepNext/>
      </w:pPr>
      <w:r>
        <w:t xml:space="preserve">python run_pipeline.py                          # toute la chaîne</w:t>
      </w:r>
    </w:p>
    <w:p>
      <w:pPr>
        <w:pStyle w:val="Code"/>
        <w:keepNext/>
      </w:pPr>
      <w:r>
        <w:t xml:space="preserve">python run_pipeline.py --list                   # liste des étapes</w:t>
      </w:r>
    </w:p>
    <w:p>
      <w:pPr>
        <w:pStyle w:val="Code"/>
        <w:keepNext/>
      </w:pPr>
      <w:r>
        <w:t xml:space="preserve">python run_pipeline.py --from train             # reprendre à une étape</w:t>
      </w:r>
    </w:p>
    <w:p>
      <w:pPr>
        <w:pStyle w:val="Code"/>
        <w:spacing w:after="160"/>
      </w:pPr>
      <w:r>
        <w:t xml:space="preserve">python run_pipeline.py --only figures modelcard # certaines étapes</w:t>
      </w:r>
    </w:p>
    <w:p>
      <w:r>
        <w:t xml:space="preserve">La chaîne complète dure environ 5 minutes, dont l'essentiel pour l'entraînement. </w:t>
      </w:r>
      <w:r>
        <w:rPr>
          <w:rStyle w:val="CodeEnLigne"/>
        </w:rPr>
        <w:t xml:space="preserve">run_pipeline.py</w:t>
      </w:r>
      <w:r>
        <w:t xml:space="preserve"> lance chaque script dans un processus séparé, affiche la durée de chaque étape et s'arrête à la première erreur en indiquant la commande pour reprendre.</w:t>
      </w:r>
    </w:p>
    <w:p>
      <w:pPr>
        <w:pStyle w:val="Heading2"/>
      </w:pPr>
      <w:bookmarkStart w:id="1030" w:name="_Toc024476698"/>
      <w:r>
        <w:t xml:space="preserve">Présentation des scripts</w:t>
      </w:r>
      <w:bookmarkEnd w:id="1030"/>
    </w:p>
    <w:p>
      <w:pPr>
        <w:pStyle w:val="Heading3"/>
      </w:pPr>
      <w:bookmarkStart w:id="1031" w:name="_Toc025405325"/>
      <w:r>
        <w:t xml:space="preserve">common.py : définitions partagées</w:t>
      </w:r>
      <w:bookmarkEnd w:id="1031"/>
    </w:p>
    <w:p>
      <w:pPr>
        <w:pStyle w:val="ListBullet"/>
      </w:pPr>
      <w:r>
        <w:t xml:space="preserve">Chemins des données d'entrée et des fichiers produits, graine aléatoire, part du test.</w:t>
      </w:r>
    </w:p>
    <w:p>
      <w:pPr>
        <w:pStyle w:val="ListBullet"/>
      </w:pPr>
      <w:r>
        <w:rPr>
          <w:rStyle w:val="CodeEnLigne"/>
        </w:rPr>
        <w:t xml:space="preserve">FEATURES</w:t>
      </w:r>
      <w:r>
        <w:t xml:space="preserve"> : dictionnaire nom de variable → (description, disponible en direct, calcul). </w:t>
      </w:r>
      <w:r>
        <w:rPr>
          <w:b/>
          <w:bCs/>
        </w:rPr>
        <w:t xml:space="preserve">Ajouter une variable</w:t>
      </w:r>
      <w:r>
        <w:t xml:space="preserve"> revient à ajouter une entrée.</w:t>
      </w:r>
    </w:p>
    <w:p>
      <w:pPr>
        <w:pStyle w:val="ListBullet"/>
        <w:spacing w:after="160"/>
      </w:pPr>
      <w:r>
        <w:rPr>
          <w:rStyle w:val="CodeEnLigne"/>
        </w:rPr>
        <w:t xml:space="preserve">load_dataset()</w:t>
      </w:r>
      <w:r>
        <w:t xml:space="preserve"> : charge le dataset nettoyé, calcule les variables et renvoie les masques d'apprentissage et de test (découpage temporel).</w:t>
      </w:r>
    </w:p>
    <w:p>
      <w:pPr>
        <w:pStyle w:val="Heading3"/>
      </w:pPr>
      <w:bookmarkStart w:id="1032" w:name="_Toc026990900"/>
      <w:r>
        <w:t xml:space="preserve">collect_data.py : collecte</w:t>
      </w:r>
      <w:bookmarkEnd w:id="1032"/>
    </w:p>
    <w:p>
      <w:pPr>
        <w:pStyle w:val="ListBullet"/>
      </w:pPr>
      <w:r>
        <w:t xml:space="preserve">Vérifie que </w:t>
      </w:r>
      <w:r>
        <w:rPr>
          <w:rStyle w:val="CodeEnLigne"/>
        </w:rPr>
        <w:t xml:space="preserve">data/raw/dataset_43635.arff</w:t>
      </w:r>
      <w:r>
        <w:t xml:space="preserve"> a la somme MD5 publiée par OpenML.</w:t>
      </w:r>
    </w:p>
    <w:p>
      <w:pPr>
        <w:pStyle w:val="ListBullet"/>
      </w:pPr>
      <w:r>
        <w:t xml:space="preserve">Ne le télécharge que s'il manque, s'il est abîmé ou avec </w:t>
      </w:r>
      <w:r>
        <w:rPr>
          <w:rStyle w:val="CodeEnLigne"/>
        </w:rPr>
        <w:t xml:space="preserve">--force</w:t>
      </w:r>
      <w:r>
        <w:t xml:space="preserve"> ; écrit d'abord dans un fichier temporaire, puis remplace (jamais de fichier à moitié écrit).</w:t>
      </w:r>
    </w:p>
    <w:p>
      <w:pPr>
        <w:pStyle w:val="ListBullet"/>
        <w:spacing w:after="160"/>
      </w:pPr>
      <w:r>
        <w:t xml:space="preserve">Enregistre les métadonnées OpenML (description, date de collecte, licence).</w:t>
      </w:r>
    </w:p>
    <w:p>
      <w:pPr>
        <w:pStyle w:val="Heading3"/>
      </w:pPr>
      <w:bookmarkStart w:id="1033" w:name="_Toc027465351"/>
      <w:r>
        <w:t xml:space="preserve">clean_data.py : traitement</w:t>
      </w:r>
      <w:bookmarkEnd w:id="1033"/>
    </w:p>
    <w:p>
      <w:pPr>
        <w:pStyle w:val="ListBullet"/>
      </w:pPr>
      <w:r>
        <w:rPr>
          <w:rStyle w:val="CodeEnLigne"/>
        </w:rPr>
        <w:t xml:space="preserve">STEPS</w:t>
      </w:r>
      <w:r>
        <w:t xml:space="preserve"> : liste ordonnée d'étapes (nom, justification, fonction). Chaque fonction reçoit le DataFrame et renvoie le DataFrame transformé et une phrase qui décrit l'effet.</w:t>
      </w:r>
    </w:p>
    <w:p>
      <w:pPr>
        <w:pStyle w:val="ListBullet"/>
      </w:pPr>
      <w:r>
        <w:t xml:space="preserve">Mesure les lignes et les colonnes avant et après chaque étape ; </w:t>
      </w:r>
      <w:r>
        <w:rPr>
          <w:rStyle w:val="CodeEnLigne"/>
        </w:rPr>
        <w:t xml:space="preserve">check_constraints</w:t>
      </w:r>
      <w:r>
        <w:t xml:space="preserve"> arrête le script si une valeur viole une règle du jeu.</w:t>
      </w:r>
    </w:p>
    <w:p>
      <w:pPr>
        <w:pStyle w:val="ListBullet"/>
      </w:pPr>
      <w:r>
        <w:t xml:space="preserve">Écrit le dataset nettoyé, </w:t>
      </w:r>
      <w:r>
        <w:rPr>
          <w:rStyle w:val="CodeEnLigne"/>
        </w:rPr>
        <w:t xml:space="preserve">data/clean/lineage.json</w:t>
      </w:r>
      <w:r>
        <w:t xml:space="preserve"> et </w:t>
      </w:r>
      <w:r>
        <w:rPr>
          <w:rStyle w:val="CodeEnLigne"/>
        </w:rPr>
        <w:t xml:space="preserve">LINEAGE.md</w:t>
      </w:r>
      <w:r>
        <w:t xml:space="preserve">. </w:t>
      </w:r>
      <w:r>
        <w:rPr>
          <w:b/>
          <w:bCs/>
        </w:rPr>
        <w:t xml:space="preserve">Ajouter un traitement</w:t>
      </w:r>
      <w:r>
        <w:t xml:space="preserve"> revient à écrire une fonction et à l'ajouter à </w:t>
      </w:r>
      <w:r>
        <w:rPr>
          <w:rStyle w:val="CodeEnLigne"/>
        </w:rPr>
        <w:t xml:space="preserve">STEPS</w:t>
      </w:r>
      <w:r>
        <w:t xml:space="preserve">.</w:t>
      </w:r>
    </w:p>
    <w:p>
      <w:pPr>
        <w:pStyle w:val="ListBullet"/>
        <w:spacing w:after="160"/>
      </w:pPr>
      <w:r>
        <w:t xml:space="preserve">Options : </w:t>
      </w:r>
      <w:r>
        <w:rPr>
          <w:rStyle w:val="CodeEnLigne"/>
        </w:rPr>
        <w:t xml:space="preserve">--input</w:t>
      </w:r>
      <w:r>
        <w:t xml:space="preserve">, </w:t>
      </w:r>
      <w:r>
        <w:rPr>
          <w:rStyle w:val="CodeEnLigne"/>
        </w:rPr>
        <w:t xml:space="preserve">--output</w:t>
      </w:r>
      <w:r>
        <w:t xml:space="preserve">, </w:t>
      </w:r>
      <w:r>
        <w:rPr>
          <w:rStyle w:val="CodeEnLigne"/>
        </w:rPr>
        <w:t xml:space="preserve">--lineage</w:t>
      </w:r>
      <w:r>
        <w:t xml:space="preserve">.</w:t>
      </w:r>
    </w:p>
    <w:p>
      <w:pPr>
        <w:pStyle w:val="Heading3"/>
      </w:pPr>
      <w:bookmarkStart w:id="1034" w:name="_Toc028208841"/>
      <w:r>
        <w:t xml:space="preserve">train_models.py : entraînement</w:t>
      </w:r>
      <w:bookmarkEnd w:id="1034"/>
    </w:p>
    <w:p>
      <w:pPr>
        <w:pStyle w:val="ListBullet"/>
      </w:pPr>
      <w:r>
        <w:rPr>
          <w:rStyle w:val="CodeEnLigne"/>
        </w:rPr>
        <w:t xml:space="preserve">CANDIDATES</w:t>
      </w:r>
      <w:r>
        <w:t xml:space="preserve"> : pour chaque modèle, l'estimateur scikit-learn, la grille d'hyperparamètres, le rang de simplicité et les variables utilisées. </w:t>
      </w:r>
      <w:r>
        <w:rPr>
          <w:b/>
          <w:bCs/>
        </w:rPr>
        <w:t xml:space="preserve">Ajouter un modèle</w:t>
      </w:r>
      <w:r>
        <w:t xml:space="preserve"> revient à ajouter une entrée.</w:t>
      </w:r>
    </w:p>
    <w:p>
      <w:pPr>
        <w:pStyle w:val="ListBullet"/>
      </w:pPr>
      <w:r>
        <w:t xml:space="preserve">Recherche en grille (</w:t>
      </w:r>
      <w:r>
        <w:rPr>
          <w:rStyle w:val="CodeEnLigne"/>
        </w:rPr>
        <w:t xml:space="preserve">GridSearchCV</w:t>
      </w:r>
      <w:r>
        <w:t xml:space="preserve">, 5 plis, log loss), évaluation sur le test, sélection par la règle d'un écart-type.</w:t>
      </w:r>
    </w:p>
    <w:p>
      <w:pPr>
        <w:pStyle w:val="ListBullet"/>
      </w:pPr>
      <w:r>
        <w:t xml:space="preserve">Analyses : intervalles de confiance (bootstrap apparié, 500 tirages), sous-groupes, résidus, importance des variables, courbes de convergence et d'apprentissage, contrôles de surapprentissage.</w:t>
      </w:r>
    </w:p>
    <w:p>
      <w:pPr>
        <w:pStyle w:val="ListBullet"/>
        <w:spacing w:after="160"/>
      </w:pPr>
      <w:r>
        <w:t xml:space="preserve">Exporte le modèle retenu et tous les candidats (</w:t>
      </w:r>
      <w:r>
        <w:rPr>
          <w:rStyle w:val="CodeEnLigne"/>
        </w:rPr>
        <w:t xml:space="preserve">models/</w:t>
      </w:r>
      <w:r>
        <w:t xml:space="preserve">), les métriques (</w:t>
      </w:r>
      <w:r>
        <w:rPr>
          <w:rStyle w:val="CodeEnLigne"/>
        </w:rPr>
        <w:t xml:space="preserve">reports/metrics.json</w:t>
      </w:r>
      <w:r>
        <w:t xml:space="preserve">), les probabilités sur le test (</w:t>
      </w:r>
      <w:r>
        <w:rPr>
          <w:rStyle w:val="CodeEnLigne"/>
        </w:rPr>
        <w:t xml:space="preserve">reports/predictions_test.csv</w:t>
      </w:r>
      <w:r>
        <w:t xml:space="preserve">) et un tableau comparatif.</w:t>
      </w:r>
    </w:p>
    <w:p>
      <w:pPr>
        <w:pStyle w:val="Heading3"/>
      </w:pPr>
      <w:bookmarkStart w:id="1035" w:name="_Toc029839771"/>
      <w:r>
        <w:t xml:space="preserve">make_figures.py : graphes</w:t>
      </w:r>
      <w:bookmarkEnd w:id="1035"/>
    </w:p>
    <w:p>
      <w:pPr>
        <w:pStyle w:val="ListBullet"/>
      </w:pPr>
      <w:r>
        <w:t xml:space="preserve">Lit les résultats d'entraînement sans réentraîner : un graphe se retouche en quelques secondes.</w:t>
      </w:r>
    </w:p>
    <w:p>
      <w:pPr>
        <w:pStyle w:val="ListBullet"/>
      </w:pPr>
      <w:r>
        <w:t xml:space="preserve">Trace les 11 graphes : convergence, courbes d'apprentissage, ROC, précision-rappel, prédiction vs réalité, matrice de confusion, histogrammes et performance par sous-groupe, résidus, corrélations, importance des variables.</w:t>
      </w:r>
    </w:p>
    <w:p>
      <w:pPr>
        <w:pStyle w:val="ListBullet"/>
        <w:spacing w:after="160"/>
      </w:pPr>
      <w:r>
        <w:t xml:space="preserve">Déclare chaque graphe dans </w:t>
      </w:r>
      <w:r>
        <w:rPr>
          <w:rStyle w:val="CodeEnLigne"/>
        </w:rPr>
        <w:t xml:space="preserve">figures/manifest.json</w:t>
      </w:r>
      <w:r>
        <w:t xml:space="preserve"> (titre, légende, section) par la fonction </w:t>
      </w:r>
      <w:r>
        <w:rPr>
          <w:rStyle w:val="CodeEnLigne"/>
        </w:rPr>
        <w:t xml:space="preserve">save()</w:t>
      </w:r>
      <w:r>
        <w:t xml:space="preserve">. </w:t>
      </w:r>
      <w:r>
        <w:rPr>
          <w:b/>
          <w:bCs/>
        </w:rPr>
        <w:t xml:space="preserve">Ajouter un graphe</w:t>
      </w:r>
      <w:r>
        <w:t xml:space="preserve"> revient à écrire une fonction qui trace la figure et appelle </w:t>
      </w:r>
      <w:r>
        <w:rPr>
          <w:rStyle w:val="CodeEnLigne"/>
        </w:rPr>
        <w:t xml:space="preserve">save()</w:t>
      </w:r>
      <w:r>
        <w:t xml:space="preserve">.</w:t>
      </w:r>
    </w:p>
    <w:p>
      <w:pPr>
        <w:pStyle w:val="Heading3"/>
      </w:pPr>
      <w:bookmarkStart w:id="1036" w:name="_Toc030338891"/>
      <w:r>
        <w:t xml:space="preserve">generate_datacard.py : datacard</w:t>
      </w:r>
      <w:bookmarkEnd w:id="1036"/>
    </w:p>
    <w:p>
      <w:pPr>
        <w:pStyle w:val="ListBullet"/>
      </w:pPr>
      <w:r>
        <w:t xml:space="preserve">Assemble l'entête rédigée à la main (</w:t>
      </w:r>
      <w:r>
        <w:rPr>
          <w:rStyle w:val="CodeEnLigne"/>
        </w:rPr>
        <w:t xml:space="preserve">datacard_header.md</w:t>
      </w:r>
      <w:r>
        <w:t xml:space="preserve">) et une section calculée : empreinte du batch, dictionnaire des données, répartition des classes, qualité, règles métier, évolution par rapport au batch précédent.</w:t>
      </w:r>
    </w:p>
    <w:p>
      <w:pPr>
        <w:pStyle w:val="ListBullet"/>
      </w:pPr>
      <w:r>
        <w:t xml:space="preserve">Les descriptions, rôles et règles métier sont déclarés dans </w:t>
      </w:r>
      <w:r>
        <w:rPr>
          <w:rStyle w:val="CodeEnLigne"/>
        </w:rPr>
        <w:t xml:space="preserve">datacard_config.json</w:t>
      </w:r>
      <w:r>
        <w:t xml:space="preserve">.</w:t>
      </w:r>
    </w:p>
    <w:p>
      <w:pPr>
        <w:pStyle w:val="ListBullet"/>
        <w:spacing w:after="160"/>
      </w:pPr>
      <w:r>
        <w:t xml:space="preserve">Option </w:t>
      </w:r>
      <w:r>
        <w:rPr>
          <w:rStyle w:val="CodeEnLigne"/>
        </w:rPr>
        <w:t xml:space="preserve">--source</w:t>
      </w:r>
      <w:r>
        <w:t xml:space="preserve"> pour documenter un nouveau batch (.arff, .csv, .parquet ou </w:t>
      </w:r>
      <w:r>
        <w:rPr>
          <w:rStyle w:val="CodeEnLigne"/>
        </w:rPr>
        <w:t xml:space="preserve">openml:&lt;id&gt;</w:t>
      </w:r>
      <w:r>
        <w:t xml:space="preserve">).</w:t>
      </w:r>
    </w:p>
    <w:p>
      <w:pPr>
        <w:pStyle w:val="Heading3"/>
      </w:pPr>
      <w:bookmarkStart w:id="1037" w:name="_Toc031304552"/>
      <w:r>
        <w:t xml:space="preserve">generate_model_card.py : model card</w:t>
      </w:r>
      <w:bookmarkEnd w:id="1037"/>
    </w:p>
    <w:p>
      <w:pPr>
        <w:pStyle w:val="ListBullet"/>
      </w:pPr>
      <w:r>
        <w:t xml:space="preserve">Assemble l'entête (</w:t>
      </w:r>
      <w:r>
        <w:rPr>
          <w:rStyle w:val="CodeEnLigne"/>
        </w:rPr>
        <w:t xml:space="preserve">model_card_header.md</w:t>
      </w:r>
      <w:r>
        <w:t xml:space="preserve">) et une section calculée depuis </w:t>
      </w:r>
      <w:r>
        <w:rPr>
          <w:rStyle w:val="CodeEnLigne"/>
        </w:rPr>
        <w:t xml:space="preserve">reports/metrics.json</w:t>
      </w:r>
      <w:r>
        <w:t xml:space="preserve">.</w:t>
      </w:r>
    </w:p>
    <w:p>
      <w:pPr>
        <w:pStyle w:val="ListBullet"/>
      </w:pPr>
      <w:r>
        <w:t xml:space="preserve">Insère chaque graphe du manifeste à l'endroit où il sert l'argumentation ; un graphe nouveau va dans « Autres graphes », sans modifier le script.</w:t>
      </w:r>
    </w:p>
    <w:p>
      <w:pPr>
        <w:pStyle w:val="ListBullet"/>
        <w:spacing w:after="160"/>
      </w:pPr>
      <w:r>
        <w:t xml:space="preserve">Compare le modèle retenu à chaque modèle abandonné, critère par critère, selon </w:t>
      </w:r>
      <w:r>
        <w:rPr>
          <w:rStyle w:val="CodeEnLigne"/>
        </w:rPr>
        <w:t xml:space="preserve">model_card_config.json</w:t>
      </w:r>
      <w:r>
        <w:t xml:space="preserve">.</w:t>
      </w:r>
    </w:p>
    <w:p>
      <w:pPr>
        <w:pStyle w:val="Heading3"/>
      </w:pPr>
      <w:bookmarkStart w:id="1038" w:name="_Toc032180311"/>
      <w:r>
        <w:t xml:space="preserve">Notebook d'exploration</w:t>
      </w:r>
      <w:bookmarkEnd w:id="1038"/>
    </w:p>
    <w:p>
      <w:r>
        <w:rPr>
          <w:rStyle w:val="CodeEnLigne"/>
        </w:rPr>
        <w:t xml:space="preserve">exploration_lol_diamond_15min.ipynb</w:t>
      </w:r>
      <w:r>
        <w:t xml:space="preserve"> retrace l'exploration : source et collecte, modèle du domaine, qualité, distributions, valeurs aberrantes, dictionnaire des données et idées de projets. Il n'est pas nécessaire à la chaîne ; ses dépendances sont dans </w:t>
      </w:r>
      <w:r>
        <w:rPr>
          <w:rStyle w:val="CodeEnLigne"/>
        </w:rPr>
        <w:t xml:space="preserve">requirements-notebook.txt</w:t>
      </w:r>
      <w:r>
        <w:t xml:space="preserve">.</w:t>
      </w:r>
    </w:p>
    <w:p>
      <w:pPr>
        <w:pStyle w:val="Heading2"/>
      </w:pPr>
      <w:bookmarkStart w:id="1039" w:name="_Toc033838295"/>
      <w:r>
        <w:t xml:space="preserve">Fichiers rédigés à la main</w:t>
      </w:r>
      <w:bookmarkEnd w:id="1039"/>
    </w:p>
    <w:p>
      <w:pPr>
        <w:pStyle w:val="Caption"/>
        <w:keepNext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>12</w:t>
      </w:r>
      <w:r>
        <w:rPr>
          <w:b/>
          <w:bCs/>
        </w:rPr>
        <w:fldChar w:fldCharType="end"/>
      </w:r>
      <w:r>
        <w:t xml:space="preserve"> : </w:t>
      </w:r>
      <w:r>
        <w:t xml:space="preserve">Fichiers rédigés à la main et scripts qui les lisent</w:t>
      </w:r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750"/>
        <w:gridCol w:w="3570"/>
        <w:gridCol w:w="2750"/>
      </w:tblGrid>
      <w:tr>
        <w:trPr>
          <w:cantSplit/>
          <w:tblHeader/>
        </w:trPr>
        <w:tc>
          <w:tcPr>
            <w:tcW w:w="2750" w:type="dxa"/>
          </w:tcPr>
          <w:p>
            <w:pPr>
              <w:keepNext/>
            </w:pPr>
            <w:r>
              <w:t xml:space="preserve">Fichier</w:t>
            </w:r>
          </w:p>
        </w:tc>
        <w:tc>
          <w:tcPr>
            <w:tcW w:w="3570" w:type="dxa"/>
          </w:tcPr>
          <w:p>
            <w:pPr>
              <w:keepNext/>
            </w:pPr>
            <w:r>
              <w:t xml:space="preserve">Contenu</w:t>
            </w:r>
          </w:p>
        </w:tc>
        <w:tc>
          <w:tcPr>
            <w:tcW w:w="2750" w:type="dxa"/>
          </w:tcPr>
          <w:p>
            <w:pPr>
              <w:keepNext/>
            </w:pPr>
            <w:r>
              <w:t xml:space="preserve">Lu par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datacard_header.md</w:t>
            </w:r>
          </w:p>
        </w:tc>
        <w:tc>
          <w:tcPr>
            <w:tcW w:w="3570" w:type="dxa"/>
          </w:tcPr>
          <w:p>
            <w:pPr>
              <w:keepNext/>
            </w:pPr>
            <w:r>
              <w:t xml:space="preserve">Entête de la datacard : provenance, collecte, usages, limites, éthique</w:t>
            </w:r>
          </w:p>
        </w:tc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generate_datacard.py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datacard_config.json</w:t>
            </w:r>
          </w:p>
        </w:tc>
        <w:tc>
          <w:tcPr>
            <w:tcW w:w="3570" w:type="dxa"/>
          </w:tcPr>
          <w:p>
            <w:pPr>
              <w:keepNext/>
            </w:pPr>
            <w:r>
              <w:t xml:space="preserve">Description et rôle de chaque colonne, règles métier vérifiées</w:t>
            </w:r>
          </w:p>
        </w:tc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generate_datacard.py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model_card_header.md</w:t>
            </w:r>
          </w:p>
        </w:tc>
        <w:tc>
          <w:tcPr>
            <w:tcW w:w="3570" w:type="dxa"/>
          </w:tcPr>
          <w:p>
            <w:pPr>
              <w:keepNext/>
            </w:pPr>
            <w:r>
              <w:t xml:space="preserve">Entête de la model card : usage prévu, données, critères, limites</w:t>
            </w:r>
          </w:p>
        </w:tc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generate_model_card.py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model_card_config.json</w:t>
            </w:r>
          </w:p>
        </w:tc>
        <w:tc>
          <w:tcPr>
            <w:tcW w:w="3570" w:type="dxa"/>
          </w:tcPr>
          <w:p>
            <w:pPr>
              <w:keepNext/>
            </w:pPr>
            <w:r>
              <w:t xml:space="preserve">Critères de validation, explication des algorithmes, noms des hyperparamètres</w:t>
            </w:r>
          </w:p>
        </w:tc>
        <w:tc>
          <w:tcPr>
            <w:tcW w:w="2750" w:type="dxa"/>
          </w:tcPr>
          <w:p>
            <w:pPr>
              <w:keepNext/>
            </w:pPr>
            <w:r>
              <w:rPr>
                <w:rStyle w:val="CodeEnLigne"/>
              </w:rPr>
              <w:t xml:space="preserve">generate_model_card.py</w:t>
            </w:r>
          </w:p>
        </w:tc>
      </w:tr>
      <w:tr>
        <w:trPr>
          <w:cantSplit/>
        </w:trPr>
        <w:tc>
          <w:tcPr>
            <w:tcW w:w="2750" w:type="dxa"/>
          </w:tcPr>
          <w:p>
            <w:r>
              <w:rPr>
                <w:rStyle w:val="CodeEnLigne"/>
              </w:rPr>
              <w:t xml:space="preserve">requirements.txt</w:t>
            </w:r>
          </w:p>
        </w:tc>
        <w:tc>
          <w:tcPr>
            <w:tcW w:w="3570" w:type="dxa"/>
          </w:tcPr>
          <w:p>
            <w:r>
              <w:t xml:space="preserve">Bibliothèques et intervalles de versions</w:t>
            </w:r>
          </w:p>
        </w:tc>
        <w:tc>
          <w:tcPr>
            <w:tcW w:w="2750" w:type="dxa"/>
          </w:tcPr>
          <w:p>
            <w:r>
              <w:rPr>
                <w:rStyle w:val="CodeEnLigne"/>
              </w:rPr>
              <w:t xml:space="preserve">pip</w:t>
            </w:r>
          </w:p>
        </w:tc>
      </w:tr>
    </w:tbl>
    <w:p>
      <w:pPr>
        <w:spacing w:before="0" w:after="0" w:line="160" w:lineRule="exact"/>
      </w:pPr>
    </w:p>
    <w:p>
      <w:pPr>
        <w:pStyle w:val="Heading2"/>
      </w:pPr>
      <w:bookmarkStart w:id="1040" w:name="_Toc034952894"/>
      <w:r>
        <w:t xml:space="preserve">Maintenance</w:t>
      </w:r>
      <w:bookmarkEnd w:id="1040"/>
    </w:p>
    <w:p>
      <w:pPr>
        <w:pStyle w:val="ListBullet"/>
      </w:pPr>
      <w:r>
        <w:rPr>
          <w:b/>
          <w:bCs/>
        </w:rPr>
        <w:t xml:space="preserve">Nouveau batch de données</w:t>
      </w:r>
      <w:r>
        <w:t xml:space="preserve"> : déposer le fichier dans </w:t>
      </w:r>
      <w:r>
        <w:rPr>
          <w:rStyle w:val="CodeEnLigne"/>
        </w:rPr>
        <w:t xml:space="preserve">data/raw/</w:t>
      </w:r>
      <w:r>
        <w:t xml:space="preserve">, générer sa datacard (</w:t>
      </w:r>
      <w:r>
        <w:rPr>
          <w:rStyle w:val="CodeEnLigne"/>
        </w:rPr>
        <w:t xml:space="preserve">python generate_datacard.py --source data/raw/&lt;fichier&gt;</w:t>
      </w:r>
      <w:r>
        <w:t xml:space="preserve">), puis relancer le nettoyage (</w:t>
      </w:r>
      <w:r>
        <w:rPr>
          <w:rStyle w:val="CodeEnLigne"/>
        </w:rPr>
        <w:t xml:space="preserve">python clean_data.py --input data/raw/&lt;fichier&gt;</w:t>
      </w:r>
      <w:r>
        <w:t xml:space="preserve">) et la suite (</w:t>
      </w:r>
      <w:r>
        <w:rPr>
          <w:rStyle w:val="CodeEnLigne"/>
        </w:rPr>
        <w:t xml:space="preserve">python run_pipeline.py --from train</w:t>
      </w:r>
      <w:r>
        <w:t xml:space="preserve">). La section « Évolution » de la datacard signale les changements.</w:t>
      </w:r>
    </w:p>
    <w:p>
      <w:pPr>
        <w:pStyle w:val="ListBullet"/>
      </w:pPr>
      <w:r>
        <w:rPr>
          <w:b/>
          <w:bCs/>
        </w:rPr>
        <w:t xml:space="preserve">Mise à jour des bibliothèques</w:t>
      </w:r>
      <w:r>
        <w:t xml:space="preserve"> : </w:t>
      </w:r>
      <w:r>
        <w:rPr>
          <w:rStyle w:val="CodeEnLigne"/>
        </w:rPr>
        <w:t xml:space="preserve">requirements.txt</w:t>
      </w:r>
      <w:r>
        <w:t xml:space="preserve"> fixe des intervalles de versions. La chaîne a été vérifiée avec Python 3.11 et 3.13, scikit-learn 1.8 et 1.9, pandas 3.0 ; après une mise à jour, relancer la chaîne et comparer </w:t>
      </w:r>
      <w:r>
        <w:rPr>
          <w:rStyle w:val="CodeEnLigne"/>
        </w:rPr>
        <w:t xml:space="preserve">reports/metrics.json</w:t>
      </w:r>
      <w:r>
        <w:t xml:space="preserve">.</w:t>
      </w:r>
    </w:p>
    <w:p>
      <w:pPr>
        <w:pStyle w:val="ListBullet"/>
        <w:spacing w:after="160"/>
      </w:pPr>
      <w:r>
        <w:rPr>
          <w:b/>
          <w:bCs/>
        </w:rPr>
        <w:t xml:space="preserve">Règle du dépôt</w:t>
      </w:r>
      <w:r>
        <w:t xml:space="preserve"> : ne jamais versionner un fichier produit par la chaîne ; si </w:t>
      </w:r>
      <w:r>
        <w:rPr>
          <w:rStyle w:val="CodeEnLigne"/>
        </w:rPr>
        <w:t xml:space="preserve">git status</w:t>
      </w:r>
      <w:r>
        <w:t xml:space="preserve"> en affiche un, compléter </w:t>
      </w:r>
      <w:r>
        <w:rPr>
          <w:rStyle w:val="CodeEnLigne"/>
        </w:rPr>
        <w:t xml:space="preserve">.gitignore</w:t>
      </w:r>
      <w:r>
        <w:t xml:space="preserve">.</w:t>
      </w:r>
    </w:p>
    <w:p>
      <w:pPr>
        <w:pStyle w:val="Heading1"/>
      </w:pPr>
      <w:bookmarkStart w:id="1041" w:name="_Toc035797576"/>
      <w:r>
        <w:t xml:space="preserve">Annexes</w:t>
      </w:r>
      <w:bookmarkEnd w:id="1041"/>
    </w:p>
    <w:p>
      <w:pPr>
        <w:pStyle w:val="Heading2"/>
      </w:pPr>
      <w:bookmarkStart w:id="1042" w:name="_Toc036061762"/>
      <w:r>
        <w:t xml:space="preserve">Glossaire</w:t>
      </w:r>
      <w:bookmarkEnd w:id="1042"/>
    </w:p>
    <w:tbl>
      <w:tblPr>
        <w:tblStyle w:val="TableauProjet"/>
        <w:tblW w:w="9070" w:type="dxa"/>
        <w:tblLayout w:type="fixed"/>
        <w:tblLook w:val="04A0" w:firstRow="1" w:lastRow="0" w:firstColumn="0" w:lastColumn="0" w:noHBand="0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pPr>
              <w:keepNext/>
            </w:pPr>
            <w:r>
              <w:t xml:space="preserve">Terme</w:t>
            </w:r>
          </w:p>
        </w:tc>
        <w:tc>
          <w:tcPr>
            <w:tcW w:w="6670" w:type="dxa"/>
          </w:tcPr>
          <w:p>
            <w:pPr>
              <w:keepNext/>
            </w:pPr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AUC</w:t>
            </w:r>
          </w:p>
        </w:tc>
        <w:tc>
          <w:tcPr>
            <w:tcW w:w="6670" w:type="dxa"/>
          </w:tcPr>
          <w:p>
            <w:r>
              <w:t xml:space="preserve">Aire sous la courbe ROC : probabilité qu'une partie gagnée par l'équipe bleue reçoive une probabilité plus haute qu'une partie perdue. 0,5 correspond au hasard, 1 à un classement parfait.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Bootstrap apparié</w:t>
            </w:r>
          </w:p>
        </w:tc>
        <w:tc>
          <w:tcPr>
            <w:tcW w:w="6670" w:type="dxa"/>
          </w:tcPr>
          <w:p>
            <w:r>
              <w:t xml:space="preserve">Rééchantillonnage du jeu de test, identique pour tous les modèles, qui donne un intervalle de confiance sur l'écart entre deux modèles.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Calibration</w:t>
            </w:r>
          </w:p>
        </w:tc>
        <w:tc>
          <w:tcPr>
            <w:tcW w:w="6670" w:type="dxa"/>
          </w:tcPr>
          <w:p>
            <w:r>
              <w:t xml:space="preserve">Accord entre la probabilité annoncée et la fréquence observée.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Datacard</w:t>
            </w:r>
          </w:p>
        </w:tc>
        <w:tc>
          <w:tcPr>
            <w:tcW w:w="6670" w:type="dxa"/>
          </w:tcPr>
          <w:p>
            <w:r>
              <w:t xml:space="preserve">Fiche qui documente un jeu de données : origine, contenu, qualité, limites.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Erreur standard</w:t>
            </w:r>
          </w:p>
        </w:tc>
        <w:tc>
          <w:tcPr>
            <w:tcW w:w="6670" w:type="dxa"/>
          </w:tcPr>
          <w:p>
            <w:r>
              <w:t xml:space="preserve">Incertitude sur une moyenne ; ici, sur la log loss de validation croisée.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Lineage</w:t>
            </w:r>
          </w:p>
        </w:tc>
        <w:tc>
          <w:tcPr>
            <w:tcW w:w="6670" w:type="dxa"/>
          </w:tcPr>
          <w:p>
            <w:r>
              <w:t xml:space="preserve">Traçabilité des transformations, du fichier brut au dataset d'entraînement.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Log loss</w:t>
            </w:r>
          </w:p>
        </w:tc>
        <w:tc>
          <w:tcPr>
            <w:tcW w:w="6670" w:type="dxa"/>
          </w:tcPr>
          <w:p>
            <w:r>
              <w:t xml:space="preserve">Pénalité moyenne d'une probabilité fausse, d'autant plus forte qu'elle est annoncée avec assurance. 0,693 correspond au hasard ; plus bas, c'est mieux.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Model card</w:t>
            </w:r>
          </w:p>
        </w:tc>
        <w:tc>
          <w:tcPr>
            <w:tcW w:w="6670" w:type="dxa"/>
          </w:tcPr>
          <w:p>
            <w:r>
              <w:t xml:space="preserve">Fiche qui documente un modèle : usage, données, entraînement, performances, limites.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Monstre épique</w:t>
            </w:r>
          </w:p>
        </w:tc>
        <w:tc>
          <w:tcPr>
            <w:tcW w:w="6670" w:type="dxa"/>
          </w:tcPr>
          <w:p>
            <w:r>
              <w:t xml:space="preserve">Dragon ou Héraut de la Faille : objectif neutre qui renforce l'équipe qui le tue.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Score de Brier</w:t>
            </w:r>
          </w:p>
        </w:tc>
        <w:tc>
          <w:tcPr>
            <w:tcW w:w="6670" w:type="dxa"/>
          </w:tcPr>
          <w:p>
            <w:r>
              <w:t xml:space="preserve">Erreur quadratique moyenne entre la probabilité annoncée et l'issue (0 ou 1).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Surapprentissage</w:t>
            </w:r>
          </w:p>
        </w:tc>
        <w:tc>
          <w:tcPr>
            <w:tcW w:w="6670" w:type="dxa"/>
          </w:tcPr>
          <w:p>
            <w:r>
              <w:t xml:space="preserve">Modèle qui apprend les données d'apprentissage par cœur et se trompe sur des données nouvelles.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b/>
                <w:bCs/>
              </w:rPr>
              <w:t xml:space="preserve">Validation croisée</w:t>
            </w:r>
          </w:p>
        </w:tc>
        <w:tc>
          <w:tcPr>
            <w:tcW w:w="6670" w:type="dxa"/>
          </w:tcPr>
          <w:p>
            <w:r>
              <w:t xml:space="preserve">Découpage de l'apprentissage en 5 parts, chacune servant tour à tour de validation, pour choisir les hyperparamètres sans toucher au test.</w:t>
            </w:r>
          </w:p>
        </w:tc>
      </w:tr>
    </w:tbl>
    <w:p>
      <w:pPr>
        <w:spacing w:before="0" w:after="0" w:line="160" w:lineRule="exact"/>
      </w:pPr>
    </w:p>
    <w:p>
      <w:pPr>
        <w:pStyle w:val="Heading2"/>
      </w:pPr>
      <w:bookmarkStart w:id="1043" w:name="_Toc037649995"/>
      <w:r>
        <w:t xml:space="preserve">Références</w:t>
      </w:r>
      <w:bookmarkEnd w:id="1043"/>
    </w:p>
    <w:p>
      <w:pPr>
        <w:pStyle w:val="ListBullet"/>
      </w:pPr>
      <w:hyperlink r:id="rId27" w:history="1">
        <w:r>
          <w:rPr>
            <w:rStyle w:val="Hyperlink"/>
          </w:rPr>
          <w:t xml:space="preserve">OpenML, jeu de données 43635</w:t>
        </w:r>
      </w:hyperlink>
    </w:p>
    <w:p>
      <w:pPr>
        <w:pStyle w:val="ListBullet"/>
      </w:pPr>
      <w:hyperlink r:id="rId28" w:history="1">
        <w:r>
          <w:rPr>
            <w:rStyle w:val="Hyperlink"/>
          </w:rPr>
          <w:t xml:space="preserve">Kaggle, League of Legends Diamond Games (First 15 Minutes)</w:t>
        </w:r>
      </w:hyperlink>
    </w:p>
    <w:p>
      <w:pPr>
        <w:pStyle w:val="ListBullet"/>
      </w:pPr>
      <w:hyperlink r:id="rId29" w:history="1">
        <w:r>
          <w:rPr>
            <w:rStyle w:val="Hyperlink"/>
          </w:rPr>
          <w:t xml:space="preserve">Documentation de scikit-learn</w:t>
        </w:r>
      </w:hyperlink>
    </w:p>
    <w:p>
      <w:pPr>
        <w:pStyle w:val="ListBullet"/>
        <w:spacing w:after="160"/>
      </w:pPr>
      <w:hyperlink r:id="rId30" w:history="1">
        <w:r>
          <w:rPr>
            <w:rStyle w:val="Hyperlink"/>
          </w:rPr>
          <w:t xml:space="preserve">Riot Developer Portal, documentation League of Legends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  <w:font w:name="Courier New">
    <w:panose1 w:val="02070309020205020404"/>
    <w:charset w:val="00"/>
    <w:family w:val="modern"/>
    <w:pitch w:val="fixed"/>
  </w:font>
  <w:font w:name="Wingdings">
    <w:panose1 w:val="05000000000000000000"/>
    <w:charset w:val="02"/>
    <w:family w:val="auto"/>
    <w:pitch w:val="variable"/>
  </w:font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sdt>
      <w:sdtPr>
        <w:alias w:val="Auteur"/>
        <w:tag w:val="creator"/>
        <w:id w:val="104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t xml:space="preserve">Louis</w:t>
        </w:r>
      </w:sdtContent>
    </w:sdt>
    <w:r>
      <w:t xml:space="preserve"> · EPSI, 2026-2027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sur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after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Projet LoL Diamond · 15 minutes</w:t>
    </w:r>
    <w:r>
      <w:tab/>
    </w:r>
    <w:sdt>
      <w:sdtPr>
        <w:alias w:val="Titre"/>
        <w:tag w:val="title"/>
        <w:id w:val="104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 xml:space="preserve">Documentation technique</w:t>
        </w:r>
      </w:sdtContent>
    </w:sdt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after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nsid w:val="5A1C2B30"/>
    <w:multiLevelType w:val="multilevel"/>
    <w:tmpl w:val="03B2C1A5"/>
    <w:name w:val="Parties numérotées"/>
    <w:lvl w:ilvl="0">
      <w:start w:val="1"/>
      <w:numFmt w:val="decimal"/>
      <w:pStyle w:val="Heading1"/>
      <w:suff w:val="space"/>
      <w:lvlText w:val="Partie %1 :"/>
      <w:lvlJc w:val="left"/>
      <w:pPr>
        <w:ind w:left="0" w:firstLine="0"/>
      </w:pPr>
      <w:rPr>
        <w:color w:val="2A78D6" w:themeColor="accent1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color w:val="2A78D6" w:themeColor="accent1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color w:val="2A78D6" w:themeColor="accent1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">
    <w:nsid w:val="3B7E4D21"/>
    <w:multiLevelType w:val="multilevel"/>
    <w:tmpl w:val="12D4E7B3"/>
    <w:name w:val="Puces du modèle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cs="Calibri"/>
        <w:color w:val="2A78D6" w:themeColor="accent1"/>
      </w:rPr>
    </w:lvl>
    <w:lvl w:ilvl="1">
      <w:start w:val="1"/>
      <w:numFmt w:val="bullet"/>
      <w:pStyle w:val="ListBullet2"/>
      <w:lvlText w:val="o"/>
      <w:lvlJc w:val="left"/>
      <w:pPr>
        <w:ind w:left="714" w:hanging="357"/>
      </w:pPr>
      <w:rPr>
        <w:rFonts w:ascii="Courier New" w:hAnsi="Courier New" w:cs="Courier New"/>
        <w:color w:val="2A78D6" w:themeColor="accent1"/>
      </w:rPr>
    </w:lvl>
    <w:lvl w:ilvl="2">
      <w:start w:val="1"/>
      <w:numFmt w:val="bullet"/>
      <w:lvlText w:val="§"/>
      <w:lvlJc w:val="left"/>
      <w:pPr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1428" w:hanging="357"/>
      </w:pPr>
    </w:lvl>
    <w:lvl w:ilvl="4">
      <w:start w:val="1"/>
      <w:numFmt w:val="bullet"/>
      <w:lvlText w:val="•"/>
      <w:lvlJc w:val="left"/>
      <w:pPr>
        <w:ind w:left="1785" w:hanging="357"/>
      </w:pPr>
    </w:lvl>
    <w:lvl w:ilvl="5">
      <w:start w:val="1"/>
      <w:numFmt w:val="bullet"/>
      <w:lvlText w:val="•"/>
      <w:lvlJc w:val="left"/>
      <w:pPr>
        <w:ind w:left="2142" w:hanging="357"/>
      </w:pPr>
    </w:lvl>
    <w:lvl w:ilvl="6">
      <w:start w:val="1"/>
      <w:numFmt w:val="bullet"/>
      <w:lvlText w:val="•"/>
      <w:lvlJc w:val="left"/>
      <w:pPr>
        <w:ind w:left="2499" w:hanging="357"/>
      </w:pPr>
    </w:lvl>
    <w:lvl w:ilvl="7">
      <w:start w:val="1"/>
      <w:numFmt w:val="bullet"/>
      <w:lvlText w:val="•"/>
      <w:lvlJc w:val="left"/>
      <w:pPr>
        <w:ind w:left="2856" w:hanging="357"/>
      </w:pPr>
    </w:lvl>
    <w:lvl w:ilvl="8">
      <w:start w:val="1"/>
      <w:numFmt w:val="bullet"/>
      <w:lvlText w:val="•"/>
      <w:lvlJc w:val="left"/>
      <w:pPr>
        <w:ind w:left="3213" w:hanging="357"/>
      </w:pPr>
    </w:lvl>
  </w:abstractNum>
  <w:abstractNum w:abstractNumId="2">
    <w:nsid w:val="6C2F1A94"/>
    <w:multiLevelType w:val="multilevel"/>
    <w:tmpl w:val="49A1F2C6"/>
    <w:name w:val="Étapes numérotées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b/>
        <w:bCs/>
        <w:color w:val="2A78D6" w:themeColor="accent1"/>
      </w:rPr>
    </w:lvl>
    <w:lvl w:ilvl="1">
      <w:start w:val="1"/>
      <w:numFmt w:val="lowerLetter"/>
      <w:lvlText w:val="%2)"/>
      <w:lvlJc w:val="left"/>
      <w:pPr>
        <w:ind w:left="714" w:hanging="357"/>
      </w:pPr>
    </w:lvl>
    <w:lvl w:ilvl="2">
      <w:start w:val="1"/>
      <w:numFmt w:val="decimal"/>
      <w:lvlText w:val="%3."/>
      <w:lvlJc w:val="left"/>
      <w:pPr>
        <w:ind w:left="1071" w:hanging="357"/>
      </w:pPr>
    </w:lvl>
    <w:lvl w:ilvl="3">
      <w:start w:val="1"/>
      <w:numFmt w:val="decimal"/>
      <w:lvlText w:val="%4."/>
      <w:lvlJc w:val="left"/>
      <w:pPr>
        <w:ind w:left="1428" w:hanging="357"/>
      </w:pPr>
    </w:lvl>
    <w:lvl w:ilvl="4">
      <w:start w:val="1"/>
      <w:numFmt w:val="decimal"/>
      <w:lvlText w:val="%5."/>
      <w:lvlJc w:val="left"/>
      <w:pPr>
        <w:ind w:left="1785" w:hanging="357"/>
      </w:pPr>
    </w:lvl>
    <w:lvl w:ilvl="5">
      <w:start w:val="1"/>
      <w:numFmt w:val="decimal"/>
      <w:lvlText w:val="%6."/>
      <w:lvlJc w:val="left"/>
      <w:pPr>
        <w:ind w:left="2142" w:hanging="357"/>
      </w:pPr>
    </w:lvl>
    <w:lvl w:ilvl="6">
      <w:start w:val="1"/>
      <w:numFmt w:val="decimal"/>
      <w:lvlText w:val="%7."/>
      <w:lvlJc w:val="left"/>
      <w:pPr>
        <w:ind w:left="2499" w:hanging="357"/>
      </w:pPr>
    </w:lvl>
    <w:lvl w:ilvl="7">
      <w:start w:val="1"/>
      <w:numFmt w:val="decimal"/>
      <w:lvlText w:val="%8."/>
      <w:lvlJc w:val="left"/>
      <w:pPr>
        <w:ind w:left="2856" w:hanging="357"/>
      </w:pPr>
    </w:lvl>
    <w:lvl w:ilvl="8">
      <w:start w:val="1"/>
      <w:numFmt w:val="decimal"/>
      <w:lvlText w:val="%9."/>
      <w:lvlJc w:val="left"/>
      <w:pPr>
        <w:ind w:left="3213" w:hanging="357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numId w:val="1"/>
      </w:numPr>
      <w:pBdr>
        <w:bottom w:val="single" w:sz="8" w:space="6" w:color="2A78D6" w:themeColor="accent1"/>
      </w:pBdr>
      <w:spacing w:before="0" w:after="320" w:line="240" w:lineRule="auto"/>
      <w:outlineLvl w:val="0"/>
    </w:pPr>
    <w:rPr>
      <w:rFonts w:asciiTheme="majorHAnsi" w:eastAsiaTheme="majorEastAsia" w:hAnsiTheme="majorHAnsi" w:cstheme="majorBidi"/>
      <w:b/>
      <w:bCs/>
      <w:color w:val="1F2A44" w:themeColor="tex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1F2A44" w:themeColor="text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24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2A44" w:themeColor="text2"/>
      <w:sz w:val="24"/>
      <w:szCs w:val="24"/>
    </w:rPr>
  </w:style>
  <w:style w:type="paragraph" w:customStyle="1" w:styleId="Surtitre">
    <w:name w:val="Surtitre"/>
    <w:basedOn w:val="Normal"/>
    <w:next w:val="Title"/>
    <w:uiPriority w:val="10"/>
    <w:qFormat/>
    <w:pPr>
      <w:pBdr>
        <w:left w:val="single" w:sz="48" w:space="14" w:color="2A78D6" w:themeColor="accent1"/>
      </w:pBdr>
      <w:spacing w:before="3400" w:after="200"/>
      <w:ind w:left="340"/>
    </w:pPr>
    <w:rPr>
      <w:rFonts w:asciiTheme="majorHAnsi" w:eastAsiaTheme="majorEastAsia" w:hAnsiTheme="majorHAnsi" w:cstheme="majorBidi"/>
      <w:b/>
      <w:bCs/>
      <w:caps/>
      <w:color w:val="E34948" w:themeColor="accent2"/>
      <w:spacing w:val="30"/>
      <w:sz w:val="20"/>
      <w:szCs w:val="20"/>
    </w:rPr>
  </w:style>
  <w:style w:type="paragraph" w:styleId="Title">
    <w:name w:val="Title"/>
    <w:basedOn w:val="Normal"/>
    <w:next w:val="Subtitle"/>
    <w:uiPriority w:val="10"/>
    <w:qFormat/>
    <w:pPr>
      <w:pBdr>
        <w:left w:val="single" w:sz="48" w:space="14" w:color="2A78D6" w:themeColor="accent1"/>
      </w:pBdr>
      <w:spacing w:before="0" w:after="200" w:line="240" w:lineRule="auto"/>
      <w:ind w:left="340"/>
    </w:pPr>
    <w:rPr>
      <w:rFonts w:asciiTheme="majorHAnsi" w:eastAsiaTheme="majorEastAsia" w:hAnsiTheme="majorHAnsi" w:cstheme="majorBidi"/>
      <w:b/>
      <w:bCs/>
      <w:color w:val="1F2A44" w:themeColor="text2"/>
      <w:kern w:val="28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pBdr>
        <w:left w:val="single" w:sz="48" w:space="14" w:color="2A78D6" w:themeColor="accent1"/>
      </w:pBdr>
      <w:spacing w:before="0" w:after="0" w:line="264" w:lineRule="auto"/>
      <w:ind w:left="340"/>
    </w:pPr>
    <w:rPr>
      <w:color w:val="2A78D6" w:themeColor="accent1"/>
      <w:sz w:val="30"/>
      <w:szCs w:val="30"/>
    </w:rPr>
  </w:style>
  <w:style w:type="paragraph" w:customStyle="1" w:styleId="TitreResume">
    <w:name w:val="Résumé page de titre"/>
    <w:basedOn w:val="Normal"/>
    <w:uiPriority w:val="11"/>
    <w:qFormat/>
    <w:pPr>
      <w:spacing w:before="480" w:after="3000"/>
      <w:ind w:left="340" w:right="1134"/>
    </w:pPr>
    <w:rPr>
      <w:color w:val="52514E"/>
      <w:sz w:val="22"/>
      <w:szCs w:val="22"/>
    </w:rPr>
  </w:style>
  <w:style w:type="paragraph" w:customStyle="1" w:styleId="TitreSection">
    <w:name w:val="Titre non numéroté"/>
    <w:basedOn w:val="Normal"/>
    <w:next w:val="Normal"/>
    <w:uiPriority w:val="12"/>
    <w:qFormat/>
    <w:pPr>
      <w:keepNext/>
      <w:spacing w:before="0" w:after="200"/>
    </w:pPr>
    <w:rPr>
      <w:rFonts w:asciiTheme="majorHAnsi" w:eastAsiaTheme="majorEastAsia" w:hAnsiTheme="majorHAnsi" w:cstheme="majorBidi"/>
      <w:b/>
      <w:bCs/>
      <w:color w:val="1F2A44" w:themeColor="text2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pPr>
      <w:keepNext/>
      <w:spacing w:before="240" w:after="140"/>
    </w:pPr>
    <w:rPr>
      <w:rFonts w:asciiTheme="majorHAnsi" w:eastAsiaTheme="majorEastAsia" w:hAnsiTheme="majorHAnsi" w:cstheme="majorBidi"/>
      <w:b/>
      <w:bCs/>
      <w:color w:val="1F2A44" w:themeColor="text2"/>
      <w:sz w:val="32"/>
      <w:szCs w:val="32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070"/>
      </w:tabs>
      <w:spacing w:before="100" w:after="20" w:line="240" w:lineRule="auto"/>
    </w:pPr>
    <w:rPr>
      <w:b/>
      <w:bCs/>
      <w:color w:val="1F2A44" w:themeColor="text2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070"/>
      </w:tabs>
      <w:spacing w:before="0" w:after="10" w:line="240" w:lineRule="auto"/>
      <w:ind w:left="284"/>
    </w:pPr>
    <w:rPr>
      <w:sz w:val="21"/>
      <w:szCs w:val="21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070"/>
      </w:tabs>
      <w:spacing w:before="0" w:after="0" w:line="240" w:lineRule="auto"/>
      <w:ind w:left="567"/>
    </w:pPr>
    <w:rPr>
      <w:color w:val="52514E"/>
      <w:sz w:val="19"/>
      <w:szCs w:val="19"/>
    </w:rPr>
  </w:style>
  <w:style w:type="paragraph" w:styleId="Header">
    <w:name w:val="header"/>
    <w:basedOn w:val="Normal"/>
    <w:uiPriority w:val="99"/>
    <w:unhideWhenUsed/>
    <w:pPr>
      <w:pBdr>
        <w:bottom w:val="single" w:sz="4" w:space="4" w:color="C3C2B7"/>
      </w:pBdr>
      <w:tabs>
        <w:tab w:val="right" w:pos="9070"/>
      </w:tabs>
      <w:spacing w:after="0" w:line="240" w:lineRule="auto"/>
    </w:pPr>
    <w:rPr>
      <w:color w:val="6B6A65"/>
      <w:sz w:val="17"/>
      <w:szCs w:val="17"/>
    </w:rPr>
  </w:style>
  <w:style w:type="paragraph" w:styleId="Footer">
    <w:name w:val="footer"/>
    <w:basedOn w:val="Normal"/>
    <w:uiPriority w:val="99"/>
    <w:unhideWhenUsed/>
    <w:pPr>
      <w:pBdr>
        <w:top w:val="single" w:sz="4" w:space="4" w:color="C3C2B7"/>
      </w:pBdr>
      <w:tabs>
        <w:tab w:val="right" w:pos="9070"/>
      </w:tabs>
      <w:spacing w:after="0" w:line="240" w:lineRule="auto"/>
    </w:pPr>
    <w:rPr>
      <w:color w:val="6B6A65"/>
      <w:sz w:val="17"/>
      <w:szCs w:val="17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60" w:after="240" w:line="240" w:lineRule="auto"/>
    </w:pPr>
    <w:rPr>
      <w:color w:val="1F2A44" w:themeColor="text2"/>
      <w:sz w:val="18"/>
      <w:szCs w:val="18"/>
    </w:rPr>
  </w:style>
  <w:style w:type="paragraph" w:customStyle="1" w:styleId="Figure">
    <w:name w:val="Figure"/>
    <w:basedOn w:val="Normal"/>
    <w:next w:val="Caption"/>
    <w:uiPriority w:val="35"/>
    <w:qFormat/>
    <w:pPr>
      <w:keepNext/>
      <w:spacing w:before="160" w:after="60" w:line="240" w:lineRule="auto"/>
      <w:jc w:val="center"/>
    </w:p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spacing w:after="60"/>
    </w:pPr>
  </w:style>
  <w:style w:type="paragraph" w:styleId="ListBullet2">
    <w:name w:val="List Bullet 2"/>
    <w:basedOn w:val="Normal"/>
    <w:uiPriority w:val="99"/>
    <w:unhideWhenUsed/>
    <w:pPr>
      <w:numPr>
        <w:ilvl w:val="1"/>
        <w:numId w:val="2"/>
      </w:numPr>
      <w:spacing w:after="40"/>
    </w:p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spacing w:after="80"/>
    </w:pPr>
  </w:style>
  <w:style w:type="paragraph" w:customStyle="1" w:styleId="Code">
    <w:name w:val="Code"/>
    <w:basedOn w:val="Normal"/>
    <w:uiPriority w:val="20"/>
    <w:qFormat/>
    <w:pPr>
      <w:keepLines/>
      <w:pBdr>
        <w:top w:val="single" w:sz="4" w:space="4" w:color="DAD8CF"/>
        <w:left w:val="single" w:sz="4" w:space="4" w:color="DAD8CF"/>
        <w:bottom w:val="single" w:sz="4" w:space="4" w:color="DAD8CF"/>
        <w:right w:val="single" w:sz="4" w:space="4" w:color="DAD8CF"/>
      </w:pBdr>
      <w:shd w:val="clear" w:color="auto" w:fill="F2F1EC" w:themeFill="background2"/>
      <w:spacing w:before="0" w:after="0" w:line="240" w:lineRule="auto"/>
      <w:ind w:left="113" w:right="113"/>
    </w:pPr>
    <w:rPr>
      <w:rFonts w:ascii="Consolas" w:hAnsi="Consolas" w:cs="Consolas"/>
      <w:noProof/>
      <w:color w:val="1F2A44" w:themeColor="text2"/>
      <w:sz w:val="18"/>
      <w:szCs w:val="18"/>
    </w:rPr>
  </w:style>
  <w:style w:type="paragraph" w:customStyle="1" w:styleId="CodeTitre">
    <w:name w:val="Titre de code"/>
    <w:basedOn w:val="Normal"/>
    <w:next w:val="Code"/>
    <w:uiPriority w:val="20"/>
    <w:qFormat/>
    <w:pPr>
      <w:keepNext/>
      <w:spacing w:before="120" w:after="60"/>
    </w:pPr>
    <w:rPr>
      <w:b/>
      <w:bCs/>
      <w:color w:val="2A78D6" w:themeColor="accent1"/>
      <w:sz w:val="18"/>
      <w:szCs w:val="18"/>
    </w:rPr>
  </w:style>
  <w:style w:type="character" w:customStyle="1" w:styleId="CodeEnLigne">
    <w:name w:val="Code en ligne"/>
    <w:basedOn w:val="DefaultParagraphFont"/>
    <w:uiPriority w:val="20"/>
    <w:qFormat/>
    <w:rPr>
      <w:rFonts w:ascii="Consolas" w:hAnsi="Consolas" w:cs="Consolas"/>
      <w:noProof/>
      <w:color w:val="1F2A44" w:themeColor="text2"/>
      <w:sz w:val="19"/>
      <w:szCs w:val="19"/>
      <w:shd w:val="clear" w:color="auto" w:fill="F2F1EC" w:themeFill="background2"/>
    </w:rPr>
  </w:style>
  <w:style w:type="paragraph" w:customStyle="1" w:styleId="EncadreNote">
    <w:name w:val="Encadré note"/>
    <w:basedOn w:val="Normal"/>
    <w:uiPriority w:val="21"/>
    <w:qFormat/>
    <w:pPr>
      <w:keepLines/>
      <w:pBdr>
        <w:left w:val="single" w:sz="24" w:space="10" w:color="2A78D6" w:themeColor="accent1"/>
      </w:pBdr>
      <w:shd w:val="clear" w:color="auto" w:fill="EAF1FB" w:themeFill="accent1" w:themeFillTint="1A"/>
      <w:spacing w:before="120" w:after="120"/>
      <w:ind w:left="198" w:right="113"/>
    </w:pPr>
  </w:style>
  <w:style w:type="paragraph" w:customStyle="1" w:styleId="EncadreAttention">
    <w:name w:val="Encadré attention"/>
    <w:basedOn w:val="Normal"/>
    <w:uiPriority w:val="21"/>
    <w:qFormat/>
    <w:pPr>
      <w:keepLines/>
      <w:pBdr>
        <w:left w:val="single" w:sz="24" w:space="10" w:color="E34948" w:themeColor="accent2"/>
      </w:pBdr>
      <w:shd w:val="clear" w:color="auto" w:fill="FCEDED" w:themeFill="accent2" w:themeFillTint="1A"/>
      <w:spacing w:before="120" w:after="120"/>
      <w:ind w:left="198" w:right="113"/>
    </w:pPr>
  </w:style>
  <w:style w:type="paragraph" w:customStyle="1" w:styleId="EncadreResultat">
    <w:name w:val="Encadré résultat attendu"/>
    <w:basedOn w:val="Normal"/>
    <w:uiPriority w:val="21"/>
    <w:qFormat/>
    <w:pPr>
      <w:keepLines/>
      <w:pBdr>
        <w:left w:val="single" w:sz="24" w:space="10" w:color="1BAF7A" w:themeColor="accent3"/>
      </w:pBdr>
      <w:shd w:val="clear" w:color="auto" w:fill="E8F7F2" w:themeFill="accent3" w:themeFillTint="1A"/>
      <w:spacing w:before="120" w:after="120"/>
      <w:ind w:left="198" w:right="113"/>
    </w:pPr>
  </w:style>
  <w:style w:type="paragraph" w:customStyle="1" w:styleId="Consigne">
    <w:name w:val="Consigne (brouillon)"/>
    <w:basedOn w:val="Normal"/>
    <w:uiPriority w:val="22"/>
    <w:qFormat/>
    <w:rPr>
      <w:i/>
      <w:iCs/>
      <w:color w:val="898781" w:themeColor="accent6"/>
    </w:rPr>
  </w:style>
  <w:style w:type="character" w:styleId="Hyperlink">
    <w:name w:val="Hyperlink"/>
    <w:basedOn w:val="DefaultParagraphFont"/>
    <w:uiPriority w:val="99"/>
    <w:unhideWhenUsed/>
    <w:rPr>
      <w:color w:val="1C5CAB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4A3AA7" w:themeColor="followedHyperlink"/>
      <w:u w:val="single"/>
    </w:rPr>
  </w:style>
  <w:style w:type="table" w:customStyle="1" w:styleId="TableauProjet">
    <w:name w:val="Tableau projet"/>
    <w:basedOn w:val="TableNormal"/>
    <w:uiPriority w:val="40"/>
    <w:pPr>
      <w:spacing w:before="40" w:after="40" w:line="240" w:lineRule="auto"/>
    </w:pPr>
    <w:rPr>
      <w:sz w:val="19"/>
      <w:szCs w:val="19"/>
    </w:rPr>
    <w:tblPr>
      <w:tblStyleRowBandSize w:val="1"/>
      <w:tblBorders>
        <w:top w:val="single" w:sz="8" w:space="0" w:color="1F2A44" w:themeColor="text2"/>
        <w:bottom w:val="single" w:sz="8" w:space="0" w:color="1F2A44" w:themeColor="text2"/>
        <w:insideH w:val="single" w:sz="4" w:space="0" w:color="DAD8CF"/>
      </w:tblBorders>
      <w:tblCellMar>
        <w:top w:w="45" w:type="dxa"/>
        <w:left w:w="100" w:type="dxa"/>
        <w:bottom w:w="45" w:type="dxa"/>
        <w:right w:w="100" w:type="dxa"/>
      </w:tblCellMar>
    </w:tblPr>
    <w:tblStylePr w:type="firstRow">
      <w:rPr>
        <w:b/>
        <w:bCs/>
        <w:color w:val="FFFFFF" w:themeColor="background1"/>
      </w:rPr>
      <w:tcPr>
        <w:shd w:val="clear" w:color="auto" w:fill="1F2A44" w:themeFill="text2"/>
      </w:tcPr>
    </w:tblStylePr>
    <w:tblStylePr w:type="band2Horz">
      <w:tcPr>
        <w:shd w:val="clear" w:color="auto" w:fill="F2F1EC" w:themeFill="background2"/>
      </w:tcPr>
    </w:tblStylePr>
  </w:style>
  <w:style w:type="table" w:customStyle="1" w:styleId="TableauMeta">
    <w:name w:val="Tableau métadonnées"/>
    <w:basedOn w:val="TableNormal"/>
    <w:uiPriority w:val="41"/>
    <w:pPr>
      <w:spacing w:before="70" w:after="70" w:line="240" w:lineRule="auto"/>
    </w:pPr>
    <w:rPr>
      <w:sz w:val="20"/>
      <w:szCs w:val="20"/>
    </w:rPr>
    <w:tblPr>
      <w:tblBorders>
        <w:top w:val="single" w:sz="12" w:space="0" w:color="E34948" w:themeColor="accent2"/>
        <w:bottom w:val="single" w:sz="4" w:space="0" w:color="C3C2B7"/>
        <w:insideH w:val="single" w:sz="4" w:space="0" w:color="DAD8CF"/>
      </w:tblBorders>
      <w:tblCellMar>
        <w:top w:w="0" w:type="dxa"/>
        <w:left w:w="100" w:type="dxa"/>
        <w:bottom w:w="0" w:type="dxa"/>
        <w:right w:w="100" w:type="dxa"/>
      </w:tblCellMar>
    </w:tblPr>
    <w:tblStylePr w:type="firstCol">
      <w:rPr>
        <w:b/>
        <w:bCs/>
        <w:color w:val="1F2A44" w:themeColor="text2"/>
      </w:rPr>
    </w:tblStyle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21" Type="http://schemas.openxmlformats.org/officeDocument/2006/relationships/hyperlink" Target="Support_onboarding.docx" TargetMode="External"/><Relationship Id="rId22" Type="http://schemas.openxmlformats.org/officeDocument/2006/relationships/hyperlink" Target="../DATACARD.md" TargetMode="External"/><Relationship Id="rId23" Type="http://schemas.openxmlformats.org/officeDocument/2006/relationships/hyperlink" Target="../LINEAGE.md" TargetMode="External"/><Relationship Id="rId24" Type="http://schemas.openxmlformats.org/officeDocument/2006/relationships/hyperlink" Target="../MODEL_CARD.md" TargetMode="External"/><Relationship Id="rId25" Type="http://schemas.openxmlformats.org/officeDocument/2006/relationships/hyperlink" Target="../exploration_lol_diamond_15min.ipynb" TargetMode="External"/><Relationship Id="rId26" Type="http://schemas.openxmlformats.org/officeDocument/2006/relationships/image" Target="media/image1.png"/><Relationship Id="rId27" Type="http://schemas.openxmlformats.org/officeDocument/2006/relationships/hyperlink" Target="https://www.openml.org/search?type=data&amp;status=active&amp;id=43635" TargetMode="External"/><Relationship Id="rId28" Type="http://schemas.openxmlformats.org/officeDocument/2006/relationships/hyperlink" Target="https://www.kaggle.com/datasets/benfattori/league-of-legends-diamond-games-first-15-minutes" TargetMode="External"/><Relationship Id="rId29" Type="http://schemas.openxmlformats.org/officeDocument/2006/relationships/hyperlink" Target="https://scikit-learn.org/stable/" TargetMode="External"/><Relationship Id="rId30" Type="http://schemas.openxmlformats.org/officeDocument/2006/relationships/hyperlink" Target="https://developer.riotgames.com/docs/lol" TargetMode="External"/></Relationships>
</file>

<file path=word/theme/theme1.xml><?xml version="1.0" encoding="utf-8"?>
<a:theme xmlns:a="http://schemas.openxmlformats.org/drawingml/2006/main" name="Documentation projet">
  <a:themeElements>
    <a:clrScheme name="Faille">
      <a:dk1>
        <a:sysClr val="windowText" lastClr="000000"/>
      </a:dk1>
      <a:lt1>
        <a:sysClr val="window" lastClr="FFFFFF"/>
      </a:lt1>
      <a:dk2>
        <a:srgbClr val="1F2A44"/>
      </a:dk2>
      <a:lt2>
        <a:srgbClr val="F2F1EC"/>
      </a:lt2>
      <a:accent1>
        <a:srgbClr val="2A78D6"/>
      </a:accent1>
      <a:accent2>
        <a:srgbClr val="E34948"/>
      </a:accent2>
      <a:accent3>
        <a:srgbClr val="1BAF7A"/>
      </a:accent3>
      <a:accent4>
        <a:srgbClr val="EDA100"/>
      </a:accent4>
      <a:accent5>
        <a:srgbClr val="4A3AA7"/>
      </a:accent5>
      <a:accent6>
        <a:srgbClr val="898781"/>
      </a:accent6>
      <a:hlink>
        <a:srgbClr val="1C5CAB"/>
      </a:hlink>
      <a:folHlink>
        <a:srgbClr val="4A3AA7"/>
      </a:folHlink>
    </a:clrScheme>
    <a:fontScheme name="Documentation projet">
      <a:majorFont>
        <a:latin typeface="Calibri" panose="020F05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Modele_documentation_projet.dotx</Template>
  <Company>EPSI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subject>Probabilité de victoire à 15 minutes, parties Diamant de League of Legends</dc:subject>
  <dc:creator>Louis</dc:creator>
  <cp:keywords>League of Legends; machine learning; OpenML 43635; documentation technique</cp:keywords>
  <dc:description>Architecture, données, modèle et scripts du projet de probabilité de victoire à 15 minutes.</dc:description>
  <cp:lastModifiedBy>Louis</cp:lastModifiedBy>
  <cp:revision>1</cp:revision>
  <dcterms:created xsi:type="dcterms:W3CDTF">2026-10-02T09:00:00Z</dcterms:created>
  <dcterms:modified xsi:type="dcterms:W3CDTF">2026-10-02T09:00:00Z</dcterms:modified>
  <cp:category>Documentation projet</cp:category>
  <cp:contentStatus>Version de travail</cp:contentStatus>
  <dc:language>fr-FR</dc:language>
</cp:coreProperties>
</file>