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3864"/>
          <w:sz w:val="72"/>
          <w:szCs w:val="72"/>
        </w:rPr>
        <w:t xml:space="preserve">MECHA</w:t>
      </w:r>
    </w:p>
    <w:p>
      <w:pPr>
        <w:spacing w:after="200" w:before="0"/>
        <w:jc w:val="center"/>
      </w:pPr>
      <w:r>
        <w:rPr>
          <w:rFonts w:ascii="Arial" w:cs="Arial" w:eastAsia="Arial" w:hAnsi="Arial"/>
          <w:color w:val="2E75B6"/>
          <w:sz w:val="36"/>
          <w:szCs w:val="36"/>
        </w:rPr>
        <w:t xml:space="preserve">Solution IA — Maintenance Prédictive</w:t>
      </w:r>
    </w:p>
    <w:p>
      <w:pPr>
        <w:pBdr>
          <w:bottom w:val="single" w:color="2E75B6" w:sz="8" w:space="1"/>
        </w:pBdr>
        <w:spacing w:after="300" w:before="0"/>
        <w:jc w:val="center"/>
      </w:pPr>
      <w:r>
        <w:t xml:space="preserve"/>
      </w:r>
    </w:p>
    <w:p>
      <w:pPr>
        <w:spacing w:after="120" w:before="300"/>
        <w:jc w:val="center"/>
      </w:pPr>
      <w:r>
        <w:rPr>
          <w:rFonts w:ascii="Arial" w:cs="Arial" w:eastAsia="Arial" w:hAnsi="Arial"/>
          <w:b/>
          <w:bCs/>
          <w:color w:val="1F3864"/>
          <w:sz w:val="40"/>
          <w:szCs w:val="40"/>
        </w:rPr>
        <w:t xml:space="preserve">Architecture de Déploiement</w:t>
      </w:r>
    </w:p>
    <w:p>
      <w:pPr>
        <w:spacing w:after="600" w:before="0"/>
        <w:jc w:val="center"/>
      </w:pPr>
      <w:r>
        <w:rPr>
          <w:rFonts w:ascii="Arial" w:cs="Arial" w:eastAsia="Arial" w:hAnsi="Arial"/>
          <w:i/>
          <w:iCs/>
          <w:color w:val="595959"/>
          <w:sz w:val="24"/>
          <w:szCs w:val="24"/>
        </w:rPr>
        <w:t xml:space="preserve">Docker · Docker Compose · Kubernetes / K3s · CI/CD</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95959"/>
                <w:sz w:val="22"/>
                <w:szCs w:val="22"/>
              </w:rPr>
              <w:t xml:space="preserve">Projet :</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MSPR TPRE822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95959"/>
                <w:sz w:val="22"/>
                <w:szCs w:val="22"/>
              </w:rPr>
              <w:t xml:space="preserve">Bloc :</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Bloc 2 — Concevoir une solution IA</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95959"/>
                <w:sz w:val="22"/>
                <w:szCs w:val="22"/>
              </w:rPr>
              <w:t xml:space="preserve">Certification :</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2"/>
                <w:szCs w:val="22"/>
              </w:rPr>
              <w:t xml:space="preserve">RNCP36582 — Chef de Projet Expert IA</w:t>
            </w:r>
          </w:p>
        </w:tc>
      </w:tr>
    </w:tbl>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F3864"/>
          <w:sz w:val="36"/>
          <w:szCs w:val="36"/>
        </w:rPr>
        <w:t xml:space="preserve">1. Introduction et contexte</w:t>
      </w:r>
    </w:p>
    <w:p>
      <w:pPr>
        <w:spacing w:after="100" w:before="80"/>
        <w:jc w:val="both"/>
      </w:pPr>
      <w:r>
        <w:rPr>
          <w:rFonts w:ascii="Arial" w:cs="Arial" w:eastAsia="Arial" w:hAnsi="Arial"/>
          <w:b w:val="false"/>
          <w:bCs w:val="false"/>
          <w:i w:val="false"/>
          <w:iCs w:val="false"/>
          <w:color w:val="1A1A1A"/>
          <w:sz w:val="22"/>
          <w:szCs w:val="22"/>
        </w:rPr>
        <w:t xml:space="preserve">Ce document décrit l'architecture de déploiement de la solution IA développée dans le cadre du projet MECHA (MSPR TPRE822). Il couvre deux niveaux distincts, conformément aux exigences du cahier des charges :</w:t>
      </w:r>
    </w:p>
    <w:p>
      <w:pPr>
        <w:pStyle w:val="ListParagraph"/>
        <w:numPr>
          <w:ilvl w:val="0"/>
          <w:numId w:val="2"/>
        </w:numPr>
        <w:spacing w:after="60" w:before="60"/>
      </w:pPr>
      <w:r>
        <w:rPr>
          <w:rFonts w:ascii="Arial" w:cs="Arial" w:eastAsia="Arial" w:hAnsi="Arial"/>
          <w:b w:val="false"/>
          <w:bCs w:val="false"/>
          <w:color w:val="1A1A1A"/>
          <w:sz w:val="22"/>
          <w:szCs w:val="22"/>
        </w:rPr>
        <w:t xml:space="preserve">Niveau 1 — Prototype fonctionnel : une configuration Docker Compose permettant d'exécuter la solution dans un environnement standardisé et reproductible.</w:t>
      </w:r>
    </w:p>
    <w:p>
      <w:pPr>
        <w:pStyle w:val="ListParagraph"/>
        <w:numPr>
          <w:ilvl w:val="0"/>
          <w:numId w:val="2"/>
        </w:numPr>
        <w:spacing w:after="60" w:before="60"/>
      </w:pPr>
      <w:r>
        <w:rPr>
          <w:rFonts w:ascii="Arial" w:cs="Arial" w:eastAsia="Arial" w:hAnsi="Arial"/>
          <w:b w:val="false"/>
          <w:bCs w:val="false"/>
          <w:color w:val="1A1A1A"/>
          <w:sz w:val="22"/>
          <w:szCs w:val="22"/>
        </w:rPr>
        <w:t xml:space="preserve">Niveau 2 — Projection industrielle : une architecture K3s (Kubernetes allégé) adaptée au déploiement multi-sites des cinq usines MECHA, accompagnée d'une chaîne CI/CD.</w:t>
      </w:r>
    </w:p>
    <w:p>
      <w:pPr>
        <w:spacing w:after="0" w:before="120"/>
      </w:pPr>
      <w:r>
        <w:t xml:space="preserve"/>
      </w:r>
    </w:p>
    <w:p>
      <w:pPr>
        <w:spacing w:after="100" w:before="80"/>
        <w:jc w:val="both"/>
      </w:pPr>
      <w:r>
        <w:rPr>
          <w:rFonts w:ascii="Arial" w:cs="Arial" w:eastAsia="Arial" w:hAnsi="Arial"/>
          <w:b w:val="false"/>
          <w:bCs w:val="false"/>
          <w:i w:val="false"/>
          <w:iCs w:val="false"/>
          <w:color w:val="1A1A1A"/>
          <w:sz w:val="22"/>
          <w:szCs w:val="22"/>
        </w:rPr>
        <w:t xml:space="preserve">Le pipeline de données existant (Bronze → Silver → Gold) constitue le socle de cette architecture. Les choix techniques présentés ici sont justifiés au regard des contraintes industrielles de MECHA : environnement on-premise, hétérogénéité des sites, continuité de production, et exigences de traçabilité.</w:t>
      </w:r>
    </w:p>
    <w:p>
      <w:pPr>
        <w:spacing w:after="0" w:before="200"/>
      </w:pPr>
      <w:r>
        <w:t xml:space="preserve"/>
      </w:r>
    </w:p>
    <w:p>
      <w:pPr>
        <w:pStyle w:val="Heading1"/>
        <w:spacing w:after="200" w:before="400"/>
      </w:pPr>
      <w:r>
        <w:rPr>
          <w:rFonts w:ascii="Arial" w:cs="Arial" w:eastAsia="Arial" w:hAnsi="Arial"/>
          <w:b/>
          <w:bCs/>
          <w:color w:val="1F3864"/>
          <w:sz w:val="36"/>
          <w:szCs w:val="36"/>
        </w:rPr>
        <w:t xml:space="preserve">2. Composants de la solution</w:t>
      </w:r>
    </w:p>
    <w:p>
      <w:pPr>
        <w:spacing w:after="100" w:before="80"/>
        <w:jc w:val="both"/>
      </w:pPr>
      <w:r>
        <w:rPr>
          <w:rFonts w:ascii="Arial" w:cs="Arial" w:eastAsia="Arial" w:hAnsi="Arial"/>
          <w:b w:val="false"/>
          <w:bCs w:val="false"/>
          <w:i w:val="false"/>
          <w:iCs w:val="false"/>
          <w:color w:val="1A1A1A"/>
          <w:sz w:val="22"/>
          <w:szCs w:val="22"/>
        </w:rPr>
        <w:t xml:space="preserve">La solution est décomposée en services indépendants, chacun encapsulé dans son propre conteneur. Cette séparation des responsabilités facilite la maintenance, les mises à jour et le scaling individuel de chaque composant.</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Image / Base</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etl</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Pipeline Bronze → Silver → Gold (nettoyage, transformation, feature engineering)</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python:3.11-slim</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trainer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Entraînement et sauvegarde des modèles ML (Random Forest, régression)</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python:3.11-slim</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Exposition des prédictions via REST API (FastAPI)</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python:3.11-slim</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Interface métier — tableaux de bord, alertes, indicateurs de risque</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python:3.11-slim (Streamlit)</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Orchestration des tâches batch périodiques (Celery Beat ou cron)</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python:3.11-slim</w:t>
            </w:r>
          </w:p>
        </w:tc>
      </w:tr>
    </w:tbl>
    <w:p>
      <w:pPr>
        <w:spacing w:after="0" w:before="200"/>
      </w:pPr>
      <w:r>
        <w:t xml:space="preserve"/>
      </w:r>
    </w:p>
    <w:p>
      <w:pPr>
        <w:spacing w:after="100" w:before="80"/>
        <w:jc w:val="both"/>
      </w:pPr>
      <w:r>
        <w:rPr>
          <w:rFonts w:ascii="Arial" w:cs="Arial" w:eastAsia="Arial" w:hAnsi="Arial"/>
          <w:b w:val="false"/>
          <w:bCs w:val="false"/>
          <w:i w:val="false"/>
          <w:iCs w:val="false"/>
          <w:color w:val="1A1A1A"/>
          <w:sz w:val="22"/>
          <w:szCs w:val="22"/>
        </w:rPr>
        <w:t xml:space="preserve">Chaque service communique exclusivement via le réseau interne Docker (aucun port superflu exposé sur le host). Les données transitent via des volumes nommés partagés, ce qui est cohérent avec l'architecture de fichiers Bronze/Silver/Gold déjà en place.</w:t>
      </w:r>
    </w:p>
    <w:p>
      <w:pPr>
        <w:spacing w:after="0" w:before="200"/>
      </w:pPr>
      <w:r>
        <w:t xml:space="preserve"/>
      </w:r>
    </w:p>
    <w:p>
      <w:pPr>
        <w:pStyle w:val="Heading1"/>
        <w:spacing w:after="200" w:before="400"/>
      </w:pPr>
      <w:r>
        <w:rPr>
          <w:rFonts w:ascii="Arial" w:cs="Arial" w:eastAsia="Arial" w:hAnsi="Arial"/>
          <w:b/>
          <w:bCs/>
          <w:color w:val="1F3864"/>
          <w:sz w:val="36"/>
          <w:szCs w:val="36"/>
        </w:rPr>
        <w:t xml:space="preserve">3. Niveau 1 — Docker Compose (prototype)</w:t>
      </w:r>
    </w:p>
    <w:p>
      <w:pPr>
        <w:pStyle w:val="Heading2"/>
        <w:pBdr>
          <w:bottom w:val="single" w:color="2E75B6" w:sz="4" w:space="4"/>
        </w:pBdr>
        <w:spacing w:after="160" w:before="300"/>
      </w:pPr>
      <w:r>
        <w:rPr>
          <w:rFonts w:ascii="Arial" w:cs="Arial" w:eastAsia="Arial" w:hAnsi="Arial"/>
          <w:b/>
          <w:bCs/>
          <w:color w:val="2E75B6"/>
          <w:sz w:val="28"/>
          <w:szCs w:val="28"/>
        </w:rPr>
        <w:t xml:space="preserve">3.1 Justification du choix</w:t>
      </w:r>
    </w:p>
    <w:p>
      <w:pPr>
        <w:spacing w:after="100" w:before="80"/>
        <w:jc w:val="both"/>
      </w:pPr>
      <w:r>
        <w:rPr>
          <w:rFonts w:ascii="Arial" w:cs="Arial" w:eastAsia="Arial" w:hAnsi="Arial"/>
          <w:b w:val="false"/>
          <w:bCs w:val="false"/>
          <w:i w:val="false"/>
          <w:iCs w:val="false"/>
          <w:color w:val="1A1A1A"/>
          <w:sz w:val="22"/>
          <w:szCs w:val="22"/>
        </w:rPr>
        <w:t xml:space="preserve">Docker Compose est retenu pour le prototype pour les raisons suivantes :</w:t>
      </w:r>
    </w:p>
    <w:p>
      <w:pPr>
        <w:pStyle w:val="ListParagraph"/>
        <w:numPr>
          <w:ilvl w:val="0"/>
          <w:numId w:val="2"/>
        </w:numPr>
        <w:spacing w:after="60" w:before="60"/>
      </w:pPr>
      <w:r>
        <w:rPr>
          <w:rFonts w:ascii="Arial" w:cs="Arial" w:eastAsia="Arial" w:hAnsi="Arial"/>
          <w:b w:val="false"/>
          <w:bCs w:val="false"/>
          <w:color w:val="1A1A1A"/>
          <w:sz w:val="22"/>
          <w:szCs w:val="22"/>
        </w:rPr>
        <w:t xml:space="preserve">Reproductibilité : la solution s'exécute en une seule commande (docker compose up) sur n'importe quelle machine disposant de Docker.</w:t>
      </w:r>
    </w:p>
    <w:p>
      <w:pPr>
        <w:pStyle w:val="ListParagraph"/>
        <w:numPr>
          <w:ilvl w:val="0"/>
          <w:numId w:val="2"/>
        </w:numPr>
        <w:spacing w:after="60" w:before="60"/>
      </w:pPr>
      <w:r>
        <w:rPr>
          <w:rFonts w:ascii="Arial" w:cs="Arial" w:eastAsia="Arial" w:hAnsi="Arial"/>
          <w:b w:val="false"/>
          <w:bCs w:val="false"/>
          <w:color w:val="1A1A1A"/>
          <w:sz w:val="22"/>
          <w:szCs w:val="22"/>
        </w:rPr>
        <w:t xml:space="preserve">Simplicité : aucune infrastructure supplémentaire requise, idéal pour la démonstration et la validation fonctionnelle.</w:t>
      </w:r>
    </w:p>
    <w:p>
      <w:pPr>
        <w:pStyle w:val="ListParagraph"/>
        <w:numPr>
          <w:ilvl w:val="0"/>
          <w:numId w:val="2"/>
        </w:numPr>
        <w:spacing w:after="60" w:before="60"/>
      </w:pPr>
      <w:r>
        <w:rPr>
          <w:rFonts w:ascii="Arial" w:cs="Arial" w:eastAsia="Arial" w:hAnsi="Arial"/>
          <w:b w:val="false"/>
          <w:bCs w:val="false"/>
          <w:color w:val="1A1A1A"/>
          <w:sz w:val="22"/>
          <w:szCs w:val="22"/>
        </w:rPr>
        <w:t xml:space="preserve">Cohérence avec l'existant : le pipeline Python actuel est directement conteneurisable sans refactoring majeur.</w:t>
      </w:r>
    </w:p>
    <w:p>
      <w:pPr>
        <w:pStyle w:val="ListParagraph"/>
        <w:numPr>
          <w:ilvl w:val="0"/>
          <w:numId w:val="2"/>
        </w:numPr>
        <w:spacing w:after="60" w:before="60"/>
      </w:pPr>
      <w:r>
        <w:rPr>
          <w:rFonts w:ascii="Arial" w:cs="Arial" w:eastAsia="Arial" w:hAnsi="Arial"/>
          <w:b w:val="false"/>
          <w:bCs w:val="false"/>
          <w:color w:val="1A1A1A"/>
          <w:sz w:val="22"/>
          <w:szCs w:val="22"/>
        </w:rPr>
        <w:t xml:space="preserve">Alignement avec le cahier des charges : le sujet mentionne explicitement Docker comme exemple de conteneurisation.</w:t>
      </w:r>
    </w:p>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3.2 Architecture Docker Compose</w:t>
      </w:r>
    </w:p>
    <w:p>
      <w:pPr>
        <w:spacing w:after="100" w:before="80"/>
        <w:jc w:val="both"/>
      </w:pPr>
      <w:r>
        <w:rPr>
          <w:rFonts w:ascii="Arial" w:cs="Arial" w:eastAsia="Arial" w:hAnsi="Arial"/>
          <w:b w:val="false"/>
          <w:bCs w:val="false"/>
          <w:i w:val="false"/>
          <w:iCs w:val="false"/>
          <w:color w:val="1A1A1A"/>
          <w:sz w:val="22"/>
          <w:szCs w:val="22"/>
        </w:rPr>
        <w:t xml:space="preserve">Le fichier docker-compose.yml définit les services, les volumes et le réseau interne de la solution.</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Structure docker-compose.yml</w:t>
            </w:r>
          </w:p>
          <w:p>
            <w:pPr>
              <w:pStyle w:val="ListParagraph"/>
              <w:numPr>
                <w:ilvl w:val="0"/>
                <w:numId w:val="2"/>
              </w:numPr>
              <w:spacing w:after="40" w:before="40"/>
            </w:pPr>
            <w:r>
              <w:rPr>
                <w:rFonts w:ascii="Arial" w:cs="Arial" w:eastAsia="Arial" w:hAnsi="Arial"/>
                <w:color w:val="1A1A1A"/>
                <w:sz w:val="20"/>
                <w:szCs w:val="20"/>
              </w:rPr>
              <w:t xml:space="preserve">services:</w:t>
            </w:r>
          </w:p>
          <w:p>
            <w:pPr>
              <w:pStyle w:val="ListParagraph"/>
              <w:numPr>
                <w:ilvl w:val="0"/>
                <w:numId w:val="2"/>
              </w:numPr>
              <w:spacing w:after="40" w:before="40"/>
            </w:pPr>
            <w:r>
              <w:rPr>
                <w:rFonts w:ascii="Arial" w:cs="Arial" w:eastAsia="Arial" w:hAnsi="Arial"/>
                <w:color w:val="1A1A1A"/>
                <w:sz w:val="20"/>
                <w:szCs w:val="20"/>
              </w:rPr>
              <w:t xml:space="preserve">  etl        — pipeline Bronze-&gt;Silver-&gt;Gold, volume bronze-data + silver-data + gold-data</w:t>
            </w:r>
          </w:p>
          <w:p>
            <w:pPr>
              <w:pStyle w:val="ListParagraph"/>
              <w:numPr>
                <w:ilvl w:val="0"/>
                <w:numId w:val="2"/>
              </w:numPr>
              <w:spacing w:after="40" w:before="40"/>
            </w:pPr>
            <w:r>
              <w:rPr>
                <w:rFonts w:ascii="Arial" w:cs="Arial" w:eastAsia="Arial" w:hAnsi="Arial"/>
                <w:color w:val="1A1A1A"/>
                <w:sz w:val="20"/>
                <w:szCs w:val="20"/>
              </w:rPr>
              <w:t xml:space="preserve">  trainer    — entrainnement ML, lit gold-data, ecrit models-store</w:t>
            </w:r>
          </w:p>
          <w:p>
            <w:pPr>
              <w:pStyle w:val="ListParagraph"/>
              <w:numPr>
                <w:ilvl w:val="0"/>
                <w:numId w:val="2"/>
              </w:numPr>
              <w:spacing w:after="40" w:before="40"/>
            </w:pPr>
            <w:r>
              <w:rPr>
                <w:rFonts w:ascii="Arial" w:cs="Arial" w:eastAsia="Arial" w:hAnsi="Arial"/>
                <w:color w:val="1A1A1A"/>
                <w:sz w:val="20"/>
                <w:szCs w:val="20"/>
              </w:rPr>
              <w:t xml:space="preserve">  api        — FastAPI, lit models-store, expose :8000 sur le reseau interne</w:t>
            </w:r>
          </w:p>
          <w:p>
            <w:pPr>
              <w:pStyle w:val="ListParagraph"/>
              <w:numPr>
                <w:ilvl w:val="0"/>
                <w:numId w:val="2"/>
              </w:numPr>
              <w:spacing w:after="40" w:before="40"/>
            </w:pPr>
            <w:r>
              <w:rPr>
                <w:rFonts w:ascii="Arial" w:cs="Arial" w:eastAsia="Arial" w:hAnsi="Arial"/>
                <w:color w:val="1A1A1A"/>
                <w:sz w:val="20"/>
                <w:szCs w:val="20"/>
              </w:rPr>
              <w:t xml:space="preserve">  dashboard  — Streamlit, consomme l'API, expose :8501 sur le host</w:t>
            </w:r>
          </w:p>
          <w:p>
            <w:pPr>
              <w:pStyle w:val="ListParagraph"/>
              <w:numPr>
                <w:ilvl w:val="0"/>
                <w:numId w:val="2"/>
              </w:numPr>
              <w:spacing w:after="40" w:before="40"/>
            </w:pPr>
            <w:r>
              <w:rPr>
                <w:rFonts w:ascii="Arial" w:cs="Arial" w:eastAsia="Arial" w:hAnsi="Arial"/>
                <w:color w:val="1A1A1A"/>
                <w:sz w:val="20"/>
                <w:szCs w:val="20"/>
              </w:rPr>
              <w:t xml:space="preserve">  scheduler  — cron interne, declenche etl + trainer periodiquement</w:t>
            </w:r>
          </w:p>
          <w:p>
            <w:pPr>
              <w:pStyle w:val="ListParagraph"/>
              <w:numPr>
                <w:ilvl w:val="0"/>
                <w:numId w:val="2"/>
              </w:numPr>
              <w:spacing w:after="40" w:before="40"/>
            </w:pPr>
            <w:r>
              <w:rPr>
                <w:rFonts w:ascii="Arial" w:cs="Arial" w:eastAsia="Arial" w:hAnsi="Arial"/>
                <w:color w:val="1A1A1A"/>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volumes: bronze-data, silver-data, gold-data, models-store, logs-store</w:t>
            </w:r>
          </w:p>
          <w:p>
            <w:pPr>
              <w:pStyle w:val="ListParagraph"/>
              <w:numPr>
                <w:ilvl w:val="0"/>
                <w:numId w:val="2"/>
              </w:numPr>
              <w:spacing w:after="40" w:before="40"/>
            </w:pPr>
            <w:r>
              <w:rPr>
                <w:rFonts w:ascii="Arial" w:cs="Arial" w:eastAsia="Arial" w:hAnsi="Arial"/>
                <w:color w:val="1A1A1A"/>
                <w:sz w:val="20"/>
                <w:szCs w:val="20"/>
              </w:rPr>
              <w:t xml:space="preserve">networks: mecha-net (bridge, interne)</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3.3 Docker Networks</w:t>
      </w:r>
    </w:p>
    <w:p>
      <w:pPr>
        <w:spacing w:after="100" w:before="80"/>
        <w:jc w:val="both"/>
      </w:pPr>
      <w:r>
        <w:rPr>
          <w:rFonts w:ascii="Arial" w:cs="Arial" w:eastAsia="Arial" w:hAnsi="Arial"/>
          <w:b w:val="false"/>
          <w:bCs w:val="false"/>
          <w:i w:val="false"/>
          <w:iCs w:val="false"/>
          <w:color w:val="1A1A1A"/>
          <w:sz w:val="22"/>
          <w:szCs w:val="22"/>
        </w:rPr>
        <w:t xml:space="preserve">Tous les services sont connectés au réseau bridge interne mecha-net. Seul le dashboard expose un port sur le host (8501). L'API reste interne au réseau — le dashboard la consomme directement sans passer par le host.</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2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Exposition réseau</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etl</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Interne uniquement — pas de port exposé</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trainer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Interne uniquement — pas de port exposé</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Interne :8000 (accessible par dashboard via mecha-net)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Host :8501 — interface accessible par les equipes metier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Interne uniquement — pas de port exposé</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3.4 Gestion des volumes</w:t>
      </w:r>
    </w:p>
    <w:p>
      <w:pPr>
        <w:spacing w:after="100" w:before="80"/>
        <w:jc w:val="both"/>
      </w:pPr>
      <w:r>
        <w:rPr>
          <w:rFonts w:ascii="Arial" w:cs="Arial" w:eastAsia="Arial" w:hAnsi="Arial"/>
          <w:b w:val="false"/>
          <w:bCs w:val="false"/>
          <w:i w:val="false"/>
          <w:iCs w:val="false"/>
          <w:color w:val="1A1A1A"/>
          <w:sz w:val="22"/>
          <w:szCs w:val="22"/>
        </w:rPr>
        <w:t xml:space="preserve">Les volumes nommés assurent la persistance des données entre les redémarrages de conteneurs et permettent le passage de données entre services de manière découplée.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62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bronze-data</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Donnees brutes issues des capteurs IoT / fichiers CSV d'entree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silver-data</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Donnees nettoyees apres transformation Bronze-&gt;Silver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gold-data</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Features engineerees, prets pour l'entrainement ML</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models-store</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Modeles ML serialises (.pkl / .joblib) et metriques associees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logs-store</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Logs horodates du pipeline (loguru) pour audit et debug</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3.5 Variables d'environnement et configuration</w:t>
      </w:r>
    </w:p>
    <w:p>
      <w:pPr>
        <w:spacing w:after="100" w:before="80"/>
        <w:jc w:val="both"/>
      </w:pPr>
      <w:r>
        <w:rPr>
          <w:rFonts w:ascii="Arial" w:cs="Arial" w:eastAsia="Arial" w:hAnsi="Arial"/>
          <w:b w:val="false"/>
          <w:bCs w:val="false"/>
          <w:i w:val="false"/>
          <w:iCs w:val="false"/>
          <w:color w:val="1A1A1A"/>
          <w:sz w:val="22"/>
          <w:szCs w:val="22"/>
        </w:rPr>
        <w:t xml:space="preserve">La configuration applicative (seuils d'alerte, chemins de données, fréquence d'exécution) est externalisée dans un fichier .env. Ce fichier n'est jamais versionné (inclus dans .gitignore) ; un fichier .env.example documenté est fourni à la place.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Variables d'environnement clés (.env.example)</w:t>
            </w:r>
          </w:p>
          <w:p>
            <w:pPr>
              <w:pStyle w:val="ListParagraph"/>
              <w:numPr>
                <w:ilvl w:val="0"/>
                <w:numId w:val="2"/>
              </w:numPr>
              <w:spacing w:after="40" w:before="40"/>
            </w:pPr>
            <w:r>
              <w:rPr>
                <w:rFonts w:ascii="Arial" w:cs="Arial" w:eastAsia="Arial" w:hAnsi="Arial"/>
                <w:color w:val="1A1A1A"/>
                <w:sz w:val="20"/>
                <w:szCs w:val="20"/>
              </w:rPr>
              <w:t xml:space="preserve">BRONZE_DIR=/data/bronze</w:t>
            </w:r>
          </w:p>
          <w:p>
            <w:pPr>
              <w:pStyle w:val="ListParagraph"/>
              <w:numPr>
                <w:ilvl w:val="0"/>
                <w:numId w:val="2"/>
              </w:numPr>
              <w:spacing w:after="40" w:before="40"/>
            </w:pPr>
            <w:r>
              <w:rPr>
                <w:rFonts w:ascii="Arial" w:cs="Arial" w:eastAsia="Arial" w:hAnsi="Arial"/>
                <w:color w:val="1A1A1A"/>
                <w:sz w:val="20"/>
                <w:szCs w:val="20"/>
              </w:rPr>
              <w:t xml:space="preserve">SILVER_DIR=/data/silver</w:t>
            </w:r>
          </w:p>
          <w:p>
            <w:pPr>
              <w:pStyle w:val="ListParagraph"/>
              <w:numPr>
                <w:ilvl w:val="0"/>
                <w:numId w:val="2"/>
              </w:numPr>
              <w:spacing w:after="40" w:before="40"/>
            </w:pPr>
            <w:r>
              <w:rPr>
                <w:rFonts w:ascii="Arial" w:cs="Arial" w:eastAsia="Arial" w:hAnsi="Arial"/>
                <w:color w:val="1A1A1A"/>
                <w:sz w:val="20"/>
                <w:szCs w:val="20"/>
              </w:rPr>
              <w:t xml:space="preserve">GOLD_DIR=/data/gold</w:t>
            </w:r>
          </w:p>
          <w:p>
            <w:pPr>
              <w:pStyle w:val="ListParagraph"/>
              <w:numPr>
                <w:ilvl w:val="0"/>
                <w:numId w:val="2"/>
              </w:numPr>
              <w:spacing w:after="40" w:before="40"/>
            </w:pPr>
            <w:r>
              <w:rPr>
                <w:rFonts w:ascii="Arial" w:cs="Arial" w:eastAsia="Arial" w:hAnsi="Arial"/>
                <w:color w:val="1A1A1A"/>
                <w:sz w:val="20"/>
                <w:szCs w:val="20"/>
              </w:rPr>
              <w:t xml:space="preserve">MODELS_DIR=/models</w:t>
            </w:r>
          </w:p>
          <w:p>
            <w:pPr>
              <w:pStyle w:val="ListParagraph"/>
              <w:numPr>
                <w:ilvl w:val="0"/>
                <w:numId w:val="2"/>
              </w:numPr>
              <w:spacing w:after="40" w:before="40"/>
            </w:pPr>
            <w:r>
              <w:rPr>
                <w:rFonts w:ascii="Arial" w:cs="Arial" w:eastAsia="Arial" w:hAnsi="Arial"/>
                <w:color w:val="1A1A1A"/>
                <w:sz w:val="20"/>
                <w:szCs w:val="20"/>
              </w:rPr>
              <w:t xml:space="preserve">FAILURE_ALERT_THRESHOLD=0.75   # seuil de declenchement alerte</w:t>
            </w:r>
          </w:p>
          <w:p>
            <w:pPr>
              <w:pStyle w:val="ListParagraph"/>
              <w:numPr>
                <w:ilvl w:val="0"/>
                <w:numId w:val="2"/>
              </w:numPr>
              <w:spacing w:after="40" w:before="40"/>
            </w:pPr>
            <w:r>
              <w:rPr>
                <w:rFonts w:ascii="Arial" w:cs="Arial" w:eastAsia="Arial" w:hAnsi="Arial"/>
                <w:color w:val="1A1A1A"/>
                <w:sz w:val="20"/>
                <w:szCs w:val="20"/>
              </w:rPr>
              <w:t xml:space="preserve">ETL_CRON_SCHEDULE=0 */6 * * *  # toutes les 6 heures</w:t>
            </w:r>
          </w:p>
          <w:p>
            <w:pPr>
              <w:pStyle w:val="ListParagraph"/>
              <w:numPr>
                <w:ilvl w:val="0"/>
                <w:numId w:val="2"/>
              </w:numPr>
              <w:spacing w:after="40" w:before="40"/>
            </w:pPr>
            <w:r>
              <w:rPr>
                <w:rFonts w:ascii="Arial" w:cs="Arial" w:eastAsia="Arial" w:hAnsi="Arial"/>
                <w:color w:val="1A1A1A"/>
                <w:sz w:val="20"/>
                <w:szCs w:val="20"/>
              </w:rPr>
              <w:t xml:space="preserve">RETRAIN_CRON_SCHEDULE=0 2 * * 0 # chaque dimanche a 2h</w:t>
            </w:r>
          </w:p>
          <w:p>
            <w:pPr>
              <w:pStyle w:val="ListParagraph"/>
              <w:numPr>
                <w:ilvl w:val="0"/>
                <w:numId w:val="2"/>
              </w:numPr>
              <w:spacing w:after="40" w:before="40"/>
            </w:pPr>
            <w:r>
              <w:rPr>
                <w:rFonts w:ascii="Arial" w:cs="Arial" w:eastAsia="Arial" w:hAnsi="Arial"/>
                <w:color w:val="1A1A1A"/>
                <w:sz w:val="20"/>
                <w:szCs w:val="20"/>
              </w:rPr>
              <w:t xml:space="preserve">LOG_LEVEL=INFO</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4. Stratégie de construction des images</w:t>
      </w:r>
    </w:p>
    <w:p>
      <w:pPr>
        <w:pStyle w:val="Heading2"/>
        <w:pBdr>
          <w:bottom w:val="single" w:color="2E75B6" w:sz="4" w:space="4"/>
        </w:pBdr>
        <w:spacing w:after="160" w:before="300"/>
      </w:pPr>
      <w:r>
        <w:rPr>
          <w:rFonts w:ascii="Arial" w:cs="Arial" w:eastAsia="Arial" w:hAnsi="Arial"/>
          <w:b/>
          <w:bCs/>
          <w:color w:val="2E75B6"/>
          <w:sz w:val="28"/>
          <w:szCs w:val="28"/>
        </w:rPr>
        <w:t xml:space="preserve">4.1 Principes retenus</w:t>
      </w:r>
    </w:p>
    <w:p>
      <w:pPr>
        <w:spacing w:after="100" w:before="80"/>
        <w:jc w:val="both"/>
      </w:pPr>
      <w:r>
        <w:rPr>
          <w:rFonts w:ascii="Arial" w:cs="Arial" w:eastAsia="Arial" w:hAnsi="Arial"/>
          <w:b w:val="false"/>
          <w:bCs w:val="false"/>
          <w:i w:val="false"/>
          <w:iCs w:val="false"/>
          <w:color w:val="1A1A1A"/>
          <w:sz w:val="22"/>
          <w:szCs w:val="22"/>
        </w:rPr>
        <w:t xml:space="preserve">Chaque service dispose de son propre Dockerfile. Les principes suivants sont appliqués de manière systématique :</w:t>
      </w:r>
    </w:p>
    <w:p>
      <w:pPr>
        <w:pStyle w:val="ListParagraph"/>
        <w:numPr>
          <w:ilvl w:val="0"/>
          <w:numId w:val="2"/>
        </w:numPr>
        <w:spacing w:after="60" w:before="60"/>
      </w:pPr>
      <w:r>
        <w:rPr>
          <w:rFonts w:ascii="Arial" w:cs="Arial" w:eastAsia="Arial" w:hAnsi="Arial"/>
          <w:b w:val="false"/>
          <w:bCs w:val="false"/>
          <w:color w:val="1A1A1A"/>
          <w:sz w:val="22"/>
          <w:szCs w:val="22"/>
        </w:rPr>
        <w:t xml:space="preserve">Image de base minimale : python:3.11-slim pour réduire la surface d'attaque et le temps de build.</w:t>
      </w:r>
    </w:p>
    <w:p>
      <w:pPr>
        <w:pStyle w:val="ListParagraph"/>
        <w:numPr>
          <w:ilvl w:val="0"/>
          <w:numId w:val="2"/>
        </w:numPr>
        <w:spacing w:after="60" w:before="60"/>
      </w:pPr>
      <w:r>
        <w:rPr>
          <w:rFonts w:ascii="Arial" w:cs="Arial" w:eastAsia="Arial" w:hAnsi="Arial"/>
          <w:b w:val="false"/>
          <w:bCs w:val="false"/>
          <w:color w:val="1A1A1A"/>
          <w:sz w:val="22"/>
          <w:szCs w:val="22"/>
        </w:rPr>
        <w:t xml:space="preserve">Multi-stage build pour les services nécessitant des dépendances de compilation (numpy, pandas) afin de ne pas embarquer les outils de build dans l'image finale.</w:t>
      </w:r>
    </w:p>
    <w:p>
      <w:pPr>
        <w:pStyle w:val="ListParagraph"/>
        <w:numPr>
          <w:ilvl w:val="0"/>
          <w:numId w:val="2"/>
        </w:numPr>
        <w:spacing w:after="60" w:before="60"/>
      </w:pPr>
      <w:r>
        <w:rPr>
          <w:rFonts w:ascii="Arial" w:cs="Arial" w:eastAsia="Arial" w:hAnsi="Arial"/>
          <w:b w:val="false"/>
          <w:bCs w:val="false"/>
          <w:color w:val="1A1A1A"/>
          <w:sz w:val="22"/>
          <w:szCs w:val="22"/>
        </w:rPr>
        <w:t xml:space="preserve">Copie du fichier requirements.txt avant le code source pour maximiser l'utilisation du cache Docker.</w:t>
      </w:r>
    </w:p>
    <w:p>
      <w:pPr>
        <w:pStyle w:val="ListParagraph"/>
        <w:numPr>
          <w:ilvl w:val="0"/>
          <w:numId w:val="2"/>
        </w:numPr>
        <w:spacing w:after="60" w:before="60"/>
      </w:pPr>
      <w:r>
        <w:rPr>
          <w:rFonts w:ascii="Arial" w:cs="Arial" w:eastAsia="Arial" w:hAnsi="Arial"/>
          <w:b w:val="false"/>
          <w:bCs w:val="false"/>
          <w:color w:val="1A1A1A"/>
          <w:sz w:val="22"/>
          <w:szCs w:val="22"/>
        </w:rPr>
        <w:t xml:space="preserve">Utilisation d'un utilisateur non-root dans le conteneur (principe de moindre privilège).</w:t>
      </w:r>
    </w:p>
    <w:p>
      <w:pPr>
        <w:pStyle w:val="ListParagraph"/>
        <w:numPr>
          <w:ilvl w:val="0"/>
          <w:numId w:val="2"/>
        </w:numPr>
        <w:spacing w:after="60" w:before="60"/>
      </w:pPr>
      <w:r>
        <w:rPr>
          <w:rFonts w:ascii="Arial" w:cs="Arial" w:eastAsia="Arial" w:hAnsi="Arial"/>
          <w:b w:val="false"/>
          <w:bCs w:val="false"/>
          <w:color w:val="1A1A1A"/>
          <w:sz w:val="22"/>
          <w:szCs w:val="22"/>
        </w:rPr>
        <w:t xml:space="preserve">Aucune donnée sensible (clés API, credentials) dans les images — tout passe par les variables d'environnement.</w:t>
      </w:r>
    </w:p>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4.2 Structure des images</w:t>
      </w:r>
    </w:p>
    <w:p>
      <w:pPr>
        <w:spacing w:after="100" w:before="80"/>
        <w:jc w:val="both"/>
      </w:pPr>
      <w:r>
        <w:rPr>
          <w:rFonts w:ascii="Arial" w:cs="Arial" w:eastAsia="Arial" w:hAnsi="Arial"/>
          <w:b w:val="false"/>
          <w:bCs w:val="false"/>
          <w:i w:val="false"/>
          <w:iCs w:val="false"/>
          <w:color w:val="1A1A1A"/>
          <w:sz w:val="22"/>
          <w:szCs w:val="22"/>
        </w:rPr>
        <w:t xml:space="preserve">Le requirements.txt existant (pandas, numpy, loguru) est complété selon les services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2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Dependances additionnelles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etl</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pandas &gt;= 2.0, numpy &gt;= 1.24, loguru &gt;= 0.7 (existant)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trainer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scikit-learn, joblib, mlflow (tracking des experiences)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fastapi, uvicorn, pydantic</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streamlit, plotly, requests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scheduler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celery, redis (ou APScheduler si simplicite privilegiee)</w:t>
            </w:r>
          </w:p>
        </w:tc>
      </w:tr>
    </w:tbl>
    <w:p>
      <w:pPr>
        <w:spacing w:after="0" w:before="200"/>
      </w:pPr>
      <w:r>
        <w:t xml:space="preserve"/>
      </w:r>
    </w:p>
    <w:p>
      <w:pPr>
        <w:pStyle w:val="Heading1"/>
        <w:spacing w:after="200" w:before="400"/>
      </w:pPr>
      <w:r>
        <w:rPr>
          <w:rFonts w:ascii="Arial" w:cs="Arial" w:eastAsia="Arial" w:hAnsi="Arial"/>
          <w:b/>
          <w:bCs/>
          <w:color w:val="1F3864"/>
          <w:sz w:val="36"/>
          <w:szCs w:val="36"/>
        </w:rPr>
        <w:t xml:space="preserve">5. Chaîne d'intégration continue (CI/CD)</w:t>
      </w:r>
    </w:p>
    <w:p>
      <w:pPr>
        <w:pStyle w:val="Heading2"/>
        <w:pBdr>
          <w:bottom w:val="single" w:color="2E75B6" w:sz="4" w:space="4"/>
        </w:pBdr>
        <w:spacing w:after="160" w:before="300"/>
      </w:pPr>
      <w:r>
        <w:rPr>
          <w:rFonts w:ascii="Arial" w:cs="Arial" w:eastAsia="Arial" w:hAnsi="Arial"/>
          <w:b/>
          <w:bCs/>
          <w:color w:val="2E75B6"/>
          <w:sz w:val="28"/>
          <w:szCs w:val="28"/>
        </w:rPr>
        <w:t xml:space="preserve">5.1 Objectif et périmètre</w:t>
      </w:r>
    </w:p>
    <w:p>
      <w:pPr>
        <w:spacing w:after="100" w:before="80"/>
        <w:jc w:val="both"/>
      </w:pPr>
      <w:r>
        <w:rPr>
          <w:rFonts w:ascii="Arial" w:cs="Arial" w:eastAsia="Arial" w:hAnsi="Arial"/>
          <w:b w:val="false"/>
          <w:bCs w:val="false"/>
          <w:i w:val="false"/>
          <w:iCs w:val="false"/>
          <w:color w:val="1A1A1A"/>
          <w:sz w:val="22"/>
          <w:szCs w:val="22"/>
        </w:rPr>
        <w:t xml:space="preserve">Le cahier des charges exige une chaîne CI minimale permettant au minimum de lancer les tests et de construire l'image de conteneur. La solution retenue est GitHub Actions, pour les raisons suivantes :</w:t>
      </w:r>
    </w:p>
    <w:p>
      <w:pPr>
        <w:pStyle w:val="ListParagraph"/>
        <w:numPr>
          <w:ilvl w:val="0"/>
          <w:numId w:val="2"/>
        </w:numPr>
        <w:spacing w:after="60" w:before="60"/>
      </w:pPr>
      <w:r>
        <w:rPr>
          <w:rFonts w:ascii="Arial" w:cs="Arial" w:eastAsia="Arial" w:hAnsi="Arial"/>
          <w:b w:val="false"/>
          <w:bCs w:val="false"/>
          <w:color w:val="1A1A1A"/>
          <w:sz w:val="22"/>
          <w:szCs w:val="22"/>
        </w:rPr>
        <w:t xml:space="preserve">Intégration native avec GitHub (repository Git requis par le sujet).</w:t>
      </w:r>
    </w:p>
    <w:p>
      <w:pPr>
        <w:pStyle w:val="ListParagraph"/>
        <w:numPr>
          <w:ilvl w:val="0"/>
          <w:numId w:val="2"/>
        </w:numPr>
        <w:spacing w:after="60" w:before="60"/>
      </w:pPr>
      <w:r>
        <w:rPr>
          <w:rFonts w:ascii="Arial" w:cs="Arial" w:eastAsia="Arial" w:hAnsi="Arial"/>
          <w:b w:val="false"/>
          <w:bCs w:val="false"/>
          <w:color w:val="1A1A1A"/>
          <w:sz w:val="22"/>
          <w:szCs w:val="22"/>
        </w:rPr>
        <w:t xml:space="preserve">Gratuit pour les repositories publics et les petits volumes sur les repositories privés.</w:t>
      </w:r>
    </w:p>
    <w:p>
      <w:pPr>
        <w:pStyle w:val="ListParagraph"/>
        <w:numPr>
          <w:ilvl w:val="0"/>
          <w:numId w:val="2"/>
        </w:numPr>
        <w:spacing w:after="60" w:before="60"/>
      </w:pPr>
      <w:r>
        <w:rPr>
          <w:rFonts w:ascii="Arial" w:cs="Arial" w:eastAsia="Arial" w:hAnsi="Arial"/>
          <w:b w:val="false"/>
          <w:bCs w:val="false"/>
          <w:color w:val="1A1A1A"/>
          <w:sz w:val="22"/>
          <w:szCs w:val="22"/>
        </w:rPr>
        <w:t xml:space="preserve">Fichiers de configuration au format YAML dans .github/workflows/, versionnés avec le code.</w:t>
      </w:r>
    </w:p>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5.2 Pipeline CI</w:t>
      </w:r>
    </w:p>
    <w:p>
      <w:pPr>
        <w:spacing w:after="100" w:before="80"/>
        <w:jc w:val="both"/>
      </w:pPr>
      <w:r>
        <w:rPr>
          <w:rFonts w:ascii="Arial" w:cs="Arial" w:eastAsia="Arial" w:hAnsi="Arial"/>
          <w:b w:val="false"/>
          <w:bCs w:val="false"/>
          <w:i w:val="false"/>
          <w:iCs w:val="false"/>
          <w:color w:val="1A1A1A"/>
          <w:sz w:val="22"/>
          <w:szCs w:val="22"/>
        </w:rPr>
        <w:t xml:space="preserve">Le pipeline CI est déclenché à chaque push sur les branches principales et à chaque Pull Request. Il se décompose en trois étapes séquentielles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Etapes du pipeline CI (.github/workflows/ci.yml)</w:t>
            </w:r>
          </w:p>
          <w:p>
            <w:pPr>
              <w:pStyle w:val="ListParagraph"/>
              <w:numPr>
                <w:ilvl w:val="0"/>
                <w:numId w:val="2"/>
              </w:numPr>
              <w:spacing w:after="40" w:before="40"/>
            </w:pPr>
            <w:r>
              <w:rPr>
                <w:rFonts w:ascii="Arial" w:cs="Arial" w:eastAsia="Arial" w:hAnsi="Arial"/>
                <w:color w:val="1A1A1A"/>
                <w:sz w:val="20"/>
                <w:szCs w:val="20"/>
              </w:rPr>
              <w:t xml:space="preserve">Etape 1 — Lint &amp; qualite</w:t>
            </w:r>
          </w:p>
          <w:p>
            <w:pPr>
              <w:pStyle w:val="ListParagraph"/>
              <w:numPr>
                <w:ilvl w:val="0"/>
                <w:numId w:val="2"/>
              </w:numPr>
              <w:spacing w:after="40" w:before="40"/>
            </w:pPr>
            <w:r>
              <w:rPr>
                <w:rFonts w:ascii="Arial" w:cs="Arial" w:eastAsia="Arial" w:hAnsi="Arial"/>
                <w:color w:val="1A1A1A"/>
                <w:sz w:val="20"/>
                <w:szCs w:val="20"/>
              </w:rPr>
              <w:t xml:space="preserve">  flake8 sur l'ensemble du code source Python</w:t>
            </w:r>
          </w:p>
          <w:p>
            <w:pPr>
              <w:pStyle w:val="ListParagraph"/>
              <w:numPr>
                <w:ilvl w:val="0"/>
                <w:numId w:val="2"/>
              </w:numPr>
              <w:spacing w:after="40" w:before="40"/>
            </w:pPr>
            <w:r>
              <w:rPr>
                <w:rFonts w:ascii="Arial" w:cs="Arial" w:eastAsia="Arial" w:hAnsi="Arial"/>
                <w:color w:val="1A1A1A"/>
                <w:sz w:val="20"/>
                <w:szCs w:val="20"/>
              </w:rPr>
              <w:t xml:space="preserve">  black --check pour le formatage</w:t>
            </w:r>
          </w:p>
          <w:p>
            <w:pPr>
              <w:pStyle w:val="ListParagraph"/>
              <w:numPr>
                <w:ilvl w:val="0"/>
                <w:numId w:val="2"/>
              </w:numPr>
              <w:spacing w:after="40" w:before="40"/>
            </w:pPr>
            <w:r>
              <w:rPr>
                <w:rFonts w:ascii="Arial" w:cs="Arial" w:eastAsia="Arial" w:hAnsi="Arial"/>
                <w:color w:val="1A1A1A"/>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Etape 2 — Tests</w:t>
            </w:r>
          </w:p>
          <w:p>
            <w:pPr>
              <w:pStyle w:val="ListParagraph"/>
              <w:numPr>
                <w:ilvl w:val="0"/>
                <w:numId w:val="2"/>
              </w:numPr>
              <w:spacing w:after="40" w:before="40"/>
            </w:pPr>
            <w:r>
              <w:rPr>
                <w:rFonts w:ascii="Arial" w:cs="Arial" w:eastAsia="Arial" w:hAnsi="Arial"/>
                <w:color w:val="1A1A1A"/>
                <w:sz w:val="20"/>
                <w:szCs w:val="20"/>
              </w:rPr>
              <w:t xml:space="preserve">  pytest avec couverture de code (pytest-cov)</w:t>
            </w:r>
          </w:p>
          <w:p>
            <w:pPr>
              <w:pStyle w:val="ListParagraph"/>
              <w:numPr>
                <w:ilvl w:val="0"/>
                <w:numId w:val="2"/>
              </w:numPr>
              <w:spacing w:after="40" w:before="40"/>
            </w:pPr>
            <w:r>
              <w:rPr>
                <w:rFonts w:ascii="Arial" w:cs="Arial" w:eastAsia="Arial" w:hAnsi="Arial"/>
                <w:color w:val="1A1A1A"/>
                <w:sz w:val="20"/>
                <w:szCs w:val="20"/>
              </w:rPr>
              <w:t xml:space="preserve">  Tests unitaires sur les fonctions de transformation (bronze_to_silver_functions.py)</w:t>
            </w:r>
          </w:p>
          <w:p>
            <w:pPr>
              <w:pStyle w:val="ListParagraph"/>
              <w:numPr>
                <w:ilvl w:val="0"/>
                <w:numId w:val="2"/>
              </w:numPr>
              <w:spacing w:after="40" w:before="40"/>
            </w:pPr>
            <w:r>
              <w:rPr>
                <w:rFonts w:ascii="Arial" w:cs="Arial" w:eastAsia="Arial" w:hAnsi="Arial"/>
                <w:color w:val="1A1A1A"/>
                <w:sz w:val="20"/>
                <w:szCs w:val="20"/>
              </w:rPr>
              <w:t xml:space="preserve">  Tests d'integration sur le pipeline complet avec donnees de fixture</w:t>
            </w:r>
          </w:p>
          <w:p>
            <w:pPr>
              <w:pStyle w:val="ListParagraph"/>
              <w:numPr>
                <w:ilvl w:val="0"/>
                <w:numId w:val="2"/>
              </w:numPr>
              <w:spacing w:after="40" w:before="40"/>
            </w:pPr>
            <w:r>
              <w:rPr>
                <w:rFonts w:ascii="Arial" w:cs="Arial" w:eastAsia="Arial" w:hAnsi="Arial"/>
                <w:color w:val="1A1A1A"/>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Etape 3 — Build &amp; Push image Docker</w:t>
            </w:r>
          </w:p>
          <w:p>
            <w:pPr>
              <w:pStyle w:val="ListParagraph"/>
              <w:numPr>
                <w:ilvl w:val="0"/>
                <w:numId w:val="2"/>
              </w:numPr>
              <w:spacing w:after="40" w:before="40"/>
            </w:pPr>
            <w:r>
              <w:rPr>
                <w:rFonts w:ascii="Arial" w:cs="Arial" w:eastAsia="Arial" w:hAnsi="Arial"/>
                <w:color w:val="1A1A1A"/>
                <w:sz w:val="20"/>
                <w:szCs w:val="20"/>
              </w:rPr>
              <w:t xml:space="preserve">  docker buildx build pour chaque service</w:t>
            </w:r>
          </w:p>
          <w:p>
            <w:pPr>
              <w:pStyle w:val="ListParagraph"/>
              <w:numPr>
                <w:ilvl w:val="0"/>
                <w:numId w:val="2"/>
              </w:numPr>
              <w:spacing w:after="40" w:before="40"/>
            </w:pPr>
            <w:r>
              <w:rPr>
                <w:rFonts w:ascii="Arial" w:cs="Arial" w:eastAsia="Arial" w:hAnsi="Arial"/>
                <w:color w:val="1A1A1A"/>
                <w:sz w:val="20"/>
                <w:szCs w:val="20"/>
              </w:rPr>
              <w:t xml:space="preserve">  Push sur GitHub Container Registry (ghcr.io) si branche main</w:t>
            </w:r>
          </w:p>
          <w:p>
            <w:pPr>
              <w:pStyle w:val="ListParagraph"/>
              <w:numPr>
                <w:ilvl w:val="0"/>
                <w:numId w:val="2"/>
              </w:numPr>
              <w:spacing w:after="40" w:before="40"/>
            </w:pPr>
            <w:r>
              <w:rPr>
                <w:rFonts w:ascii="Arial" w:cs="Arial" w:eastAsia="Arial" w:hAnsi="Arial"/>
                <w:color w:val="1A1A1A"/>
                <w:sz w:val="20"/>
                <w:szCs w:val="20"/>
              </w:rPr>
              <w:t xml:space="preserve">  Tag : ghcr.io/org/mecha-etl:sha-{commit_sha} + :latest</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5.3 Pipeline CD (projection)</w:t>
      </w:r>
    </w:p>
    <w:p>
      <w:pPr>
        <w:spacing w:after="100" w:before="80"/>
        <w:jc w:val="both"/>
      </w:pPr>
      <w:r>
        <w:rPr>
          <w:rFonts w:ascii="Arial" w:cs="Arial" w:eastAsia="Arial" w:hAnsi="Arial"/>
          <w:b w:val="false"/>
          <w:bCs w:val="false"/>
          <w:i w:val="false"/>
          <w:iCs w:val="false"/>
          <w:color w:val="1A1A1A"/>
          <w:sz w:val="22"/>
          <w:szCs w:val="22"/>
        </w:rPr>
        <w:t xml:space="preserve">Pour le déploiement continu vers l'environnement de staging, un workflow séparé (cd.yml) est déclenché après la réussite du CI sur la branche main. Il met à jour les manifestes Kubernetes (fichiers YAML) avec le nouveau tag d'image, ce qui déclenche un rolling update sur le cluster K3s.</w:t>
      </w:r>
    </w:p>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6. Niveau 2 — Projection industrielle (K3s)</w:t>
      </w:r>
    </w:p>
    <w:p>
      <w:pPr>
        <w:pStyle w:val="Heading2"/>
        <w:pBdr>
          <w:bottom w:val="single" w:color="2E75B6" w:sz="4" w:space="4"/>
        </w:pBdr>
        <w:spacing w:after="160" w:before="300"/>
      </w:pPr>
      <w:r>
        <w:rPr>
          <w:rFonts w:ascii="Arial" w:cs="Arial" w:eastAsia="Arial" w:hAnsi="Arial"/>
          <w:b/>
          <w:bCs/>
          <w:color w:val="2E75B6"/>
          <w:sz w:val="28"/>
          <w:szCs w:val="28"/>
        </w:rPr>
        <w:t xml:space="preserve">6.1 Justification du choix K3s</w:t>
      </w:r>
    </w:p>
    <w:p>
      <w:pPr>
        <w:spacing w:after="100" w:before="80"/>
        <w:jc w:val="both"/>
      </w:pPr>
      <w:r>
        <w:rPr>
          <w:rFonts w:ascii="Arial" w:cs="Arial" w:eastAsia="Arial" w:hAnsi="Arial"/>
          <w:b w:val="false"/>
          <w:bCs w:val="false"/>
          <w:i w:val="false"/>
          <w:iCs w:val="false"/>
          <w:color w:val="1A1A1A"/>
          <w:sz w:val="22"/>
          <w:szCs w:val="22"/>
        </w:rPr>
        <w:t xml:space="preserve">Dans le contexte industriel de MECHA (cinq usines on-premise, DSI sans expertise cloud native obligatoire), un Kubernetes full n'est pas adapté pour une première industrialisation. K3s (distribution Kubernetes allégée par Rancher/SUSE) est retenu pour les raisons suivantes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62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Reponse K3s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Ressources machines</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Tourne sur des serveurs industriels standard (2 CPU, 4 Go RAM minimum)</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Installation</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Binaire unique, installation en moins de 5 minutes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Kubernetes</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Compatibilite totale — les manifestes YAML Docker Compose peuvent etre migres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On-premise</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Aucune dependance a un cloud provider (Azure, AWS, GCP)</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Deploiement progressif</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 cluster par site, independant, deployable site par site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Mises a jour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Rolling updates sans interruption de service</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6.2 Architecture cible multi-sites</w:t>
      </w:r>
    </w:p>
    <w:p>
      <w:pPr>
        <w:spacing w:after="100" w:before="80"/>
        <w:jc w:val="both"/>
      </w:pPr>
      <w:r>
        <w:rPr>
          <w:rFonts w:ascii="Arial" w:cs="Arial" w:eastAsia="Arial" w:hAnsi="Arial"/>
          <w:b w:val="false"/>
          <w:bCs w:val="false"/>
          <w:i w:val="false"/>
          <w:iCs w:val="false"/>
          <w:color w:val="1A1A1A"/>
          <w:sz w:val="22"/>
          <w:szCs w:val="22"/>
        </w:rPr>
        <w:t xml:space="preserve">L'architecture cible distingue deux niveaux de clusters, cohérents avec l'organisation de MECHA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Architecture multi-clusters K3s</w:t>
            </w:r>
          </w:p>
          <w:p>
            <w:pPr>
              <w:pStyle w:val="ListParagraph"/>
              <w:numPr>
                <w:ilvl w:val="0"/>
                <w:numId w:val="2"/>
              </w:numPr>
              <w:spacing w:after="40" w:before="40"/>
            </w:pPr>
            <w:r>
              <w:rPr>
                <w:rFonts w:ascii="Arial" w:cs="Arial" w:eastAsia="Arial" w:hAnsi="Arial"/>
                <w:color w:val="1A1A1A"/>
                <w:sz w:val="20"/>
                <w:szCs w:val="20"/>
              </w:rPr>
              <w:t xml:space="preserve">Cluster EDGE (1 par usine — 5 clusters au total)</w:t>
            </w:r>
          </w:p>
          <w:p>
            <w:pPr>
              <w:pStyle w:val="ListParagraph"/>
              <w:numPr>
                <w:ilvl w:val="0"/>
                <w:numId w:val="2"/>
              </w:numPr>
              <w:spacing w:after="40" w:before="40"/>
            </w:pPr>
            <w:r>
              <w:rPr>
                <w:rFonts w:ascii="Arial" w:cs="Arial" w:eastAsia="Arial" w:hAnsi="Arial"/>
                <w:color w:val="1A1A1A"/>
                <w:sz w:val="20"/>
                <w:szCs w:val="20"/>
              </w:rPr>
              <w:t xml:space="preserve">  Collecte et pre-traitement des donnees capteurs (ETL local)</w:t>
            </w:r>
          </w:p>
          <w:p>
            <w:pPr>
              <w:pStyle w:val="ListParagraph"/>
              <w:numPr>
                <w:ilvl w:val="0"/>
                <w:numId w:val="2"/>
              </w:numPr>
              <w:spacing w:after="40" w:before="40"/>
            </w:pPr>
            <w:r>
              <w:rPr>
                <w:rFonts w:ascii="Arial" w:cs="Arial" w:eastAsia="Arial" w:hAnsi="Arial"/>
                <w:color w:val="1A1A1A"/>
                <w:sz w:val="20"/>
                <w:szCs w:val="20"/>
              </w:rPr>
              <w:t xml:space="preserve">  Inference locale — predictions disponibles meme en cas de perte de connectivite</w:t>
            </w:r>
          </w:p>
          <w:p>
            <w:pPr>
              <w:pStyle w:val="ListParagraph"/>
              <w:numPr>
                <w:ilvl w:val="0"/>
                <w:numId w:val="2"/>
              </w:numPr>
              <w:spacing w:after="40" w:before="40"/>
            </w:pPr>
            <w:r>
              <w:rPr>
                <w:rFonts w:ascii="Arial" w:cs="Arial" w:eastAsia="Arial" w:hAnsi="Arial"/>
                <w:color w:val="1A1A1A"/>
                <w:sz w:val="20"/>
                <w:szCs w:val="20"/>
              </w:rPr>
              <w:t xml:space="preserve">  Synchronisation periodique vers le cluster central (batch ou streaming)</w:t>
            </w:r>
          </w:p>
          <w:p>
            <w:pPr>
              <w:pStyle w:val="ListParagraph"/>
              <w:numPr>
                <w:ilvl w:val="0"/>
                <w:numId w:val="2"/>
              </w:numPr>
              <w:spacing w:after="40" w:before="40"/>
            </w:pPr>
            <w:r>
              <w:rPr>
                <w:rFonts w:ascii="Arial" w:cs="Arial" w:eastAsia="Arial" w:hAnsi="Arial"/>
                <w:color w:val="1A1A1A"/>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Cluster CENTRAL (1 — siège / DSI)</w:t>
            </w:r>
          </w:p>
          <w:p>
            <w:pPr>
              <w:pStyle w:val="ListParagraph"/>
              <w:numPr>
                <w:ilvl w:val="0"/>
                <w:numId w:val="2"/>
              </w:numPr>
              <w:spacing w:after="40" w:before="40"/>
            </w:pPr>
            <w:r>
              <w:rPr>
                <w:rFonts w:ascii="Arial" w:cs="Arial" w:eastAsia="Arial" w:hAnsi="Arial"/>
                <w:color w:val="1A1A1A"/>
                <w:sz w:val="20"/>
                <w:szCs w:val="20"/>
              </w:rPr>
              <w:t xml:space="preserve">  Agregation des donnees de tous les sites</w:t>
            </w:r>
          </w:p>
          <w:p>
            <w:pPr>
              <w:pStyle w:val="ListParagraph"/>
              <w:numPr>
                <w:ilvl w:val="0"/>
                <w:numId w:val="2"/>
              </w:numPr>
              <w:spacing w:after="40" w:before="40"/>
            </w:pPr>
            <w:r>
              <w:rPr>
                <w:rFonts w:ascii="Arial" w:cs="Arial" w:eastAsia="Arial" w:hAnsi="Arial"/>
                <w:color w:val="1A1A1A"/>
                <w:sz w:val="20"/>
                <w:szCs w:val="20"/>
              </w:rPr>
              <w:t xml:space="preserve">  Entrainement centralisé des modeles ML</w:t>
            </w:r>
          </w:p>
          <w:p>
            <w:pPr>
              <w:pStyle w:val="ListParagraph"/>
              <w:numPr>
                <w:ilvl w:val="0"/>
                <w:numId w:val="2"/>
              </w:numPr>
              <w:spacing w:after="40" w:before="40"/>
            </w:pPr>
            <w:r>
              <w:rPr>
                <w:rFonts w:ascii="Arial" w:cs="Arial" w:eastAsia="Arial" w:hAnsi="Arial"/>
                <w:color w:val="1A1A1A"/>
                <w:sz w:val="20"/>
                <w:szCs w:val="20"/>
              </w:rPr>
              <w:t xml:space="preserve">  Dashboard de pilotage global (Direction industrielle, Direction qualite)</w:t>
            </w:r>
          </w:p>
          <w:p>
            <w:pPr>
              <w:pStyle w:val="ListParagraph"/>
              <w:numPr>
                <w:ilvl w:val="0"/>
                <w:numId w:val="2"/>
              </w:numPr>
              <w:spacing w:after="40" w:before="40"/>
            </w:pPr>
            <w:r>
              <w:rPr>
                <w:rFonts w:ascii="Arial" w:cs="Arial" w:eastAsia="Arial" w:hAnsi="Arial"/>
                <w:color w:val="1A1A1A"/>
                <w:sz w:val="20"/>
                <w:szCs w:val="20"/>
              </w:rPr>
              <w:t xml:space="preserve">  Registry d'images Docker interne (Harbor ou GHCR prive)</w:t>
            </w:r>
          </w:p>
          <w:p>
            <w:pPr>
              <w:pStyle w:val="ListParagraph"/>
              <w:numPr>
                <w:ilvl w:val="0"/>
                <w:numId w:val="2"/>
              </w:numPr>
              <w:spacing w:after="40" w:before="40"/>
            </w:pPr>
            <w:r>
              <w:rPr>
                <w:rFonts w:ascii="Arial" w:cs="Arial" w:eastAsia="Arial" w:hAnsi="Arial"/>
                <w:color w:val="1A1A1A"/>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Communication inter-clusters : VPN site-a-site (WireGuard ou OpenVPN)</w:t>
            </w:r>
          </w:p>
          <w:p>
            <w:pPr>
              <w:pStyle w:val="ListParagraph"/>
              <w:numPr>
                <w:ilvl w:val="0"/>
                <w:numId w:val="2"/>
              </w:numPr>
              <w:spacing w:after="40" w:before="40"/>
            </w:pPr>
            <w:r>
              <w:rPr>
                <w:rFonts w:ascii="Arial" w:cs="Arial" w:eastAsia="Arial" w:hAnsi="Arial"/>
                <w:color w:val="1A1A1A"/>
                <w:sz w:val="20"/>
                <w:szCs w:val="20"/>
              </w:rPr>
              <w:t xml:space="preserve">Authentification : mTLS entre services via Kubernetes Secrets</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6.3 Objets Kubernetes utilisés</w:t>
      </w:r>
    </w:p>
    <w:p>
      <w:pPr>
        <w:spacing w:after="100" w:before="80"/>
        <w:jc w:val="both"/>
      </w:pPr>
      <w:r>
        <w:rPr>
          <w:rFonts w:ascii="Arial" w:cs="Arial" w:eastAsia="Arial" w:hAnsi="Arial"/>
          <w:b w:val="false"/>
          <w:bCs w:val="false"/>
          <w:i w:val="false"/>
          <w:iCs w:val="false"/>
          <w:color w:val="1A1A1A"/>
          <w:sz w:val="22"/>
          <w:szCs w:val="22"/>
        </w:rPr>
        <w:t xml:space="preserve">Les objets Kubernetes suivants sont mis en oeuvre pour orchestrer la solution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Objet K8s</w:t>
            </w:r>
          </w:p>
        </w:tc>
        <w:tc>
          <w:tcPr>
            <w:tcW w:type="dxa" w:w="62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 dans MECHA</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CronJob</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Execution periodique du pipeline ETL (bronze-&gt;silver-&gt;gold) et du retraining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Deployment</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de prediction (FastAPI) et Dashboard (Streamlit) — rolling updates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 (ClusterIP)</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Communication interne entre l'API et le Dashboard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Ingress</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Exposition du Dashboard aux equipes metier via HTTPS (Traefik, inclus dans K3s)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ConfigMap</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Configuration applicative — seuils d'alerte, frequences, parametres metier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Credentials, tokens, cles de chiffrement (jamais dans le code)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PersistentVolumeClaim</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Stockage des donnees bronze/silver/gold et des modeles serialises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Namespace</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Isolation par environnement : mecha-dev, mecha-staging, mecha-prod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HorizontalPodAutoscaler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Scaling automatique de l'API en cas de pic de charge (optionnel)</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6.4 Stratégie de déploiement progressif</w:t>
      </w:r>
    </w:p>
    <w:p>
      <w:pPr>
        <w:spacing w:after="100" w:before="80"/>
        <w:jc w:val="both"/>
      </w:pPr>
      <w:r>
        <w:rPr>
          <w:rFonts w:ascii="Arial" w:cs="Arial" w:eastAsia="Arial" w:hAnsi="Arial"/>
          <w:b w:val="false"/>
          <w:bCs w:val="false"/>
          <w:i w:val="false"/>
          <w:iCs w:val="false"/>
          <w:color w:val="1A1A1A"/>
          <w:sz w:val="22"/>
          <w:szCs w:val="22"/>
        </w:rPr>
        <w:t xml:space="preserve">Conformément aux exigences du cahier des charges (intégration progressive, continuité de production), le déploiement est planifié en trois phases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Pilote (1 site FR)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Deploiement K3s sur un site volontaire. Validation des flux de donnees, des predictions et du dashboard. Duree : 4 a 8 semaines.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 Extension FR (3 sites)</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Replication du cluster edge sur les deux autres sites francais. Retour d'experience de la phase 1 integre. Duree : 2 a 3 mois.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 — Extension ES (2 sites)</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Deploiement sur les sites espagnols. Cluster central opérationnel. Pilotage global actif. Duree : 2 a 3 mois.</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7. Limites et prérequis</w:t>
      </w:r>
    </w:p>
    <w:p>
      <w:pPr>
        <w:pStyle w:val="Heading2"/>
        <w:pBdr>
          <w:bottom w:val="single" w:color="2E75B6" w:sz="4" w:space="4"/>
        </w:pBdr>
        <w:spacing w:after="160" w:before="300"/>
      </w:pPr>
      <w:r>
        <w:rPr>
          <w:rFonts w:ascii="Arial" w:cs="Arial" w:eastAsia="Arial" w:hAnsi="Arial"/>
          <w:b/>
          <w:bCs/>
          <w:color w:val="2E75B6"/>
          <w:sz w:val="28"/>
          <w:szCs w:val="28"/>
        </w:rPr>
        <w:t xml:space="preserve">7.1 Prérequis techniques</w:t>
      </w:r>
    </w:p>
    <w:p>
      <w:pPr>
        <w:pStyle w:val="ListParagraph"/>
        <w:numPr>
          <w:ilvl w:val="0"/>
          <w:numId w:val="2"/>
        </w:numPr>
        <w:spacing w:after="60" w:before="60"/>
      </w:pPr>
      <w:r>
        <w:rPr>
          <w:rFonts w:ascii="Arial" w:cs="Arial" w:eastAsia="Arial" w:hAnsi="Arial"/>
          <w:b w:val="false"/>
          <w:bCs w:val="false"/>
          <w:color w:val="1A1A1A"/>
          <w:sz w:val="22"/>
          <w:szCs w:val="22"/>
        </w:rPr>
        <w:t xml:space="preserve">Docker Engine &gt;= 24.0 et Docker Compose &gt;= 2.20 installés sur les machines de développement et de démo.</w:t>
      </w:r>
    </w:p>
    <w:p>
      <w:pPr>
        <w:pStyle w:val="ListParagraph"/>
        <w:numPr>
          <w:ilvl w:val="0"/>
          <w:numId w:val="2"/>
        </w:numPr>
        <w:spacing w:after="60" w:before="60"/>
      </w:pPr>
      <w:r>
        <w:rPr>
          <w:rFonts w:ascii="Arial" w:cs="Arial" w:eastAsia="Arial" w:hAnsi="Arial"/>
          <w:b w:val="false"/>
          <w:bCs w:val="false"/>
          <w:color w:val="1A1A1A"/>
          <w:sz w:val="22"/>
          <w:szCs w:val="22"/>
        </w:rPr>
        <w:t xml:space="preserve">Pour K3s : serveurs industriels avec au minimum 2 vCPU, 4 Go RAM, 20 Go disque par cluster edge.</w:t>
      </w:r>
    </w:p>
    <w:p>
      <w:pPr>
        <w:pStyle w:val="ListParagraph"/>
        <w:numPr>
          <w:ilvl w:val="0"/>
          <w:numId w:val="2"/>
        </w:numPr>
        <w:spacing w:after="60" w:before="60"/>
      </w:pPr>
      <w:r>
        <w:rPr>
          <w:rFonts w:ascii="Arial" w:cs="Arial" w:eastAsia="Arial" w:hAnsi="Arial"/>
          <w:b w:val="false"/>
          <w:bCs w:val="false"/>
          <w:color w:val="1A1A1A"/>
          <w:sz w:val="22"/>
          <w:szCs w:val="22"/>
        </w:rPr>
        <w:t xml:space="preserve">Connectivité réseau entre les sites pour la synchronisation inter-clusters (VPN site-à-site).</w:t>
      </w:r>
    </w:p>
    <w:p>
      <w:pPr>
        <w:pStyle w:val="ListParagraph"/>
        <w:numPr>
          <w:ilvl w:val="0"/>
          <w:numId w:val="2"/>
        </w:numPr>
        <w:spacing w:after="60" w:before="60"/>
      </w:pPr>
      <w:r>
        <w:rPr>
          <w:rFonts w:ascii="Arial" w:cs="Arial" w:eastAsia="Arial" w:hAnsi="Arial"/>
          <w:b w:val="false"/>
          <w:bCs w:val="false"/>
          <w:color w:val="1A1A1A"/>
          <w:sz w:val="22"/>
          <w:szCs w:val="22"/>
        </w:rPr>
        <w:t xml:space="preserve">Registry Docker accessible depuis tous les clusters (GHCR public ou Harbor on-premise).</w:t>
      </w:r>
    </w:p>
    <w:p>
      <w:pPr>
        <w:pStyle w:val="ListParagraph"/>
        <w:numPr>
          <w:ilvl w:val="0"/>
          <w:numId w:val="2"/>
        </w:numPr>
        <w:spacing w:after="60" w:before="60"/>
      </w:pPr>
      <w:r>
        <w:rPr>
          <w:rFonts w:ascii="Arial" w:cs="Arial" w:eastAsia="Arial" w:hAnsi="Arial"/>
          <w:b w:val="false"/>
          <w:bCs w:val="false"/>
          <w:color w:val="1A1A1A"/>
          <w:sz w:val="22"/>
          <w:szCs w:val="22"/>
        </w:rPr>
        <w:t xml:space="preserve">Accès SSH aux machines industrielles pour l'installation de K3s (coordination avec la DSI MECHA).</w:t>
      </w:r>
    </w:p>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7.2 Points de vigilance</w:t>
      </w:r>
    </w:p>
    <w:p>
      <w:pPr>
        <w:pStyle w:val="ListParagraph"/>
        <w:numPr>
          <w:ilvl w:val="0"/>
          <w:numId w:val="2"/>
        </w:numPr>
        <w:spacing w:after="60" w:before="60"/>
      </w:pPr>
      <w:r>
        <w:rPr>
          <w:rFonts w:ascii="Arial" w:cs="Arial" w:eastAsia="Arial" w:hAnsi="Arial"/>
          <w:b w:val="false"/>
          <w:bCs w:val="false"/>
          <w:color w:val="1A1A1A"/>
          <w:sz w:val="22"/>
          <w:szCs w:val="22"/>
        </w:rPr>
        <w:t xml:space="preserve">Hétérogénéité des sites : les cinq usines n'ont pas le même niveau d'équipement IT. Une phase d'audit infrastructure est nécessaire avant le déploiement K3s.</w:t>
      </w:r>
    </w:p>
    <w:p>
      <w:pPr>
        <w:pStyle w:val="ListParagraph"/>
        <w:numPr>
          <w:ilvl w:val="0"/>
          <w:numId w:val="2"/>
        </w:numPr>
        <w:spacing w:after="60" w:before="60"/>
      </w:pPr>
      <w:r>
        <w:rPr>
          <w:rFonts w:ascii="Arial" w:cs="Arial" w:eastAsia="Arial" w:hAnsi="Arial"/>
          <w:b w:val="false"/>
          <w:bCs w:val="false"/>
          <w:color w:val="1A1A1A"/>
          <w:sz w:val="22"/>
          <w:szCs w:val="22"/>
        </w:rPr>
        <w:t xml:space="preserve">Continuité de production : les conteneurs ETL ne doivent pas saturer les ressources machines pendant les cycles de production. Des limites CPU/mémoire (resource limits) sont définies dans les manifestes Kubernetes.</w:t>
      </w:r>
    </w:p>
    <w:p>
      <w:pPr>
        <w:pStyle w:val="ListParagraph"/>
        <w:numPr>
          <w:ilvl w:val="0"/>
          <w:numId w:val="2"/>
        </w:numPr>
        <w:spacing w:after="60" w:before="60"/>
      </w:pPr>
      <w:r>
        <w:rPr>
          <w:rFonts w:ascii="Arial" w:cs="Arial" w:eastAsia="Arial" w:hAnsi="Arial"/>
          <w:b w:val="false"/>
          <w:bCs w:val="false"/>
          <w:color w:val="1A1A1A"/>
          <w:sz w:val="22"/>
          <w:szCs w:val="22"/>
        </w:rPr>
        <w:t xml:space="preserve">Sécurité : les images Docker doivent être scannées pour les vulnérabilités (Trivy intégré dans la CI). Les Secrets Kubernetes ne doivent jamais être commités dans le repository Git.</w:t>
      </w:r>
    </w:p>
    <w:p>
      <w:pPr>
        <w:pStyle w:val="ListParagraph"/>
        <w:numPr>
          <w:ilvl w:val="0"/>
          <w:numId w:val="2"/>
        </w:numPr>
        <w:spacing w:after="60" w:before="60"/>
      </w:pPr>
      <w:r>
        <w:rPr>
          <w:rFonts w:ascii="Arial" w:cs="Arial" w:eastAsia="Arial" w:hAnsi="Arial"/>
          <w:b w:val="false"/>
          <w:bCs w:val="false"/>
          <w:color w:val="1A1A1A"/>
          <w:sz w:val="22"/>
          <w:szCs w:val="22"/>
        </w:rPr>
        <w:t xml:space="preserve">Pas de données réelles dans les images ou les volumes de dev : les jeux de données utilisés sont publics ou simulés, conformément aux exigences RGPD du sujet.</w:t>
      </w:r>
    </w:p>
    <w:p>
      <w:pPr>
        <w:pStyle w:val="ListParagraph"/>
        <w:numPr>
          <w:ilvl w:val="0"/>
          <w:numId w:val="2"/>
        </w:numPr>
        <w:spacing w:after="60" w:before="60"/>
      </w:pPr>
      <w:r>
        <w:rPr>
          <w:rFonts w:ascii="Arial" w:cs="Arial" w:eastAsia="Arial" w:hAnsi="Arial"/>
          <w:b w:val="false"/>
          <w:bCs w:val="false"/>
          <w:color w:val="1A1A1A"/>
          <w:sz w:val="22"/>
          <w:szCs w:val="22"/>
        </w:rPr>
        <w:t xml:space="preserve">Maintenance des modèles : le pipeline de retraining doit être planifié pour ne pas entrer en conflit avec les heures de forte charge de l'API de prédiction.</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7.3 Comparaison des options écartées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Pourquoi ecartee</w:t>
            </w:r>
          </w:p>
        </w:tc>
        <w:tc>
          <w:tcPr>
            <w:tcW w:type="dxa" w:w="3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Contexte ou elle serait pertinente</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Kubernetes full (kubeadm)</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Complexite operationnelle trop elevee pour une DSI industrielle sans DevOps dedié</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Grande entreprise avec equipe SRE</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managé (EKS, AKS, GKE)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Dependance externe, latence reseau, couts recurrents, donnees industrielles sensibles</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Startup, pas de contraintes on-premise</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Swarm</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Moins d'adoption en production, ecart technologique avec le standard K8s</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Equipes tres petites, pas de besoin K8s</w:t>
            </w:r>
          </w:p>
        </w:tc>
      </w:tr>
      <w:tr>
        <w:tc>
          <w:tcPr>
            <w:tcW w:type="dxa" w:w="2200"/>
            <w:tcBorders>
              <w:top w:val="single" w:color="BFBFBF" w:sz="1"/>
              <w:left w:val="single" w:color="BFBFBF" w:sz="1"/>
              <w:bottom w:val="single" w:color="BFBFBF" w:sz="1"/>
              <w:right w:val="single" w:color="BFBFBF" w:sz="1"/>
            </w:tcBorders>
            <w:shd w:fill="BDD7EE" w:val="clear"/>
            <w:tcMar>
              <w:top w:type="dxa" w:w="80"/>
              <w:left w:type="dxa" w:w="120"/>
              <w:bottom w:type="dxa" w:w="80"/>
              <w:right w:type="dxa" w:w="120"/>
            </w:tcMar>
          </w:tcPr>
          <w:p>
            <w:r>
              <w:rPr>
                <w:rFonts w:ascii="Arial" w:cs="Arial" w:eastAsia="Arial" w:hAnsi="Arial"/>
                <w:b w:val="false"/>
                <w:bCs w:val="false"/>
                <w:color w:val="1A1A1A"/>
                <w:sz w:val="20"/>
                <w:szCs w:val="20"/>
              </w:rPr>
              <w:t xml:space="preserve">Ansible seul (sans conteneurs)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 de reproductibilite des environments, gestion des dependances complexe</w:t>
            </w:r>
          </w:p>
        </w:tc>
        <w:tc>
          <w:tcPr>
            <w:tcW w:type="dxa" w:w="3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Legacy IT, pas de Docker disponible</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8. Synthèse</w:t>
      </w:r>
    </w:p>
    <w:p>
      <w:pPr>
        <w:spacing w:after="100" w:before="80"/>
        <w:jc w:val="both"/>
      </w:pPr>
      <w:r>
        <w:rPr>
          <w:rFonts w:ascii="Arial" w:cs="Arial" w:eastAsia="Arial" w:hAnsi="Arial"/>
          <w:b w:val="false"/>
          <w:bCs w:val="false"/>
          <w:i w:val="false"/>
          <w:iCs w:val="false"/>
          <w:color w:val="1A1A1A"/>
          <w:sz w:val="22"/>
          <w:szCs w:val="22"/>
        </w:rPr>
        <w:t xml:space="preserve">L'architecture de déploiement proposée pour la solution MECHA répond aux exigences du cahier des charges sur deux niveaux complémentaires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Ce qui est livré (prototype)</w:t>
            </w:r>
          </w:p>
          <w:p>
            <w:pPr>
              <w:pStyle w:val="ListParagraph"/>
              <w:numPr>
                <w:ilvl w:val="0"/>
                <w:numId w:val="2"/>
              </w:numPr>
              <w:spacing w:after="40" w:before="40"/>
            </w:pPr>
            <w:r>
              <w:rPr>
                <w:rFonts w:ascii="Arial" w:cs="Arial" w:eastAsia="Arial" w:hAnsi="Arial"/>
                <w:color w:val="1A1A1A"/>
                <w:sz w:val="20"/>
                <w:szCs w:val="20"/>
              </w:rPr>
              <w:t xml:space="preserve">docker-compose.yml — orchestration complète de la solution (etl, trainer, api, dashboard, scheduler)</w:t>
            </w:r>
          </w:p>
          <w:p>
            <w:pPr>
              <w:pStyle w:val="ListParagraph"/>
              <w:numPr>
                <w:ilvl w:val="0"/>
                <w:numId w:val="2"/>
              </w:numPr>
              <w:spacing w:after="40" w:before="40"/>
            </w:pPr>
            <w:r>
              <w:rPr>
                <w:rFonts w:ascii="Arial" w:cs="Arial" w:eastAsia="Arial" w:hAnsi="Arial"/>
                <w:color w:val="1A1A1A"/>
                <w:sz w:val="20"/>
                <w:szCs w:val="20"/>
              </w:rPr>
              <w:t xml:space="preserve">Dockerfiles pour chaque service — images reproductibles, multi-stage, utilisateur non-root</w:t>
            </w:r>
          </w:p>
          <w:p>
            <w:pPr>
              <w:pStyle w:val="ListParagraph"/>
              <w:numPr>
                <w:ilvl w:val="0"/>
                <w:numId w:val="2"/>
              </w:numPr>
              <w:spacing w:after="40" w:before="40"/>
            </w:pPr>
            <w:r>
              <w:rPr>
                <w:rFonts w:ascii="Arial" w:cs="Arial" w:eastAsia="Arial" w:hAnsi="Arial"/>
                <w:color w:val="1A1A1A"/>
                <w:sz w:val="20"/>
                <w:szCs w:val="20"/>
              </w:rPr>
              <w:t xml:space="preserve">.env.example — documentation de la configuration applicative</w:t>
            </w:r>
          </w:p>
          <w:p>
            <w:pPr>
              <w:pStyle w:val="ListParagraph"/>
              <w:numPr>
                <w:ilvl w:val="0"/>
                <w:numId w:val="2"/>
              </w:numPr>
              <w:spacing w:after="40" w:before="40"/>
            </w:pPr>
            <w:r>
              <w:rPr>
                <w:rFonts w:ascii="Arial" w:cs="Arial" w:eastAsia="Arial" w:hAnsi="Arial"/>
                <w:color w:val="1A1A1A"/>
                <w:sz w:val="20"/>
                <w:szCs w:val="20"/>
              </w:rPr>
              <w:t xml:space="preserve">.github/workflows/ci.yml — CI automatisée : lint, tests, build et push image Docker</w:t>
            </w:r>
          </w:p>
          <w:p>
            <w:pPr>
              <w:pStyle w:val="ListParagraph"/>
              <w:numPr>
                <w:ilvl w:val="0"/>
                <w:numId w:val="2"/>
              </w:numPr>
              <w:spacing w:after="40" w:before="40"/>
            </w:pPr>
            <w:r>
              <w:rPr>
                <w:rFonts w:ascii="Arial" w:cs="Arial" w:eastAsia="Arial" w:hAnsi="Arial"/>
                <w:color w:val="1A1A1A"/>
                <w:sz w:val="20"/>
                <w:szCs w:val="20"/>
              </w:rPr>
              <w:t xml:space="preserve">Instructions d'exécution dans le README — docker compose up en une commande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Ce qui est décrit (projection industrielle)</w:t>
            </w:r>
          </w:p>
          <w:p>
            <w:pPr>
              <w:pStyle w:val="ListParagraph"/>
              <w:numPr>
                <w:ilvl w:val="0"/>
                <w:numId w:val="2"/>
              </w:numPr>
              <w:spacing w:after="40" w:before="40"/>
            </w:pPr>
            <w:r>
              <w:rPr>
                <w:rFonts w:ascii="Arial" w:cs="Arial" w:eastAsia="Arial" w:hAnsi="Arial"/>
                <w:color w:val="1A1A1A"/>
                <w:sz w:val="20"/>
                <w:szCs w:val="20"/>
              </w:rPr>
              <w:t xml:space="preserve">Architecture K3s multi-clusters — 1 cluster edge par usine + 1 cluster central</w:t>
            </w:r>
          </w:p>
          <w:p>
            <w:pPr>
              <w:pStyle w:val="ListParagraph"/>
              <w:numPr>
                <w:ilvl w:val="0"/>
                <w:numId w:val="2"/>
              </w:numPr>
              <w:spacing w:after="40" w:before="40"/>
            </w:pPr>
            <w:r>
              <w:rPr>
                <w:rFonts w:ascii="Arial" w:cs="Arial" w:eastAsia="Arial" w:hAnsi="Arial"/>
                <w:color w:val="1A1A1A"/>
                <w:sz w:val="20"/>
                <w:szCs w:val="20"/>
              </w:rPr>
              <w:t xml:space="preserve">Stratégie de déploiement progressif en 3 phases (pilote -&gt; extension FR -&gt; extension ES)</w:t>
            </w:r>
          </w:p>
          <w:p>
            <w:pPr>
              <w:pStyle w:val="ListParagraph"/>
              <w:numPr>
                <w:ilvl w:val="0"/>
                <w:numId w:val="2"/>
              </w:numPr>
              <w:spacing w:after="40" w:before="40"/>
            </w:pPr>
            <w:r>
              <w:rPr>
                <w:rFonts w:ascii="Arial" w:cs="Arial" w:eastAsia="Arial" w:hAnsi="Arial"/>
                <w:color w:val="1A1A1A"/>
                <w:sz w:val="20"/>
                <w:szCs w:val="20"/>
              </w:rPr>
              <w:t xml:space="preserve">Objets Kubernetes détaillés — CronJob, Deployment, ConfigMap, Secret, PVC, Ingress</w:t>
            </w:r>
          </w:p>
          <w:p>
            <w:pPr>
              <w:pStyle w:val="ListParagraph"/>
              <w:numPr>
                <w:ilvl w:val="0"/>
                <w:numId w:val="2"/>
              </w:numPr>
              <w:spacing w:after="40" w:before="40"/>
            </w:pPr>
            <w:r>
              <w:rPr>
                <w:rFonts w:ascii="Arial" w:cs="Arial" w:eastAsia="Arial" w:hAnsi="Arial"/>
                <w:color w:val="1A1A1A"/>
                <w:sz w:val="20"/>
                <w:szCs w:val="20"/>
              </w:rPr>
              <w:t xml:space="preserve">Pipeline CD — mise à jour automatique des manifestes K8s depuis la CI</w:t>
            </w:r>
          </w:p>
          <w:p>
            <w:pPr>
              <w:pStyle w:val="ListParagraph"/>
              <w:numPr>
                <w:ilvl w:val="0"/>
                <w:numId w:val="2"/>
              </w:numPr>
              <w:spacing w:after="40" w:before="40"/>
            </w:pPr>
            <w:r>
              <w:rPr>
                <w:rFonts w:ascii="Arial" w:cs="Arial" w:eastAsia="Arial" w:hAnsi="Arial"/>
                <w:color w:val="1A1A1A"/>
                <w:sz w:val="20"/>
                <w:szCs w:val="20"/>
              </w:rPr>
              <w:t xml:space="preserve">Points de vigilance identifiés — ressources, sécurité, continuité de production, RGPD</w:t>
            </w:r>
          </w:p>
        </w:tc>
      </w:tr>
    </w:tbl>
    <w:p>
      <w:pPr>
        <w:spacing w:after="0" w:before="200"/>
      </w:pPr>
      <w:r>
        <w:t xml:space="preserve"/>
      </w:r>
    </w:p>
    <w:p>
      <w:pPr>
        <w:spacing w:after="100" w:before="80"/>
        <w:jc w:val="both"/>
      </w:pPr>
      <w:r>
        <w:rPr>
          <w:rFonts w:ascii="Arial" w:cs="Arial" w:eastAsia="Arial" w:hAnsi="Arial"/>
          <w:b w:val="false"/>
          <w:bCs w:val="false"/>
          <w:i/>
          <w:iCs/>
          <w:color w:val="595959"/>
          <w:sz w:val="22"/>
          <w:szCs w:val="22"/>
        </w:rPr>
        <w:t xml:space="preserve">Ce document constitue la documentation technique de déploiement référencée dans les livrables du projet MECHA (MSPR TPRE822). Il est à lire en complément du schéma d'architecture de données, de la documentation des modèles ML et du guide utilisateur métier.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595959"/>
        <w:sz w:val="18"/>
        <w:szCs w:val="18"/>
      </w:rPr>
      <w:t xml:space="preserve">MECHA — Architecture de Deploiement</w:t>
    </w:r>
    <w:r>
      <w:rPr>
        <w:rFonts w:ascii="Arial" w:cs="Arial" w:eastAsia="Arial" w:hAnsi="Arial"/>
        <w:color w:val="59595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2026-05-28T07:44:34.552Z</dcterms:created>
  <dcterms:modified xsi:type="dcterms:W3CDTF">2026-05-28T07:44:34.552Z</dcterms:modified>
</cp:coreProperties>
</file>

<file path=docProps/custom.xml><?xml version="1.0" encoding="utf-8"?>
<Properties xmlns="http://schemas.openxmlformats.org/officeDocument/2006/custom-properties" xmlns:vt="http://schemas.openxmlformats.org/officeDocument/2006/docPropsVTypes"/>
</file>